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400" w:right="1219"/>
        <w:spacing w:after="0" w:line="285" w:lineRule="auto"/>
        <w:rPr>
          <w:sz w:val="20"/>
          <w:szCs w:val="20"/>
          <w:color w:val="auto"/>
        </w:rPr>
      </w:pPr>
      <w:r>
        <w:rPr>
          <w:rFonts w:ascii="Arial" w:cs="Arial" w:eastAsia="Arial" w:hAnsi="Arial"/>
          <w:sz w:val="15"/>
          <w:szCs w:val="15"/>
          <w:b w:val="1"/>
          <w:bCs w:val="1"/>
          <w:color w:val="auto"/>
        </w:rPr>
        <w:t>As confidentially submitted to the Securities and Exchange Commission on January 14, 2014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ind w:right="419"/>
        <w:spacing w:after="0"/>
        <w:rPr>
          <w:sz w:val="20"/>
          <w:szCs w:val="20"/>
          <w:color w:val="auto"/>
        </w:rPr>
      </w:pPr>
      <w:r>
        <w:rPr>
          <w:rFonts w:ascii="Arial" w:cs="Arial" w:eastAsia="Arial" w:hAnsi="Arial"/>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161290</wp:posOffset>
            </wp:positionV>
            <wp:extent cx="53771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7718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ectPr>
          <w:pgSz w:w="11900" w:h="16838" w:orient="portrait"/>
          <w:cols w:equalWidth="0" w:num="1">
            <w:col w:w="9019"/>
          </w:cols>
          <w:pgMar w:left="1440" w:top="301" w:right="1440" w:bottom="76" w:gutter="0" w:footer="0" w:header="0"/>
        </w:sectPr>
      </w:pPr>
    </w:p>
    <w:p>
      <w:pPr>
        <w:spacing w:after="0" w:line="72" w:lineRule="exact"/>
        <w:rPr>
          <w:sz w:val="24"/>
          <w:szCs w:val="24"/>
          <w:color w:val="auto"/>
        </w:rPr>
      </w:pPr>
    </w:p>
    <w:p>
      <w:pPr>
        <w:jc w:val="center"/>
        <w:ind w:left="300"/>
        <w:spacing w:after="0"/>
        <w:rPr>
          <w:sz w:val="20"/>
          <w:szCs w:val="20"/>
          <w:color w:val="auto"/>
        </w:rPr>
      </w:pPr>
      <w:r>
        <w:rPr>
          <w:rFonts w:ascii="Arial" w:cs="Arial" w:eastAsia="Arial" w:hAnsi="Arial"/>
          <w:sz w:val="14"/>
          <w:szCs w:val="14"/>
          <w:b w:val="1"/>
          <w:bCs w:val="1"/>
          <w:color w:val="auto"/>
        </w:rPr>
        <w:t>State of Israel</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3"/>
          <w:szCs w:val="13"/>
          <w:i w:val="1"/>
          <w:iCs w:val="1"/>
          <w:color w:val="auto"/>
        </w:rPr>
        <w:t>(State or Other Jurisdiction of</w:t>
      </w:r>
    </w:p>
    <w:p>
      <w:pPr>
        <w:ind w:left="7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jc w:val="right"/>
              <w:ind w:right="1368"/>
              <w:spacing w:after="0"/>
              <w:rPr>
                <w:sz w:val="20"/>
                <w:szCs w:val="20"/>
                <w:color w:val="auto"/>
              </w:rPr>
            </w:pPr>
            <w:r>
              <w:rPr>
                <w:rFonts w:ascii="Arial" w:cs="Arial" w:eastAsia="Arial" w:hAnsi="Arial"/>
                <w:sz w:val="14"/>
                <w:szCs w:val="14"/>
                <w:b w:val="1"/>
                <w:bCs w:val="1"/>
                <w:color w:val="auto"/>
              </w:rPr>
              <w:t>3555</w:t>
            </w:r>
          </w:p>
        </w:tc>
        <w:tc>
          <w:tcPr>
            <w:tcW w:w="1780" w:type="dxa"/>
            <w:vAlign w:val="bottom"/>
          </w:tcPr>
          <w:p>
            <w:pPr>
              <w:jc w:val="center"/>
              <w:ind w:left="670"/>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(Primary Standard Industrial</w:t>
            </w:r>
          </w:p>
        </w:tc>
        <w:tc>
          <w:tcPr>
            <w:tcW w:w="1780" w:type="dxa"/>
            <w:vAlign w:val="bottom"/>
          </w:tcPr>
          <w:p>
            <w:pPr>
              <w:jc w:val="center"/>
              <w:ind w:left="670"/>
              <w:spacing w:after="0" w:line="116" w:lineRule="exact"/>
              <w:rPr>
                <w:sz w:val="20"/>
                <w:szCs w:val="20"/>
                <w:color w:val="auto"/>
              </w:rPr>
            </w:pPr>
            <w:r>
              <w:rPr>
                <w:rFonts w:ascii="Arial" w:cs="Arial" w:eastAsia="Arial" w:hAnsi="Arial"/>
                <w:sz w:val="13"/>
                <w:szCs w:val="13"/>
                <w:i w:val="1"/>
                <w:iCs w:val="1"/>
                <w:color w:val="auto"/>
              </w:rPr>
              <w:t>(I.R.S. Employer</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vMerge w:val="restart"/>
          </w:tcPr>
          <w:p>
            <w:pPr>
              <w:jc w:val="center"/>
              <w:ind w:left="65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15"/>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Classification Code Number)</w:t>
            </w: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080" w:space="720"/>
            <w:col w:w="5219"/>
          </w:cols>
          <w:pgMar w:left="1440" w:top="301" w:right="1440" w:bottom="76"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3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of all correspondence to:</w:t>
      </w:r>
    </w:p>
    <w:p>
      <w:pPr>
        <w:spacing w:after="0" w:line="255"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9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Colin J. Diamond, Esq</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6"/>
              </w:rPr>
              <w:t>Clifford M. J. Felig, Adv.</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David Goldschmidt, Esq.</w:t>
            </w:r>
          </w:p>
        </w:tc>
        <w:tc>
          <w:tcPr>
            <w:tcW w:w="1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Shachar Hadar, Adv.</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Joshua G. Kiernan, Esq.</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Aviv Avidan-Shalit, Adv.</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Phyllis G. Korff, Esq.</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Gross, Kleinhendler, Hodak,</w:t>
            </w:r>
          </w:p>
        </w:tc>
      </w:tr>
      <w:tr>
        <w:trPr>
          <w:trHeight w:val="149"/>
        </w:trPr>
        <w:tc>
          <w:tcPr>
            <w:tcW w:w="1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Meitar Liquornik Geva Leshem</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Halevy, Greenberg &amp; Co.</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1155 Avenue of the Americas</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Flom LLP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One Azrieli Center</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16 Abba Hillel Silver Rd.</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 Times Square</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Aviv 67021, Israel</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Tel: (212) 819-8200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Ramat Gan 5250608, Israel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+972-3-607-4444</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Fax: (212) 354-8113</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+972-3-610-3100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Tel: (212) 735-3000</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Fax: +972-3-607-4470</w:t>
            </w:r>
          </w:p>
        </w:tc>
      </w:tr>
      <w:tr>
        <w:trPr>
          <w:trHeight w:val="186"/>
        </w:trPr>
        <w:tc>
          <w:tcPr>
            <w:tcW w:w="19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Fax: +972-3-610-3111</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Fax: (212) 735-2000</w:t>
            </w:r>
          </w:p>
        </w:tc>
        <w:tc>
          <w:tcPr>
            <w:tcW w:w="1920" w:type="dxa"/>
            <w:vAlign w:val="bottom"/>
          </w:tcPr>
          <w:p>
            <w:pPr>
              <w:spacing w:after="0"/>
              <w:rPr>
                <w:sz w:val="16"/>
                <w:szCs w:val="16"/>
                <w:color w:val="auto"/>
              </w:rPr>
            </w:pPr>
          </w:p>
        </w:tc>
      </w:tr>
    </w:tbl>
    <w:p>
      <w:pPr>
        <w:spacing w:after="0" w:line="3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20" w:lineRule="exact"/>
        <w:rPr>
          <w:sz w:val="24"/>
          <w:szCs w:val="24"/>
          <w:color w:val="auto"/>
        </w:rPr>
      </w:pPr>
    </w:p>
    <w:p>
      <w:pPr>
        <w:ind w:left="120" w:right="539"/>
        <w:spacing w:after="0" w:line="311" w:lineRule="auto"/>
        <w:rPr>
          <w:sz w:val="20"/>
          <w:szCs w:val="20"/>
          <w:color w:val="auto"/>
        </w:rPr>
      </w:pPr>
      <w:r>
        <w:rPr>
          <w:rFonts w:ascii="Arial" w:cs="Arial" w:eastAsia="Arial" w:hAnsi="Arial"/>
          <w:sz w:val="16"/>
          <w:szCs w:val="16"/>
          <w:color w:val="auto"/>
        </w:rPr>
        <w:t>Approximate date of commencement of proposed sale to the public: As soon as practicable after effectiveness of this registration statement.</w:t>
      </w:r>
    </w:p>
    <w:p>
      <w:pPr>
        <w:spacing w:after="0" w:line="23" w:lineRule="exact"/>
        <w:rPr>
          <w:sz w:val="24"/>
          <w:szCs w:val="24"/>
          <w:color w:val="auto"/>
        </w:rPr>
      </w:pPr>
    </w:p>
    <w:p>
      <w:pPr>
        <w:ind w:left="120" w:right="199"/>
        <w:spacing w:after="0" w:line="22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539"/>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6" w:lineRule="exact"/>
        <w:rPr>
          <w:sz w:val="24"/>
          <w:szCs w:val="24"/>
          <w:color w:val="auto"/>
        </w:rPr>
      </w:pPr>
    </w:p>
    <w:p>
      <w:pPr>
        <w:ind w:left="120" w:right="21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52" w:lineRule="exact"/>
        <w:rPr>
          <w:sz w:val="24"/>
          <w:szCs w:val="24"/>
          <w:color w:val="auto"/>
        </w:rPr>
      </w:pPr>
    </w:p>
    <w:p>
      <w:pPr>
        <w:ind w:left="120" w:right="19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53"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20" w:type="dxa"/>
            <w:vAlign w:val="bottom"/>
            <w:gridSpan w:val="3"/>
          </w:tcPr>
          <w:p>
            <w:pPr>
              <w:jc w:val="right"/>
              <w:ind w:right="1192"/>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offering</w:t>
            </w:r>
          </w:p>
        </w:tc>
        <w:tc>
          <w:tcPr>
            <w:tcW w:w="34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r>
      <w:tr>
        <w:trPr>
          <w:trHeight w:val="18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Arial" w:cs="Arial" w:eastAsia="Arial" w:hAnsi="Arial"/>
                <w:sz w:val="21"/>
                <w:szCs w:val="21"/>
                <w:b w:val="1"/>
                <w:bCs w:val="1"/>
                <w:color w:val="auto"/>
                <w:vertAlign w:val="subscript"/>
              </w:rPr>
              <w:t>price</w:t>
            </w:r>
            <w:r>
              <w:rPr>
                <w:rFonts w:ascii="Arial" w:cs="Arial" w:eastAsia="Arial" w:hAnsi="Arial"/>
                <w:sz w:val="10"/>
                <w:szCs w:val="10"/>
                <w:b w:val="1"/>
                <w:bCs w:val="1"/>
                <w:color w:val="auto"/>
              </w:rPr>
              <w:t>(1)(2)</w:t>
            </w: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registration fee</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NIS 0.01 per share</w:t>
            </w:r>
          </w:p>
        </w:tc>
        <w:tc>
          <w:tcPr>
            <w:tcW w:w="2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9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_________________</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43" w:lineRule="exact"/>
        <w:rPr>
          <w:rFonts w:ascii="Arial" w:cs="Arial" w:eastAsia="Arial" w:hAnsi="Arial"/>
          <w:sz w:val="14"/>
          <w:szCs w:val="14"/>
          <w:color w:val="auto"/>
        </w:rPr>
      </w:pPr>
    </w:p>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60" w:lineRule="exact"/>
        <w:rPr>
          <w:sz w:val="24"/>
          <w:szCs w:val="24"/>
          <w:color w:val="auto"/>
        </w:rPr>
      </w:pPr>
    </w:p>
    <w:p>
      <w:pPr>
        <w:ind w:left="120" w:right="219"/>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171450</wp:posOffset>
            </wp:positionV>
            <wp:extent cx="5574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1" w:right="1440" w:bottom="76" w:gutter="0" w:footer="0" w:header="0"/>
          <w:type w:val="continuous"/>
        </w:sectPr>
      </w:pPr>
    </w:p>
    <w:bookmarkStart w:id="1" w:name="page2"/>
    <w:bookmarkEnd w:id="1"/>
    <w:p>
      <w:pPr>
        <w:ind w:left="120" w:right="279"/>
        <w:spacing w:after="0" w:line="259" w:lineRule="auto"/>
        <w:rPr>
          <w:sz w:val="20"/>
          <w:szCs w:val="20"/>
          <w:color w:val="auto"/>
        </w:rPr>
      </w:pPr>
      <w:r>
        <w:rPr>
          <w:rFonts w:ascii="Arial" w:cs="Arial" w:eastAsia="Arial" w:hAnsi="Arial"/>
          <w:sz w:val="18"/>
          <w:szCs w:val="18"/>
          <w:color w:val="AF1D1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F1D1F"/>
        </w:rPr>
        <w:t>Subject to Completion, dated January 14, 2014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211455</wp:posOffset>
            </wp:positionV>
            <wp:extent cx="2118360" cy="131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9"/>
          <w:szCs w:val="29"/>
          <w:b w:val="1"/>
          <w:bCs w:val="1"/>
          <w:color w:val="auto"/>
        </w:rPr>
        <w:t>Kornit Digital Ltd.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15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9019"/>
          </w:cols>
          <w:pgMar w:left="1440" w:top="125" w:right="1440"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Kornit Digital Ltd.’s initial public offering. We are selling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of our ordinary shares.</w:t>
      </w:r>
    </w:p>
    <w:p>
      <w:pPr>
        <w:spacing w:after="0" w:line="211" w:lineRule="exact"/>
        <w:rPr>
          <w:sz w:val="20"/>
          <w:szCs w:val="20"/>
          <w:color w:val="auto"/>
        </w:rPr>
      </w:pPr>
    </w:p>
    <w:p>
      <w:pPr>
        <w:sectPr>
          <w:pgSz w:w="11900" w:h="16838" w:orient="portrait"/>
          <w:cols w:equalWidth="0" w:num="2">
            <w:col w:w="5220" w:space="720"/>
            <w:col w:w="3079"/>
          </w:cols>
          <w:pgMar w:left="1440" w:top="125" w:right="1440" w:bottom="1440" w:gutter="0" w:footer="0" w:header="0"/>
          <w:type w:val="continuous"/>
        </w:sectPr>
      </w:pPr>
    </w:p>
    <w:p>
      <w:pPr>
        <w:spacing w:after="0" w:line="37" w:lineRule="exact"/>
        <w:rPr>
          <w:sz w:val="20"/>
          <w:szCs w:val="20"/>
          <w:color w:val="auto"/>
        </w:rPr>
      </w:pPr>
    </w:p>
    <w:p>
      <w:pPr>
        <w:ind w:left="340"/>
        <w:spacing w:after="0"/>
        <w:tabs>
          <w:tab w:leader="none" w:pos="4360" w:val="left"/>
          <w:tab w:leader="none" w:pos="510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Prior to this offering, there has been no</w:t>
      </w:r>
    </w:p>
    <w:p>
      <w:pPr>
        <w:sectPr>
          <w:pgSz w:w="11900" w:h="16838" w:orient="portrait"/>
          <w:cols w:equalWidth="0" w:num="1">
            <w:col w:w="9019"/>
          </w:cols>
          <w:pgMar w:left="1440" w:top="125" w:right="1440" w:bottom="1440" w:gutter="0" w:footer="0" w:header="0"/>
          <w:type w:val="continuous"/>
        </w:sectPr>
      </w:pPr>
    </w:p>
    <w:p>
      <w:pPr>
        <w:spacing w:after="0" w:line="23" w:lineRule="exact"/>
        <w:rPr>
          <w:sz w:val="20"/>
          <w:szCs w:val="20"/>
          <w:color w:val="auto"/>
        </w:rPr>
      </w:pPr>
    </w:p>
    <w:p>
      <w:pPr>
        <w:ind w:left="120" w:right="519"/>
        <w:spacing w:after="0" w:line="261" w:lineRule="auto"/>
        <w:rPr>
          <w:sz w:val="20"/>
          <w:szCs w:val="20"/>
          <w:color w:val="auto"/>
        </w:rPr>
      </w:pPr>
      <w:r>
        <w:rPr>
          <w:rFonts w:ascii="Arial" w:cs="Arial" w:eastAsia="Arial" w:hAnsi="Arial"/>
          <w:sz w:val="18"/>
          <w:szCs w:val="18"/>
          <w:color w:val="auto"/>
        </w:rPr>
        <w:t>public market for our ordinary shares. We intend to apply to have the ordinary shares listed on the NASDAQ Global Market under the symbol “KRNT.”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40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w:t>
            </w:r>
          </w:p>
        </w:tc>
      </w:tr>
      <w:tr>
        <w:trPr>
          <w:trHeight w:val="216"/>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46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56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6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ind w:left="340"/>
        <w:spacing w:after="0"/>
        <w:rPr>
          <w:sz w:val="20"/>
          <w:szCs w:val="20"/>
          <w:color w:val="auto"/>
        </w:rPr>
      </w:pPr>
      <w:r>
        <w:rPr>
          <w:rFonts w:ascii="Arial" w:cs="Arial" w:eastAsia="Arial" w:hAnsi="Arial"/>
          <w:sz w:val="18"/>
          <w:szCs w:val="18"/>
          <w:b w:val="1"/>
          <w:bCs w:val="1"/>
          <w:color w:val="auto"/>
        </w:rPr>
        <w:t>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See “Underwriting” for a description of the compensation </w:t>
      </w:r>
      <w:r>
        <w:rPr>
          <w:rFonts w:ascii="Arial" w:cs="Arial" w:eastAsia="Arial" w:hAnsi="Arial"/>
          <w:sz w:val="16"/>
          <w:szCs w:val="16"/>
          <w:color w:val="auto"/>
        </w:rPr>
        <w:t>payable to the underwriters.</w:t>
      </w:r>
    </w:p>
    <w:p>
      <w:pPr>
        <w:spacing w:after="0" w:line="211" w:lineRule="exact"/>
        <w:rPr>
          <w:sz w:val="20"/>
          <w:szCs w:val="20"/>
          <w:color w:val="auto"/>
        </w:rPr>
      </w:pPr>
    </w:p>
    <w:p>
      <w:pPr>
        <w:jc w:val="both"/>
        <w:ind w:left="120" w:right="299" w:firstLine="216"/>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ordinary shares from us, at the public offering price, less the underwriting discounts and commissions, for 30 days after the date of this prospectus.</w:t>
      </w:r>
    </w:p>
    <w:p>
      <w:pPr>
        <w:spacing w:after="0" w:line="124" w:lineRule="exact"/>
        <w:rPr>
          <w:sz w:val="20"/>
          <w:szCs w:val="20"/>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70" w:lineRule="exact"/>
        <w:rPr>
          <w:sz w:val="20"/>
          <w:szCs w:val="20"/>
          <w:color w:val="auto"/>
        </w:rPr>
      </w:pPr>
    </w:p>
    <w:p>
      <w:pPr>
        <w:ind w:left="120" w:right="179" w:firstLine="216"/>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2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The underwriters expect to deliver the ordinary shares to purchasers on or about</w:t>
            </w:r>
          </w:p>
        </w:tc>
        <w:tc>
          <w:tcPr>
            <w:tcW w:w="2440" w:type="dxa"/>
            <w:vAlign w:val="bottom"/>
          </w:tcPr>
          <w:p>
            <w:pPr>
              <w:jc w:val="right"/>
              <w:ind w:right="1527"/>
              <w:spacing w:after="0"/>
              <w:rPr>
                <w:sz w:val="20"/>
                <w:szCs w:val="20"/>
                <w:color w:val="auto"/>
              </w:rPr>
            </w:pPr>
            <w:r>
              <w:rPr>
                <w:rFonts w:ascii="Arial" w:cs="Arial" w:eastAsia="Arial" w:hAnsi="Arial"/>
                <w:sz w:val="18"/>
                <w:szCs w:val="18"/>
                <w:color w:val="auto"/>
              </w:rPr>
              <w:t>, 2015.</w:t>
            </w:r>
          </w:p>
        </w:tc>
      </w:tr>
      <w:tr>
        <w:trPr>
          <w:trHeight w:val="432"/>
        </w:trPr>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_________________________</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78"/>
        </w:trPr>
        <w:tc>
          <w:tcPr>
            <w:tcW w:w="552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9"/>
                <w:szCs w:val="29"/>
                <w:b w:val="1"/>
                <w:bCs w:val="1"/>
                <w:color w:val="auto"/>
              </w:rPr>
              <w:t>Citi</w:t>
            </w:r>
            <w:r>
              <w:rPr>
                <w:rFonts w:ascii="Arial" w:cs="Arial" w:eastAsia="Arial" w:hAnsi="Arial"/>
                <w:sz w:val="27"/>
                <w:szCs w:val="27"/>
                <w:b w:val="1"/>
                <w:bCs w:val="1"/>
                <w:color w:val="auto"/>
              </w:rPr>
              <w:t>group</w:t>
            </w:r>
          </w:p>
        </w:tc>
      </w:tr>
      <w:tr>
        <w:trPr>
          <w:trHeight w:val="451"/>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William Blair</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459"/>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Canaccord Genuity</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395"/>
        </w:trPr>
        <w:tc>
          <w:tcPr>
            <w:tcW w:w="20" w:type="dxa"/>
            <w:vAlign w:val="bottom"/>
          </w:tcPr>
          <w:p>
            <w:pPr>
              <w:spacing w:after="0"/>
              <w:rPr>
                <w:sz w:val="24"/>
                <w:szCs w:val="24"/>
                <w:color w:val="auto"/>
              </w:rPr>
            </w:pPr>
          </w:p>
        </w:tc>
        <w:tc>
          <w:tcPr>
            <w:tcW w:w="5500" w:type="dxa"/>
            <w:vAlign w:val="bottom"/>
          </w:tcPr>
          <w:p>
            <w:pPr>
              <w:jc w:val="right"/>
              <w:ind w:right="570"/>
              <w:spacing w:after="0"/>
              <w:rPr>
                <w:sz w:val="20"/>
                <w:szCs w:val="20"/>
                <w:color w:val="auto"/>
              </w:rPr>
            </w:pPr>
            <w:r>
              <w:rPr>
                <w:rFonts w:ascii="Arial" w:cs="Arial" w:eastAsia="Arial" w:hAnsi="Arial"/>
                <w:sz w:val="18"/>
                <w:szCs w:val="18"/>
                <w:color w:val="auto"/>
              </w:rPr>
              <w:t>The date of this prospectus is</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90"/>
              </w:rPr>
              <w:t>, 2015.</w:t>
            </w:r>
          </w:p>
        </w:tc>
        <w:tc>
          <w:tcPr>
            <w:tcW w:w="24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000" w:type="dxa"/>
            <w:vAlign w:val="bottom"/>
            <w:gridSpan w:val="24"/>
            <w:shd w:val="clear" w:color="auto" w:fill="CCEEFF"/>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500" w:type="dxa"/>
            <w:vAlign w:val="bottom"/>
            <w:tcBorders>
              <w:top w:val="single" w:sz="8" w:color="CCEEFF"/>
            </w:tcBorders>
            <w:gridSpan w:val="14"/>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Special Note Regarding Forward-Looking Statements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386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4140" w:type="dxa"/>
            <w:vAlign w:val="bottom"/>
            <w:tcBorders>
              <w:top w:val="single" w:sz="8" w:color="CCEEFF"/>
            </w:tcBorders>
            <w:gridSpan w:val="4"/>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1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6840" w:type="dxa"/>
            <w:vAlign w:val="bottom"/>
            <w:tcBorders>
              <w:bottom w:val="single" w:sz="8" w:color="CCEEFF"/>
            </w:tcBorders>
            <w:gridSpan w:val="15"/>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Capitalization</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Dilution</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Data</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44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Industry</w:t>
              </w:r>
            </w:hyperlink>
          </w:p>
        </w:tc>
        <w:tc>
          <w:tcPr>
            <w:tcW w:w="15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Business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6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Principal Shareholders</w:t>
              </w:r>
            </w:hyperlink>
          </w:p>
        </w:tc>
        <w:tc>
          <w:tcPr>
            <w:tcW w:w="6380" w:type="dxa"/>
            <w:vAlign w:val="bottom"/>
            <w:tcBorders>
              <w:bottom w:val="single" w:sz="8" w:color="CCEEFF"/>
            </w:tcBorders>
            <w:gridSpan w:val="1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Certain Relationships and Related Party Transactions</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20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Description of Share Capital</w:t>
              </w:r>
            </w:hyperlink>
          </w:p>
        </w:tc>
        <w:tc>
          <w:tcPr>
            <w:tcW w:w="5960" w:type="dxa"/>
            <w:vAlign w:val="bottom"/>
            <w:tcBorders>
              <w:bottom w:val="single" w:sz="8" w:color="CCEEFF"/>
            </w:tcBorders>
            <w:gridSpan w:val="1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Shares Eligible for Future Sale</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Taxation and Israeli Government Programs Applicable to our Company</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14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U.S. and Israeli Tax Consequences for our Shareholders</w:t>
              </w:r>
            </w:hyperlink>
          </w:p>
        </w:tc>
        <w:tc>
          <w:tcPr>
            <w:tcW w:w="286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103</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9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Underwriting</w:t>
              </w:r>
            </w:hyperlink>
          </w:p>
        </w:tc>
        <w:tc>
          <w:tcPr>
            <w:tcW w:w="7040" w:type="dxa"/>
            <w:vAlign w:val="bottom"/>
            <w:tcBorders>
              <w:bottom w:val="single" w:sz="8" w:color="CCEEFF"/>
            </w:tcBorders>
            <w:gridSpan w:val="1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Expenses Related to this Offering</w:t>
              </w:r>
            </w:hyperlink>
          </w:p>
        </w:tc>
        <w:tc>
          <w:tcPr>
            <w:tcW w:w="760" w:type="dxa"/>
            <w:vAlign w:val="bottom"/>
            <w:gridSpan w:val="2"/>
          </w:tcPr>
          <w:p>
            <w:pPr>
              <w:ind w:left="460"/>
              <w:spacing w:after="0" w:line="176" w:lineRule="exact"/>
              <w:rPr>
                <w:sz w:val="20"/>
                <w:szCs w:val="20"/>
                <w:color w:val="auto"/>
              </w:rPr>
            </w:pPr>
            <w:r>
              <w:rPr>
                <w:rFonts w:ascii="Arial" w:cs="Arial" w:eastAsia="Arial" w:hAnsi="Arial"/>
                <w:sz w:val="18"/>
                <w:szCs w:val="18"/>
                <w:color w:val="auto"/>
                <w:w w:val="93"/>
              </w:rPr>
              <w:t>115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18">
              <w:r>
                <w:rPr>
                  <w:rFonts w:ascii="Arial" w:cs="Arial" w:eastAsia="Arial" w:hAnsi="Arial"/>
                  <w:sz w:val="18"/>
                  <w:szCs w:val="18"/>
                  <w:color w:val="0000EE"/>
                  <w:w w:val="85"/>
                </w:rPr>
                <w:t>Experts</w:t>
              </w:r>
            </w:hyperlink>
          </w:p>
        </w:tc>
        <w:tc>
          <w:tcPr>
            <w:tcW w:w="7460" w:type="dxa"/>
            <w:vAlign w:val="bottom"/>
            <w:tcBorders>
              <w:bottom w:val="single" w:sz="8" w:color="CCEEFF"/>
            </w:tcBorders>
            <w:gridSpan w:val="2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Legal Matters</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Enforceability of Civil Liabilities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Where You Can Find Additional Information</w:t>
              </w:r>
            </w:hyperlink>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0" w:type="dxa"/>
            <w:vAlign w:val="bottom"/>
            <w:gridSpan w:val="24"/>
            <w:shd w:val="clear" w:color="auto" w:fill="CCEEFF"/>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Index to Consolidated Financial Statements</w:t>
              </w:r>
            </w:hyperlink>
          </w:p>
        </w:tc>
        <w:tc>
          <w:tcPr>
            <w:tcW w:w="7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257175</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52" w:lineRule="exact"/>
        <w:rPr>
          <w:sz w:val="20"/>
          <w:szCs w:val="20"/>
          <w:color w:val="auto"/>
        </w:rPr>
      </w:pPr>
    </w:p>
    <w:p>
      <w:pPr>
        <w:jc w:val="both"/>
        <w:ind w:left="120" w:right="299" w:firstLine="216"/>
        <w:spacing w:after="0" w:line="26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64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7645400"/>
                    </a:xfrm>
                    <a:prstGeom prst="rect">
                      <a:avLst/>
                    </a:prstGeom>
                    <a:noFill/>
                  </pic:spPr>
                </pic:pic>
              </a:graphicData>
            </a:graphic>
          </wp:anchor>
        </w:drawing>
        <w:t>PROSPECTUS SUMMARY</w:t>
      </w:r>
    </w:p>
    <w:p>
      <w:pPr>
        <w:spacing w:after="0" w:line="229" w:lineRule="exact"/>
        <w:rPr>
          <w:sz w:val="20"/>
          <w:szCs w:val="20"/>
          <w:color w:val="auto"/>
        </w:rPr>
      </w:pPr>
    </w:p>
    <w:p>
      <w:pPr>
        <w:ind w:left="260" w:right="60"/>
        <w:spacing w:after="0" w:line="297" w:lineRule="auto"/>
        <w:rPr>
          <w:sz w:val="20"/>
          <w:szCs w:val="20"/>
          <w:color w:val="auto"/>
        </w:rPr>
      </w:pPr>
      <w:r>
        <w:rPr>
          <w:rFonts w:ascii="Arial" w:cs="Arial" w:eastAsia="Arial" w:hAnsi="Arial"/>
          <w:sz w:val="16"/>
          <w:szCs w:val="16"/>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60"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3" w:lineRule="exact"/>
        <w:rPr>
          <w:sz w:val="20"/>
          <w:szCs w:val="20"/>
          <w:color w:val="auto"/>
        </w:rPr>
      </w:pPr>
    </w:p>
    <w:p>
      <w:pPr>
        <w:ind w:left="260" w:right="40" w:firstLine="216"/>
        <w:spacing w:after="0" w:line="290" w:lineRule="auto"/>
        <w:rPr>
          <w:sz w:val="20"/>
          <w:szCs w:val="20"/>
          <w:color w:val="auto"/>
        </w:rPr>
      </w:pPr>
      <w:r>
        <w:rPr>
          <w:rFonts w:ascii="Arial" w:cs="Arial" w:eastAsia="Arial" w:hAnsi="Arial"/>
          <w:sz w:val="16"/>
          <w:szCs w:val="16"/>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developed and offer a broad portfolio of differentiated digital printing solutions for the DTG market that</w:t>
      </w:r>
    </w:p>
    <w:p>
      <w:pPr>
        <w:spacing w:after="0" w:line="23" w:lineRule="exact"/>
        <w:rPr>
          <w:sz w:val="20"/>
          <w:szCs w:val="20"/>
          <w:color w:val="auto"/>
        </w:rPr>
      </w:pPr>
    </w:p>
    <w:p>
      <w:pPr>
        <w:ind w:left="260" w:right="40"/>
        <w:spacing w:after="0" w:line="252" w:lineRule="auto"/>
        <w:rPr>
          <w:sz w:val="20"/>
          <w:szCs w:val="20"/>
          <w:color w:val="auto"/>
        </w:rPr>
      </w:pPr>
      <w:r>
        <w:rPr>
          <w:rFonts w:ascii="Arial" w:cs="Arial" w:eastAsia="Arial" w:hAnsi="Arial"/>
          <w:sz w:val="18"/>
          <w:szCs w:val="18"/>
          <w:color w:val="auto"/>
        </w:rPr>
        <w:t>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94" w:lineRule="exact"/>
        <w:rPr>
          <w:sz w:val="20"/>
          <w:szCs w:val="20"/>
          <w:color w:val="auto"/>
        </w:rPr>
      </w:pPr>
    </w:p>
    <w:p>
      <w:pPr>
        <w:ind w:left="260" w:right="60" w:firstLine="216"/>
        <w:spacing w:after="0" w:line="290" w:lineRule="auto"/>
        <w:rPr>
          <w:sz w:val="20"/>
          <w:szCs w:val="20"/>
          <w:color w:val="auto"/>
        </w:rPr>
      </w:pPr>
      <w:r>
        <w:rPr>
          <w:rFonts w:ascii="Arial" w:cs="Arial" w:eastAsia="Arial" w:hAnsi="Arial"/>
          <w:sz w:val="16"/>
          <w:szCs w:val="16"/>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260" w:right="120" w:firstLine="216"/>
        <w:spacing w:after="0" w:line="286" w:lineRule="auto"/>
        <w:rPr>
          <w:sz w:val="20"/>
          <w:szCs w:val="20"/>
          <w:color w:val="auto"/>
        </w:rPr>
      </w:pPr>
      <w:r>
        <w:rPr>
          <w:rFonts w:ascii="Arial" w:cs="Arial" w:eastAsia="Arial" w:hAnsi="Arial"/>
          <w:sz w:val="17"/>
          <w:szCs w:val="17"/>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w:t>
      </w:r>
    </w:p>
    <w:p>
      <w:pPr>
        <w:spacing w:after="0" w:line="200" w:lineRule="exact"/>
        <w:rPr>
          <w:sz w:val="20"/>
          <w:szCs w:val="20"/>
          <w:color w:val="auto"/>
        </w:rPr>
      </w:pPr>
    </w:p>
    <w:p>
      <w:pPr>
        <w:spacing w:after="0" w:line="285"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5" w:right="659" w:bottom="1440" w:gutter="0" w:footer="0" w:header="0"/>
        </w:sectPr>
      </w:pPr>
    </w:p>
    <w:bookmarkStart w:id="4" w:name="page5"/>
    <w:bookmarkEnd w:id="4"/>
    <w:p>
      <w:pPr>
        <w:ind w:left="260"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8082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8082280"/>
                    </a:xfrm>
                    <a:prstGeom prst="rect">
                      <a:avLst/>
                    </a:prstGeom>
                    <a:noFill/>
                  </pic:spPr>
                </pic:pic>
              </a:graphicData>
            </a:graphic>
          </wp:anchor>
        </w:drawing>
        <w:t>printed textile industry involves printing on fabric rolls, finished garments and unsewn pieces of cut fabric at various stages along the value chain in the production of goods for the apparel, household, technical and display end markets.</w:t>
      </w:r>
    </w:p>
    <w:p>
      <w:pPr>
        <w:spacing w:after="0" w:line="147" w:lineRule="exact"/>
        <w:rPr>
          <w:sz w:val="20"/>
          <w:szCs w:val="20"/>
          <w:color w:val="auto"/>
        </w:rPr>
      </w:pPr>
    </w:p>
    <w:p>
      <w:pPr>
        <w:ind w:left="260" w:right="80" w:firstLine="216"/>
        <w:spacing w:after="0" w:line="290" w:lineRule="auto"/>
        <w:rPr>
          <w:sz w:val="20"/>
          <w:szCs w:val="20"/>
          <w:color w:val="auto"/>
        </w:rPr>
      </w:pPr>
      <w:r>
        <w:rPr>
          <w:rFonts w:ascii="Arial" w:cs="Arial" w:eastAsia="Arial" w:hAnsi="Arial"/>
          <w:sz w:val="16"/>
          <w:szCs w:val="16"/>
          <w:color w:val="auto"/>
        </w:rPr>
        <w:t>According to a 2014 report by Smithers Pira, a provider of market intelligence on the printing industry, the vast majority of the approximately 33 billion square meters of projected annual output of the global printed textile industry in 2015, which can be categorized into clothing, household, technical and display applications, is currently produced using analog printing methods, specifically screen printing, using carousels for printing on garments and rotary screen printers for printing on rolls of fabric. The Pira report estimates that digital printing will produce 780 million square meters of output in 2015, representing approximately 2% of total annual global printed textile output. According to the Pira report, digital textile printing output is forecasted to grow at 20% per year for the foreseeable future. Within digital textile printing, clothing applications represent the greatest amount of digital printed textile output and are projected to grow at a faster rate than household, technical and display applications.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Solutions</w:t>
      </w:r>
    </w:p>
    <w:p>
      <w:pPr>
        <w:spacing w:after="0" w:line="216" w:lineRule="exact"/>
        <w:rPr>
          <w:sz w:val="20"/>
          <w:szCs w:val="20"/>
          <w:color w:val="auto"/>
        </w:rPr>
      </w:pPr>
    </w:p>
    <w:p>
      <w:pPr>
        <w:ind w:left="260" w:right="60" w:firstLine="216"/>
        <w:spacing w:after="0" w:line="257" w:lineRule="auto"/>
        <w:rPr>
          <w:sz w:val="20"/>
          <w:szCs w:val="20"/>
          <w:color w:val="auto"/>
        </w:rPr>
      </w:pPr>
      <w:r>
        <w:rPr>
          <w:rFonts w:ascii="Arial" w:cs="Arial" w:eastAsia="Arial" w:hAnsi="Arial"/>
          <w:sz w:val="18"/>
          <w:szCs w:val="18"/>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202" w:lineRule="exact"/>
        <w:rPr>
          <w:sz w:val="20"/>
          <w:szCs w:val="20"/>
          <w:color w:val="auto"/>
        </w:rPr>
      </w:pPr>
    </w:p>
    <w:p>
      <w:pPr>
        <w:jc w:val="both"/>
        <w:ind w:left="680" w:right="40" w:hanging="213"/>
        <w:spacing w:after="0" w:line="238" w:lineRule="auto"/>
        <w:tabs>
          <w:tab w:leader="none" w:pos="692"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 Breeze and Thunder allow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to adopt digital technology with a limited upfront investment and use the same technology as our high throughput systems but with smaller garment printing areas and at lower throughput levels.</w:t>
      </w:r>
    </w:p>
    <w:p>
      <w:pPr>
        <w:spacing w:after="0" w:line="216" w:lineRule="exact"/>
        <w:rPr>
          <w:rFonts w:ascii="Arial" w:cs="Arial" w:eastAsia="Arial" w:hAnsi="Arial"/>
          <w:sz w:val="22"/>
          <w:szCs w:val="22"/>
          <w:i w:val="1"/>
          <w:iCs w:val="1"/>
          <w:color w:val="auto"/>
        </w:rPr>
      </w:pPr>
    </w:p>
    <w:p>
      <w:pPr>
        <w:jc w:val="both"/>
        <w:ind w:left="680" w:hanging="213"/>
        <w:spacing w:after="0" w:line="238" w:lineRule="auto"/>
        <w:tabs>
          <w:tab w:leader="none" w:pos="706"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 Paradigm</w:t>
      </w:r>
      <w:r>
        <w:rPr>
          <w:rFonts w:ascii="Arial" w:cs="Arial" w:eastAsia="Arial" w:hAnsi="Arial"/>
          <w:sz w:val="18"/>
          <w:szCs w:val="18"/>
          <w:i w:val="1"/>
          <w:iCs w:val="1"/>
          <w:color w:val="auto"/>
        </w:rPr>
        <w:t xml:space="preserve"> </w:t>
      </w:r>
      <w:r>
        <w:rPr>
          <w:rFonts w:ascii="Arial" w:cs="Arial" w:eastAsia="Arial" w:hAnsi="Arial"/>
          <w:sz w:val="18"/>
          <w:szCs w:val="18"/>
          <w:color w:val="auto"/>
        </w:rPr>
        <w:t>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260" w:right="100" w:firstLine="216"/>
        <w:spacing w:after="0" w:line="272" w:lineRule="auto"/>
        <w:rPr>
          <w:sz w:val="20"/>
          <w:szCs w:val="20"/>
          <w:color w:val="auto"/>
        </w:rPr>
      </w:pPr>
      <w:r>
        <w:rPr>
          <w:rFonts w:ascii="Arial" w:cs="Arial" w:eastAsia="Arial" w:hAnsi="Arial"/>
          <w:sz w:val="17"/>
          <w:szCs w:val="17"/>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key competitive strengths:</w:t>
      </w:r>
    </w:p>
    <w:p>
      <w:pPr>
        <w:spacing w:after="0" w:line="235" w:lineRule="exact"/>
        <w:rPr>
          <w:sz w:val="20"/>
          <w:szCs w:val="20"/>
          <w:color w:val="auto"/>
        </w:rPr>
      </w:pPr>
    </w:p>
    <w:p>
      <w:pPr>
        <w:ind w:left="680" w:right="20" w:hanging="213"/>
        <w:spacing w:after="0" w:line="262" w:lineRule="auto"/>
        <w:tabs>
          <w:tab w:leader="none" w:pos="692" w:val="left"/>
        </w:tabs>
        <w:numPr>
          <w:ilvl w:val="0"/>
          <w:numId w:val="3"/>
        </w:numPr>
        <w:rPr>
          <w:rFonts w:ascii="Arial" w:cs="Arial" w:eastAsia="Arial" w:hAnsi="Arial"/>
          <w:sz w:val="21"/>
          <w:szCs w:val="21"/>
          <w:b w:val="1"/>
          <w:bCs w:val="1"/>
          <w:color w:val="auto"/>
        </w:rPr>
      </w:pPr>
      <w:r>
        <w:rPr>
          <w:rFonts w:ascii="Arial" w:cs="Arial" w:eastAsia="Arial" w:hAnsi="Arial"/>
          <w:sz w:val="17"/>
          <w:szCs w:val="17"/>
          <w:b w:val="1"/>
          <w:bCs w:val="1"/>
          <w:color w:val="auto"/>
        </w:rPr>
        <w:t>Leading player in fast-growing digital DTG printing market</w:t>
      </w:r>
      <w:r>
        <w:rPr>
          <w:rFonts w:ascii="Arial" w:cs="Arial" w:eastAsia="Arial" w:hAnsi="Arial"/>
          <w:sz w:val="17"/>
          <w:szCs w:val="17"/>
          <w:color w:val="auto"/>
        </w:rPr>
        <w:t>. We are a leading player in the fast-growing digital DTG</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market based on our sales and installed base of more than 1,200 systems globally. According to the Pira report, global revenue from digital textile printing equipment and ink is expected to grow at a 17% compound annual growth rate between 2014 and 2019. We believe that high throughput DTG and R2R applications in the textile printing market are positioned to grow at a rate greater than the 17% projected industry growth rate between 2014 and 2019, as estimated by the Pira report. The Pira report estimates that the DTG market has an addressable opportunity of five to 10 billion garments a year, with over 300,000 sites globally printing primarily t-shirts and other apparel.</w:t>
      </w:r>
    </w:p>
    <w:p>
      <w:pPr>
        <w:spacing w:after="0" w:line="198" w:lineRule="exact"/>
        <w:rPr>
          <w:rFonts w:ascii="Arial" w:cs="Arial" w:eastAsia="Arial" w:hAnsi="Arial"/>
          <w:sz w:val="21"/>
          <w:szCs w:val="21"/>
          <w:b w:val="1"/>
          <w:bCs w:val="1"/>
          <w:color w:val="auto"/>
        </w:rPr>
      </w:pPr>
    </w:p>
    <w:p>
      <w:pPr>
        <w:ind w:left="680" w:right="20" w:hanging="213"/>
        <w:spacing w:after="0" w:line="260" w:lineRule="auto"/>
        <w:tabs>
          <w:tab w:leader="none" w:pos="692" w:val="left"/>
        </w:tabs>
        <w:numPr>
          <w:ilvl w:val="0"/>
          <w:numId w:val="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Disruptive technology that enables our customers to adopt new or improve existing business models. </w:t>
      </w:r>
      <w:r>
        <w:rPr>
          <w:rFonts w:ascii="Arial" w:cs="Arial" w:eastAsia="Arial" w:hAnsi="Arial"/>
          <w:sz w:val="17"/>
          <w:szCs w:val="17"/>
          <w:color w:val="auto"/>
        </w:rPr>
        <w:t>Our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pacing w:after="0" w:line="197" w:lineRule="exact"/>
        <w:rPr>
          <w:rFonts w:ascii="Arial" w:cs="Arial" w:eastAsia="Arial" w:hAnsi="Arial"/>
          <w:sz w:val="21"/>
          <w:szCs w:val="21"/>
          <w:b w:val="1"/>
          <w:bCs w:val="1"/>
          <w:color w:val="auto"/>
        </w:rPr>
      </w:pPr>
    </w:p>
    <w:p>
      <w:pPr>
        <w:ind w:left="680" w:right="20" w:hanging="213"/>
        <w:spacing w:after="0" w:line="243" w:lineRule="auto"/>
        <w:tabs>
          <w:tab w:leader="none" w:pos="692"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Our existing and growing installed base of systems results in recurring sales of ink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consumables. Recurring sales of ink and other consumables have historically offered us visibility into a significant component of our results of operations. We believe that our recurring sales model also enables us to foster close customer relationships and allows us to provide value added services to our customers.</w:t>
      </w:r>
    </w:p>
    <w:p>
      <w:pPr>
        <w:spacing w:after="0" w:line="29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9" w:right="659" w:bottom="1440" w:gutter="0" w:footer="0" w:header="0"/>
        </w:sectPr>
      </w:pPr>
    </w:p>
    <w:bookmarkStart w:id="5" w:name="page6"/>
    <w:bookmarkEnd w:id="5"/>
    <w:p>
      <w:pPr>
        <w:ind w:left="680" w:hanging="213"/>
        <w:spacing w:after="0" w:line="302" w:lineRule="auto"/>
        <w:tabs>
          <w:tab w:leader="none" w:pos="692"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20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5695" cy="7207885"/>
                    </a:xfrm>
                    <a:prstGeom prst="rect">
                      <a:avLst/>
                    </a:prstGeom>
                    <a:noFill/>
                  </pic:spPr>
                </pic:pic>
              </a:graphicData>
            </a:graphic>
          </wp:anchor>
        </w:drawing>
        <w:t xml:space="preserve">Robust intellectual property portfolio driven by an innovation-based culture. </w:t>
      </w:r>
      <w:r>
        <w:rPr>
          <w:rFonts w:ascii="Arial" w:cs="Arial" w:eastAsia="Arial" w:hAnsi="Arial"/>
          <w:sz w:val="16"/>
          <w:szCs w:val="16"/>
          <w:color w:val="auto"/>
        </w:rPr>
        <w:t>Our intellectual property portfolio reflects</w:t>
      </w:r>
      <w:r>
        <w:rPr>
          <w:rFonts w:ascii="Arial" w:cs="Arial" w:eastAsia="Arial" w:hAnsi="Arial"/>
          <w:sz w:val="16"/>
          <w:szCs w:val="16"/>
          <w:b w:val="1"/>
          <w:bCs w:val="1"/>
          <w:color w:val="auto"/>
        </w:rPr>
        <w:t xml:space="preserve"> </w:t>
      </w:r>
      <w:r>
        <w:rPr>
          <w:rFonts w:ascii="Arial" w:cs="Arial" w:eastAsia="Arial" w:hAnsi="Arial"/>
          <w:sz w:val="16"/>
          <w:szCs w:val="16"/>
          <w:color w:val="auto"/>
        </w:rPr>
        <w:t>over a decade of significant investments in digital textile printing, which we believe creates significant barriers to entry.</w:t>
      </w:r>
    </w:p>
    <w:p>
      <w:pPr>
        <w:spacing w:after="0" w:line="155" w:lineRule="exact"/>
        <w:rPr>
          <w:rFonts w:ascii="Arial" w:cs="Arial" w:eastAsia="Arial" w:hAnsi="Arial"/>
          <w:sz w:val="19"/>
          <w:szCs w:val="19"/>
          <w:b w:val="1"/>
          <w:bCs w:val="1"/>
          <w:color w:val="auto"/>
        </w:rPr>
      </w:pPr>
    </w:p>
    <w:p>
      <w:pPr>
        <w:ind w:left="680" w:right="120" w:hanging="213"/>
        <w:spacing w:after="0" w:line="243" w:lineRule="auto"/>
        <w:tabs>
          <w:tab w:leader="none" w:pos="692"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Extensive product portfolio and strong new product pipeline. </w:t>
      </w:r>
      <w:r>
        <w:rPr>
          <w:rFonts w:ascii="Arial" w:cs="Arial" w:eastAsia="Arial" w:hAnsi="Arial"/>
          <w:sz w:val="18"/>
          <w:szCs w:val="18"/>
          <w:color w:val="auto"/>
        </w:rPr>
        <w:t>Our DTG systems are suited for smaller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209" w:lineRule="exact"/>
        <w:rPr>
          <w:rFonts w:ascii="Arial" w:cs="Arial" w:eastAsia="Arial" w:hAnsi="Arial"/>
          <w:sz w:val="22"/>
          <w:szCs w:val="22"/>
          <w:b w:val="1"/>
          <w:bCs w:val="1"/>
          <w:color w:val="auto"/>
        </w:rPr>
      </w:pPr>
    </w:p>
    <w:p>
      <w:pPr>
        <w:ind w:left="680" w:right="40" w:hanging="213"/>
        <w:spacing w:after="0" w:line="243" w:lineRule="auto"/>
        <w:tabs>
          <w:tab w:leader="none" w:pos="692"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Environmentally friendly printing processes. </w:t>
      </w:r>
      <w:r>
        <w:rPr>
          <w:rFonts w:ascii="Arial" w:cs="Arial" w:eastAsia="Arial" w:hAnsi="Arial"/>
          <w:sz w:val="18"/>
          <w:szCs w:val="18"/>
          <w:color w:val="auto"/>
        </w:rPr>
        <w:t>A significant portion of global industrial water pollution comes from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209" w:lineRule="exact"/>
        <w:rPr>
          <w:rFonts w:ascii="Arial" w:cs="Arial" w:eastAsia="Arial" w:hAnsi="Arial"/>
          <w:sz w:val="22"/>
          <w:szCs w:val="22"/>
          <w:b w:val="1"/>
          <w:bCs w:val="1"/>
          <w:color w:val="auto"/>
        </w:rPr>
      </w:pPr>
    </w:p>
    <w:p>
      <w:pPr>
        <w:ind w:left="680" w:hanging="213"/>
        <w:spacing w:after="0" w:line="302" w:lineRule="auto"/>
        <w:tabs>
          <w:tab w:leader="none" w:pos="814"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Experienced management team. </w:t>
      </w:r>
      <w:r>
        <w:rPr>
          <w:rFonts w:ascii="Arial" w:cs="Arial" w:eastAsia="Arial" w:hAnsi="Arial"/>
          <w:sz w:val="16"/>
          <w:szCs w:val="16"/>
          <w:color w:val="auto"/>
        </w:rPr>
        <w:t>We believe that our management teams’ industry expertise, long history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extensive experience in running global publicly traded companies will enable us to execute our growth strategy.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16" w:lineRule="exact"/>
        <w:rPr>
          <w:sz w:val="20"/>
          <w:szCs w:val="20"/>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192"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drive adoption of digital DTG printing solutions by customers who primarily use screen printing carousels; and</w:t>
      </w:r>
    </w:p>
    <w:p>
      <w:pPr>
        <w:spacing w:after="0" w:line="215"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19"/>
          <w:szCs w:val="19"/>
          <w:color w:val="auto"/>
        </w:rPr>
      </w:pPr>
      <w:r>
        <w:rPr>
          <w:rFonts w:ascii="Arial" w:cs="Arial" w:eastAsia="Arial" w:hAnsi="Arial"/>
          <w:sz w:val="16"/>
          <w:szCs w:val="16"/>
          <w:color w:val="auto"/>
        </w:rPr>
        <w:t>extend our technological leadership through ongoing research and development and continuing to introduce new products.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260" w:right="220" w:firstLine="216"/>
        <w:spacing w:after="0" w:line="257"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202" w:lineRule="exact"/>
        <w:rPr>
          <w:sz w:val="20"/>
          <w:szCs w:val="20"/>
          <w:color w:val="auto"/>
        </w:rPr>
      </w:pPr>
    </w:p>
    <w:p>
      <w:pPr>
        <w:ind w:left="680" w:right="12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217" w:lineRule="exact"/>
        <w:rPr>
          <w:rFonts w:ascii="Arial" w:cs="Arial" w:eastAsia="Arial" w:hAnsi="Arial"/>
          <w:sz w:val="22"/>
          <w:szCs w:val="22"/>
          <w:color w:val="auto"/>
        </w:rPr>
      </w:pPr>
    </w:p>
    <w:p>
      <w:pPr>
        <w:ind w:left="68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94" w:lineRule="exact"/>
        <w:rPr>
          <w:rFonts w:ascii="Arial" w:cs="Arial" w:eastAsia="Arial" w:hAnsi="Arial"/>
          <w:sz w:val="22"/>
          <w:szCs w:val="22"/>
          <w:color w:val="auto"/>
        </w:rPr>
      </w:pPr>
    </w:p>
    <w:p>
      <w:pPr>
        <w:ind w:left="700" w:hanging="233"/>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failure to compete successfully could cause our revenues and demand for our solutions to decline.</w:t>
      </w:r>
    </w:p>
    <w:p>
      <w:pPr>
        <w:spacing w:after="0" w:line="215" w:lineRule="exact"/>
        <w:rPr>
          <w:rFonts w:ascii="Arial" w:cs="Arial" w:eastAsia="Arial" w:hAnsi="Arial"/>
          <w:sz w:val="22"/>
          <w:szCs w:val="22"/>
          <w:color w:val="auto"/>
        </w:rPr>
      </w:pPr>
    </w:p>
    <w:p>
      <w:pPr>
        <w:ind w:left="680" w:right="520" w:hanging="213"/>
        <w:spacing w:after="0" w:line="251" w:lineRule="auto"/>
        <w:tabs>
          <w:tab w:leader="none" w:pos="692" w:val="left"/>
        </w:tabs>
        <w:numPr>
          <w:ilvl w:val="0"/>
          <w:numId w:val="6"/>
        </w:numPr>
        <w:rPr>
          <w:rFonts w:ascii="Arial" w:cs="Arial" w:eastAsia="Arial" w:hAnsi="Arial"/>
          <w:sz w:val="21"/>
          <w:szCs w:val="21"/>
          <w:color w:val="auto"/>
        </w:rPr>
      </w:pPr>
      <w:r>
        <w:rPr>
          <w:rFonts w:ascii="Arial" w:cs="Arial" w:eastAsia="Arial" w:hAnsi="Arial"/>
          <w:sz w:val="17"/>
          <w:szCs w:val="17"/>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204" w:lineRule="exact"/>
        <w:rPr>
          <w:rFonts w:ascii="Arial" w:cs="Arial" w:eastAsia="Arial" w:hAnsi="Arial"/>
          <w:sz w:val="21"/>
          <w:szCs w:val="21"/>
          <w:color w:val="auto"/>
        </w:rPr>
      </w:pPr>
    </w:p>
    <w:p>
      <w:pPr>
        <w:ind w:left="680" w:right="68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30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634" w:right="659" w:bottom="1440" w:gutter="0" w:footer="0" w:header="0"/>
        </w:sectPr>
      </w:pPr>
    </w:p>
    <w:bookmarkStart w:id="6" w:name="page7"/>
    <w:bookmarkEnd w:id="6"/>
    <w:p>
      <w:pPr>
        <w:ind w:left="680" w:right="3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5793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5695" cy="5793105"/>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217" w:lineRule="exact"/>
        <w:rPr>
          <w:rFonts w:ascii="Arial" w:cs="Arial" w:eastAsia="Arial" w:hAnsi="Arial"/>
          <w:sz w:val="22"/>
          <w:szCs w:val="22"/>
          <w:color w:val="auto"/>
        </w:rPr>
      </w:pPr>
    </w:p>
    <w:p>
      <w:pPr>
        <w:ind w:left="680" w:right="1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217" w:lineRule="exact"/>
        <w:rPr>
          <w:rFonts w:ascii="Arial" w:cs="Arial" w:eastAsia="Arial" w:hAnsi="Arial"/>
          <w:sz w:val="22"/>
          <w:szCs w:val="22"/>
          <w:color w:val="auto"/>
        </w:rPr>
      </w:pPr>
    </w:p>
    <w:p>
      <w:pPr>
        <w:ind w:left="680" w:right="6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217" w:lineRule="exact"/>
        <w:rPr>
          <w:rFonts w:ascii="Arial" w:cs="Arial" w:eastAsia="Arial" w:hAnsi="Arial"/>
          <w:sz w:val="22"/>
          <w:szCs w:val="22"/>
          <w:color w:val="auto"/>
        </w:rPr>
      </w:pPr>
    </w:p>
    <w:p>
      <w:pPr>
        <w:ind w:left="680" w:right="2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217" w:lineRule="exact"/>
        <w:rPr>
          <w:rFonts w:ascii="Arial" w:cs="Arial" w:eastAsia="Arial" w:hAnsi="Arial"/>
          <w:sz w:val="22"/>
          <w:szCs w:val="22"/>
          <w:color w:val="auto"/>
        </w:rPr>
      </w:pPr>
    </w:p>
    <w:p>
      <w:pPr>
        <w:ind w:left="680" w:hanging="213"/>
        <w:spacing w:after="0" w:line="232"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Principal Shareholder</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Following the closing of this offering, entities affiliated with Fortissimo Capital Fund II (Israel) L.P. will beneficially own</w:t>
      </w:r>
    </w:p>
    <w:p>
      <w:pPr>
        <w:spacing w:after="0" w:line="35" w:lineRule="exact"/>
        <w:rPr>
          <w:sz w:val="20"/>
          <w:szCs w:val="20"/>
          <w:color w:val="auto"/>
        </w:rPr>
      </w:pPr>
    </w:p>
    <w:p>
      <w:pPr>
        <w:ind w:left="260" w:right="20" w:firstLine="45"/>
        <w:spacing w:after="0" w:line="254" w:lineRule="auto"/>
        <w:rPr>
          <w:sz w:val="20"/>
          <w:szCs w:val="20"/>
          <w:color w:val="auto"/>
        </w:rPr>
      </w:pPr>
      <w:r>
        <w:rPr>
          <w:rFonts w:ascii="Arial" w:cs="Arial" w:eastAsia="Arial" w:hAnsi="Arial"/>
          <w:sz w:val="18"/>
          <w:szCs w:val="18"/>
          <w:color w:val="auto"/>
        </w:rPr>
        <w:t>% of our outstanding shares in the aggregate (or %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260" w:right="20" w:firstLine="216"/>
        <w:spacing w:after="0" w:line="273" w:lineRule="auto"/>
        <w:rPr>
          <w:sz w:val="20"/>
          <w:szCs w:val="20"/>
          <w:color w:val="auto"/>
        </w:rPr>
      </w:pPr>
      <w:r>
        <w:rPr>
          <w:rFonts w:ascii="Arial" w:cs="Arial" w:eastAsia="Arial" w:hAnsi="Arial"/>
          <w:sz w:val="17"/>
          <w:szCs w:val="17"/>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78" w:lineRule="exact"/>
        <w:rPr>
          <w:sz w:val="20"/>
          <w:szCs w:val="20"/>
          <w:color w:val="auto"/>
        </w:rPr>
      </w:pPr>
    </w:p>
    <w:p>
      <w:pPr>
        <w:ind w:left="260" w:right="120" w:firstLine="216"/>
        <w:spacing w:after="0" w:line="299" w:lineRule="auto"/>
        <w:rPr>
          <w:sz w:val="20"/>
          <w:szCs w:val="20"/>
          <w:color w:val="auto"/>
        </w:rPr>
      </w:pPr>
      <w:r>
        <w:rPr>
          <w:rFonts w:ascii="Arial" w:cs="Arial" w:eastAsia="Arial" w:hAnsi="Arial"/>
          <w:sz w:val="16"/>
          <w:szCs w:val="16"/>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 pending applications relating to our</w:t>
      </w:r>
    </w:p>
    <w:p>
      <w:pPr>
        <w:spacing w:after="0" w:line="1" w:lineRule="exact"/>
        <w:rPr>
          <w:sz w:val="20"/>
          <w:szCs w:val="20"/>
          <w:color w:val="auto"/>
        </w:rPr>
      </w:pPr>
    </w:p>
    <w:p>
      <w:pPr>
        <w:ind w:left="260" w:right="240"/>
        <w:spacing w:after="0" w:line="243" w:lineRule="auto"/>
        <w:rPr>
          <w:sz w:val="20"/>
          <w:szCs w:val="20"/>
          <w:color w:val="auto"/>
        </w:rPr>
      </w:pPr>
      <w:r>
        <w:rPr>
          <w:rFonts w:ascii="Arial" w:cs="Arial" w:eastAsia="Arial" w:hAnsi="Arial"/>
          <w:sz w:val="18"/>
          <w:szCs w:val="18"/>
          <w:color w:val="auto"/>
        </w:rPr>
        <w:t>solutions. Although we have omitted the “</w:t>
      </w:r>
      <w:r>
        <w:rPr>
          <w:rFonts w:ascii="Arial" w:cs="Arial" w:eastAsia="Arial" w:hAnsi="Arial"/>
          <w:sz w:val="21"/>
          <w:szCs w:val="21"/>
          <w:color w:val="auto"/>
          <w:vertAlign w:val="superscript"/>
        </w:rPr>
        <w:t>®</w:t>
      </w:r>
      <w:r>
        <w:rPr>
          <w:rFonts w:ascii="Arial" w:cs="Arial" w:eastAsia="Arial" w:hAnsi="Arial"/>
          <w:sz w:val="18"/>
          <w:szCs w:val="18"/>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638" w:right="659" w:bottom="1440" w:gutter="0" w:footer="0" w:header="0"/>
        </w:sectPr>
      </w:pPr>
    </w:p>
    <w:bookmarkStart w:id="7" w:name="page8"/>
    <w:bookmarkEnd w:id="7"/>
    <w:tbl>
      <w:tblPr>
        <w:tblLayout w:type="fixed"/>
        <w:tblInd w:w="2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The Offering</w:t>
            </w:r>
          </w:p>
        </w:tc>
        <w:tc>
          <w:tcPr>
            <w:tcW w:w="3940" w:type="dxa"/>
            <w:vAlign w:val="bottom"/>
          </w:tcPr>
          <w:p>
            <w:pPr>
              <w:spacing w:after="0"/>
              <w:rPr>
                <w:sz w:val="20"/>
                <w:szCs w:val="20"/>
                <w:color w:val="auto"/>
              </w:rPr>
            </w:pP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Ordinary shares we are offering</w:t>
            </w:r>
          </w:p>
        </w:tc>
        <w:tc>
          <w:tcPr>
            <w:tcW w:w="420" w:type="dxa"/>
            <w:vAlign w:val="bottom"/>
          </w:tcPr>
          <w:p>
            <w:pPr>
              <w:spacing w:after="0"/>
              <w:rPr>
                <w:sz w:val="24"/>
                <w:szCs w:val="24"/>
                <w:color w:val="auto"/>
              </w:rPr>
            </w:pP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ordinary shares (or</w:t>
            </w:r>
          </w:p>
        </w:tc>
        <w:tc>
          <w:tcPr>
            <w:tcW w:w="3940" w:type="dxa"/>
            <w:vAlign w:val="bottom"/>
          </w:tcPr>
          <w:p>
            <w:pPr>
              <w:jc w:val="right"/>
              <w:ind w:right="10"/>
              <w:spacing w:after="0"/>
              <w:rPr>
                <w:sz w:val="20"/>
                <w:szCs w:val="20"/>
                <w:color w:val="auto"/>
              </w:rPr>
            </w:pPr>
            <w:r>
              <w:rPr>
                <w:rFonts w:ascii="Arial" w:cs="Arial" w:eastAsia="Arial" w:hAnsi="Arial"/>
                <w:sz w:val="18"/>
                <w:szCs w:val="18"/>
                <w:color w:val="auto"/>
              </w:rPr>
              <w:t>if the underwriters exercise in full their option</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to purchase additional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w w:val="90"/>
              </w:rPr>
              <w:t>Ordinary shares to be outstanding immediately</w:t>
            </w:r>
          </w:p>
        </w:tc>
        <w:tc>
          <w:tcPr>
            <w:tcW w:w="420" w:type="dxa"/>
            <w:vAlign w:val="bottom"/>
          </w:tcPr>
          <w:p>
            <w:pPr>
              <w:spacing w:after="0"/>
              <w:rPr>
                <w:sz w:val="24"/>
                <w:szCs w:val="24"/>
                <w:color w:val="auto"/>
              </w:rPr>
            </w:pP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ordinary shares (or</w:t>
            </w:r>
          </w:p>
        </w:tc>
        <w:tc>
          <w:tcPr>
            <w:tcW w:w="3940" w:type="dxa"/>
            <w:vAlign w:val="bottom"/>
          </w:tcPr>
          <w:p>
            <w:pPr>
              <w:jc w:val="right"/>
              <w:ind w:right="10"/>
              <w:spacing w:after="0"/>
              <w:rPr>
                <w:sz w:val="20"/>
                <w:szCs w:val="20"/>
                <w:color w:val="auto"/>
              </w:rPr>
            </w:pPr>
            <w:r>
              <w:rPr>
                <w:rFonts w:ascii="Arial" w:cs="Arial" w:eastAsia="Arial" w:hAnsi="Arial"/>
                <w:sz w:val="18"/>
                <w:szCs w:val="18"/>
                <w:color w:val="auto"/>
              </w:rPr>
              <w:t>if the underwriters exercise in full their option</w:t>
            </w:r>
          </w:p>
        </w:tc>
      </w:t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after this offering</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to purchase additional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Use of proceeds</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5"/>
              </w:rPr>
              <w:t>We estimate that we will receive net proceeds from this offering of approximately</w:t>
            </w:r>
          </w:p>
        </w:tc>
      </w:tr>
      <w:tr>
        <w:trPr>
          <w:trHeight w:val="216"/>
        </w:trPr>
        <w:tc>
          <w:tcPr>
            <w:tcW w:w="33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ind w:left="380"/>
              <w:spacing w:after="0"/>
              <w:rPr>
                <w:sz w:val="20"/>
                <w:szCs w:val="20"/>
                <w:color w:val="auto"/>
              </w:rPr>
            </w:pPr>
            <w:r>
              <w:rPr>
                <w:rFonts w:ascii="Arial" w:cs="Arial" w:eastAsia="Arial" w:hAnsi="Arial"/>
                <w:sz w:val="18"/>
                <w:szCs w:val="18"/>
                <w:color w:val="auto"/>
                <w:w w:val="99"/>
              </w:rPr>
              <w:t>million, or $</w:t>
            </w:r>
          </w:p>
        </w:tc>
        <w:tc>
          <w:tcPr>
            <w:tcW w:w="480" w:type="dxa"/>
            <w:vAlign w:val="bottom"/>
          </w:tcPr>
          <w:p>
            <w:pPr>
              <w:spacing w:after="0"/>
              <w:rPr>
                <w:sz w:val="18"/>
                <w:szCs w:val="18"/>
                <w:color w:val="auto"/>
              </w:rPr>
            </w:pPr>
          </w:p>
        </w:tc>
        <w:tc>
          <w:tcPr>
            <w:tcW w:w="3940" w:type="dxa"/>
            <w:vAlign w:val="bottom"/>
          </w:tcPr>
          <w:p>
            <w:pPr>
              <w:jc w:val="right"/>
              <w:ind w:right="330"/>
              <w:spacing w:after="0"/>
              <w:rPr>
                <w:sz w:val="20"/>
                <w:szCs w:val="20"/>
                <w:color w:val="auto"/>
              </w:rPr>
            </w:pPr>
            <w:r>
              <w:rPr>
                <w:rFonts w:ascii="Arial" w:cs="Arial" w:eastAsia="Arial" w:hAnsi="Arial"/>
                <w:sz w:val="18"/>
                <w:szCs w:val="18"/>
                <w:color w:val="auto"/>
                <w:w w:val="97"/>
              </w:rPr>
              <w:t>million if the underwriters exercise in full their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4"/>
              </w:rPr>
              <w:t>option to purchase additional ordinary shares, based on an assumed initial public</w:t>
            </w:r>
          </w:p>
        </w:tc>
      </w:tr>
      <w:tr>
        <w:trPr>
          <w:trHeight w:val="216"/>
        </w:trPr>
        <w:tc>
          <w:tcPr>
            <w:tcW w:w="33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offering price of $</w:t>
            </w:r>
          </w:p>
        </w:tc>
        <w:tc>
          <w:tcPr>
            <w:tcW w:w="442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 the midpoint of the price range set forth on the cover page</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6"/>
              </w:rPr>
              <w:t>of this prospectus, after deducting underwriting discounts and commissions and</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estimated offering expenses payable by us.</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We intend to use the net proceeds from this offering for general corporate purposes,</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including working capital, sales and marketing activities, research and development,</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9"/>
              </w:rPr>
              <w:t>and general and administrative matters. We may also use a portion of the net</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proceeds for the acquisition of, or investment in, technologies, solutions or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89"/>
              </w:rPr>
              <w:t>businesses that complement our business, although we are not currently a party to, or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4"/>
              </w:rPr>
              <w:t>involved with, discussions regarding any material acquisition that is probable. See</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“Use of Proceeds” on page 27 for additional information.</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Risk factors</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Investing in our ordinary shares involves a high degree of risk and purchasers of our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0"/>
              </w:rPr>
              <w:t>ordinary shares may lose part or all of their investment. See “Risk Factors” and other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information included in this prospectus for a discussion of factors you should</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carefully consider before deciding to invest in our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w w:val="99"/>
              </w:rPr>
              <w:t>Proposed NASDAQ Global Market symbol</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9"/>
              </w:rPr>
              <w:t>We intend to apply to have our ordinary shares listed on the NASDAQ Global</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Market under the symbol “KRNT.”</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876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5695" cy="7876540"/>
                    </a:xfrm>
                    <a:prstGeom prst="rect">
                      <a:avLst/>
                    </a:prstGeom>
                    <a:noFill/>
                  </pic:spPr>
                </pic:pic>
              </a:graphicData>
            </a:graphic>
          </wp:anchor>
        </w:drawing>
      </w:r>
    </w:p>
    <w:p>
      <w:pPr>
        <w:ind w:left="260" w:right="40" w:firstLine="216"/>
        <w:spacing w:after="0" w:line="257" w:lineRule="auto"/>
        <w:rPr>
          <w:sz w:val="20"/>
          <w:szCs w:val="20"/>
          <w:color w:val="auto"/>
        </w:rPr>
      </w:pPr>
      <w:r>
        <w:rPr>
          <w:rFonts w:ascii="Arial" w:cs="Arial" w:eastAsia="Arial" w:hAnsi="Arial"/>
          <w:sz w:val="18"/>
          <w:szCs w:val="18"/>
          <w:color w:val="auto"/>
        </w:rPr>
        <w:t>Unless otherwise indicated, the number of ordinary shares to be outstanding after this offering is based on 3,296,450 ordinary shares outstanding as of November 30, 2014 assuming the conversion of all outstanding Series A-1 preferred shares into an equal number of ordinary shares and excludes 402,149 ordinary shares reserved for issuance under our equity incentive plans in respect of which, as of September 30, 2014, we had outstanding options to purchase 333,932 ordinary shares at a weighted average exercise price of $8.96 per share.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239" w:lineRule="exact"/>
        <w:rPr>
          <w:sz w:val="20"/>
          <w:szCs w:val="20"/>
          <w:color w:val="auto"/>
        </w:rPr>
      </w:pPr>
    </w:p>
    <w:p>
      <w:pPr>
        <w:ind w:left="680"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an equal number of ordinary shares which will occur immediately prior to the closing of this offering;</w:t>
      </w:r>
    </w:p>
    <w:p>
      <w:pPr>
        <w:spacing w:after="0" w:line="217" w:lineRule="exact"/>
        <w:rPr>
          <w:rFonts w:ascii="Arial" w:cs="Arial" w:eastAsia="Arial" w:hAnsi="Arial"/>
          <w:sz w:val="22"/>
          <w:szCs w:val="22"/>
          <w:color w:val="auto"/>
        </w:rPr>
      </w:pPr>
    </w:p>
    <w:p>
      <w:pPr>
        <w:ind w:left="680" w:right="320"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assumes an initial public offering price of $ per ordinary share, the midpoint of the price range set forth on the cover page of this prospectus;</w:t>
      </w:r>
    </w:p>
    <w:p>
      <w:pPr>
        <w:spacing w:after="0" w:line="183" w:lineRule="exact"/>
        <w:rPr>
          <w:sz w:val="20"/>
          <w:szCs w:val="20"/>
          <w:color w:val="auto"/>
        </w:rPr>
      </w:pPr>
    </w:p>
    <w:p>
      <w:pPr>
        <w:ind w:left="460"/>
        <w:spacing w:after="0"/>
        <w:tabs>
          <w:tab w:leader="none" w:pos="736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assumes no exercise by the underwriters of their option to purchase up to an additional</w:t>
      </w:r>
      <w:r>
        <w:rPr>
          <w:sz w:val="20"/>
          <w:szCs w:val="20"/>
          <w:color w:val="auto"/>
        </w:rPr>
        <w:tab/>
      </w:r>
      <w:r>
        <w:rPr>
          <w:rFonts w:ascii="Arial" w:cs="Arial" w:eastAsia="Arial" w:hAnsi="Arial"/>
          <w:sz w:val="16"/>
          <w:szCs w:val="16"/>
          <w:color w:val="auto"/>
        </w:rPr>
        <w:t>ordinary shares from us;</w:t>
      </w:r>
    </w:p>
    <w:p>
      <w:pPr>
        <w:spacing w:after="0" w:line="227" w:lineRule="exact"/>
        <w:rPr>
          <w:sz w:val="20"/>
          <w:szCs w:val="20"/>
          <w:color w:val="auto"/>
        </w:rPr>
      </w:pPr>
    </w:p>
    <w:p>
      <w:pPr>
        <w:ind w:left="680" w:right="80" w:hanging="213"/>
        <w:spacing w:after="0" w:line="232" w:lineRule="auto"/>
        <w:tabs>
          <w:tab w:leader="none" w:pos="692" w:val="left"/>
        </w:tabs>
        <w:numPr>
          <w:ilvl w:val="0"/>
          <w:numId w:val="9"/>
        </w:numPr>
        <w:rPr>
          <w:rFonts w:ascii="Arial" w:cs="Arial" w:eastAsia="Arial" w:hAnsi="Arial"/>
          <w:sz w:val="22"/>
          <w:szCs w:val="22"/>
          <w:color w:val="auto"/>
        </w:rPr>
      </w:pPr>
      <w:r>
        <w:rPr>
          <w:rFonts w:ascii="Arial" w:cs="Arial" w:eastAsia="Arial" w:hAnsi="Arial"/>
          <w:sz w:val="18"/>
          <w:szCs w:val="18"/>
          <w:color w:val="auto"/>
        </w:rPr>
        <w:t>gives effect to the adoption of our amended and restated articles of association prior to the closing of this offering, which will replace our articles of association currently in effect;</w:t>
      </w:r>
    </w:p>
    <w:p>
      <w:pPr>
        <w:spacing w:after="0" w:line="217" w:lineRule="exact"/>
        <w:rPr>
          <w:rFonts w:ascii="Arial" w:cs="Arial" w:eastAsia="Arial" w:hAnsi="Arial"/>
          <w:sz w:val="22"/>
          <w:szCs w:val="22"/>
          <w:color w:val="auto"/>
        </w:rPr>
      </w:pPr>
    </w:p>
    <w:p>
      <w:pPr>
        <w:ind w:left="680" w:right="280" w:hanging="213"/>
        <w:spacing w:after="0" w:line="297" w:lineRule="auto"/>
        <w:tabs>
          <w:tab w:leader="none" w:pos="692" w:val="left"/>
        </w:tabs>
        <w:numPr>
          <w:ilvl w:val="0"/>
          <w:numId w:val="9"/>
        </w:numPr>
        <w:rPr>
          <w:rFonts w:ascii="Arial" w:cs="Arial" w:eastAsia="Arial" w:hAnsi="Arial"/>
          <w:sz w:val="19"/>
          <w:szCs w:val="19"/>
          <w:color w:val="auto"/>
        </w:rPr>
      </w:pPr>
      <w:r>
        <w:rPr>
          <w:rFonts w:ascii="Arial" w:cs="Arial" w:eastAsia="Arial" w:hAnsi="Arial"/>
          <w:sz w:val="16"/>
          <w:szCs w:val="16"/>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30" w:lineRule="exact"/>
        <w:rPr>
          <w:sz w:val="20"/>
          <w:szCs w:val="20"/>
          <w:color w:val="auto"/>
        </w:rPr>
      </w:pPr>
    </w:p>
    <w:p>
      <w:pPr>
        <w:ind w:left="680" w:hanging="215"/>
        <w:spacing w:after="0" w:line="277"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reflects a further</w:t>
      </w:r>
      <w:r>
        <w:rPr>
          <w:sz w:val="20"/>
          <w:szCs w:val="20"/>
          <w:color w:val="auto"/>
        </w:rPr>
        <w:t xml:space="preserve"> </w:t>
      </w:r>
      <w:r>
        <w:rPr>
          <w:rFonts w:ascii="Arial" w:cs="Arial" w:eastAsia="Arial" w:hAnsi="Arial"/>
          <w:sz w:val="18"/>
          <w:szCs w:val="18"/>
          <w:color w:val="auto"/>
        </w:rPr>
        <w:t>-for- share split effected on by means of a share dividend of ordinary shares for each ordinary share then outstanding.</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5" w:right="65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19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5695" cy="7198995"/>
                    </a:xfrm>
                    <a:prstGeom prst="rect">
                      <a:avLst/>
                    </a:prstGeom>
                    <a:noFill/>
                  </pic:spPr>
                </pic:pic>
              </a:graphicData>
            </a:graphic>
          </wp:anchor>
        </w:drawing>
        <w:t>Summary Consolidated Financial Data</w:t>
      </w:r>
    </w:p>
    <w:p>
      <w:pPr>
        <w:spacing w:after="0" w:line="229" w:lineRule="exact"/>
        <w:rPr>
          <w:sz w:val="20"/>
          <w:szCs w:val="20"/>
          <w:color w:val="auto"/>
        </w:rPr>
      </w:pPr>
    </w:p>
    <w:p>
      <w:pPr>
        <w:ind w:left="260" w:right="360" w:firstLine="216"/>
        <w:spacing w:after="0" w:line="257" w:lineRule="auto"/>
        <w:rPr>
          <w:sz w:val="20"/>
          <w:szCs w:val="20"/>
          <w:color w:val="auto"/>
        </w:rPr>
      </w:pPr>
      <w:r>
        <w:rPr>
          <w:rFonts w:ascii="Arial" w:cs="Arial" w:eastAsia="Arial" w:hAnsi="Arial"/>
          <w:sz w:val="18"/>
          <w:szCs w:val="18"/>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260" w:right="140" w:firstLine="216"/>
        <w:spacing w:after="0" w:line="293" w:lineRule="auto"/>
        <w:rPr>
          <w:sz w:val="20"/>
          <w:szCs w:val="20"/>
          <w:color w:val="auto"/>
        </w:rPr>
      </w:pPr>
      <w:r>
        <w:rPr>
          <w:rFonts w:ascii="Arial" w:cs="Arial" w:eastAsia="Arial" w:hAnsi="Arial"/>
          <w:sz w:val="16"/>
          <w:szCs w:val="16"/>
          <w:color w:val="auto"/>
        </w:rPr>
        <w:t>The summary consolidated statements of income data for the years ended December 31, 2012 and 2013 are derived from our audited consolidated financial statements appearing elsewhere in this prospectus. The summary consolidated statements of income data for the nine months ended September 30, 2013 and 2014 and the summary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3"/>
              </w:rPr>
              <w:t>Nine Months Ended September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w w:val="95"/>
              </w:rPr>
              <w:t>Year Ended December 31,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12"/>
          </w:tcPr>
          <w:p>
            <w:pPr>
              <w:ind w:left="38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39,167</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34,185</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6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Pr>
          <w:p>
            <w:pPr>
              <w:ind w:left="2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b w:val="1"/>
                <w:bCs w:val="1"/>
                <w:color w:val="auto"/>
                <w:vertAlign w:val="superscript"/>
              </w:rPr>
              <w:t>(1)</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4,878</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6,851</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Borders>
              <w:bottom w:val="single" w:sz="8" w:color="CCEEFF"/>
            </w:tcBorders>
          </w:tcPr>
          <w:p>
            <w:pPr>
              <w:ind w:left="20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b w:val="1"/>
                <w:bCs w:val="1"/>
                <w:color w:val="auto"/>
                <w:vertAlign w:val="superscript"/>
              </w:rPr>
              <w:t>(1)</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Borders>
              <w:bottom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0.43</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number of ordinary shares used in</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line="271"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b w:val="1"/>
                <w:bCs w:val="1"/>
                <w:color w:val="auto"/>
                <w:vertAlign w:val="superscript"/>
              </w:rPr>
              <w:t>(2)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1,368,565</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1,472,521</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1,507,690</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1,506,672</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1,547,013</w:t>
            </w:r>
          </w:p>
        </w:tc>
        <w:tc>
          <w:tcPr>
            <w:tcW w:w="160" w:type="dxa"/>
            <w:vAlign w:val="bottom"/>
            <w:tcBorders>
              <w:bottom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number of ordinary shares used in</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line="271" w:lineRule="exact"/>
              <w:rPr>
                <w:sz w:val="20"/>
                <w:szCs w:val="20"/>
                <w:color w:val="auto"/>
              </w:rPr>
            </w:pPr>
            <w:r>
              <w:rPr>
                <w:rFonts w:ascii="Arial" w:cs="Arial" w:eastAsia="Arial" w:hAnsi="Arial"/>
                <w:sz w:val="18"/>
                <w:szCs w:val="18"/>
                <w:color w:val="auto"/>
                <w:w w:val="93"/>
              </w:rPr>
              <w:t>computing pro forma income per ordinary share</w:t>
            </w:r>
            <w:r>
              <w:rPr>
                <w:rFonts w:ascii="Arial" w:cs="Arial" w:eastAsia="Arial" w:hAnsi="Arial"/>
                <w:sz w:val="30"/>
                <w:szCs w:val="30"/>
                <w:b w:val="1"/>
                <w:bCs w:val="1"/>
                <w:color w:val="auto"/>
                <w:w w:val="93"/>
                <w:vertAlign w:val="superscript"/>
              </w:rPr>
              <w:t>(3)</w:t>
            </w:r>
            <w:r>
              <w:rPr>
                <w:rFonts w:ascii="Arial" w:cs="Arial" w:eastAsia="Arial" w:hAnsi="Arial"/>
                <w:sz w:val="18"/>
                <w:szCs w:val="18"/>
                <w:color w:val="auto"/>
                <w:w w:val="93"/>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3,295,705</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3,434,830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3,474,153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1440" w:top="405" w:right="5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71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5695" cy="771398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10"/>
          </w:tcPr>
          <w:p>
            <w:pPr>
              <w:jc w:val="center"/>
              <w:ind w:right="300"/>
              <w:spacing w:after="0"/>
              <w:rPr>
                <w:sz w:val="20"/>
                <w:szCs w:val="20"/>
                <w:color w:val="auto"/>
              </w:rPr>
            </w:pPr>
            <w:r>
              <w:rPr>
                <w:rFonts w:ascii="Arial" w:cs="Arial" w:eastAsia="Arial" w:hAnsi="Arial"/>
                <w:sz w:val="16"/>
                <w:szCs w:val="16"/>
                <w:b w:val="1"/>
                <w:bCs w:val="1"/>
                <w:color w:val="auto"/>
                <w:w w:val="90"/>
              </w:rPr>
              <w:t>As of September 30, 2014</w:t>
            </w:r>
          </w:p>
        </w:tc>
      </w:tr>
      <w:tr>
        <w:trPr>
          <w:trHeight w:val="189"/>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Pro forma as</w:t>
            </w:r>
          </w:p>
        </w:tc>
        <w:tc>
          <w:tcPr>
            <w:tcW w:w="160" w:type="dxa"/>
            <w:vAlign w:val="bottom"/>
          </w:tcPr>
          <w:p>
            <w:pPr>
              <w:spacing w:after="0"/>
              <w:rPr>
                <w:sz w:val="16"/>
                <w:szCs w:val="16"/>
                <w:color w:val="auto"/>
              </w:rPr>
            </w:pPr>
          </w:p>
        </w:tc>
      </w:tr>
      <w:tr>
        <w:trPr>
          <w:trHeight w:val="256"/>
        </w:trPr>
        <w:tc>
          <w:tcPr>
            <w:tcW w:w="4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spacing w:after="0" w:line="255" w:lineRule="exact"/>
              <w:rPr>
                <w:sz w:val="20"/>
                <w:szCs w:val="20"/>
                <w:color w:val="auto"/>
              </w:rPr>
            </w:pPr>
            <w:r>
              <w:rPr>
                <w:rFonts w:ascii="Arial" w:cs="Arial" w:eastAsia="Arial" w:hAnsi="Arial"/>
                <w:sz w:val="16"/>
                <w:szCs w:val="16"/>
                <w:b w:val="1"/>
                <w:bCs w:val="1"/>
                <w:color w:val="auto"/>
                <w:w w:val="88"/>
              </w:rPr>
              <w:t>Pro forma</w:t>
            </w:r>
            <w:r>
              <w:rPr>
                <w:rFonts w:ascii="Arial" w:cs="Arial" w:eastAsia="Arial" w:hAnsi="Arial"/>
                <w:sz w:val="27"/>
                <w:szCs w:val="27"/>
                <w:b w:val="1"/>
                <w:bCs w:val="1"/>
                <w:color w:val="auto"/>
                <w:w w:val="88"/>
                <w:vertAlign w:val="superscript"/>
              </w:rPr>
              <w:t>(4)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300"/>
              <w:spacing w:after="0" w:line="255" w:lineRule="exact"/>
              <w:rPr>
                <w:sz w:val="20"/>
                <w:szCs w:val="20"/>
                <w:color w:val="auto"/>
              </w:rPr>
            </w:pPr>
            <w:r>
              <w:rPr>
                <w:rFonts w:ascii="Arial" w:cs="Arial" w:eastAsia="Arial" w:hAnsi="Arial"/>
                <w:sz w:val="16"/>
                <w:szCs w:val="16"/>
                <w:b w:val="1"/>
                <w:bCs w:val="1"/>
                <w:color w:val="auto"/>
                <w:w w:val="86"/>
              </w:rPr>
              <w:t>adjusted</w:t>
            </w:r>
            <w:r>
              <w:rPr>
                <w:rFonts w:ascii="Arial" w:cs="Arial" w:eastAsia="Arial" w:hAnsi="Arial"/>
                <w:sz w:val="27"/>
                <w:szCs w:val="27"/>
                <w:b w:val="1"/>
                <w:bCs w:val="1"/>
                <w:color w:val="auto"/>
                <w:w w:val="86"/>
                <w:vertAlign w:val="superscript"/>
              </w:rPr>
              <w:t>(4)</w:t>
            </w:r>
          </w:p>
        </w:tc>
      </w:tr>
      <w:tr>
        <w:trPr>
          <w:trHeight w:val="196"/>
        </w:trPr>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0"/>
              </w:rPr>
              <w:t>(in thousands)</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4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32,096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5"/>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6"/>
          </w:tcPr>
          <w:p>
            <w:pPr>
              <w:ind w:left="3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81"/>
        </w:trPr>
        <w:tc>
          <w:tcPr>
            <w:tcW w:w="43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2,915</w:t>
            </w:r>
          </w:p>
        </w:tc>
        <w:tc>
          <w:tcPr>
            <w:tcW w:w="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4,021</w:t>
            </w:r>
          </w:p>
        </w:tc>
        <w:tc>
          <w:tcPr>
            <w:tcW w:w="160" w:type="dxa"/>
            <w:vAlign w:val="bottom"/>
          </w:tcPr>
          <w:p>
            <w:pPr>
              <w:spacing w:after="0"/>
              <w:rPr>
                <w:sz w:val="24"/>
                <w:szCs w:val="24"/>
                <w:color w:val="auto"/>
              </w:rPr>
            </w:pPr>
          </w:p>
        </w:tc>
      </w:tr>
      <w:tr>
        <w:trPr>
          <w:trHeight w:val="286"/>
        </w:trPr>
        <w:tc>
          <w:tcPr>
            <w:tcW w:w="4380" w:type="dxa"/>
            <w:vAlign w:val="bottom"/>
          </w:tcPr>
          <w:p>
            <w:pPr>
              <w:spacing w:after="0"/>
              <w:rPr>
                <w:sz w:val="20"/>
                <w:szCs w:val="20"/>
                <w:color w:val="auto"/>
              </w:rPr>
            </w:pPr>
            <w:r>
              <w:rPr>
                <w:rFonts w:ascii="Arial" w:cs="Arial" w:eastAsia="Arial" w:hAnsi="Arial"/>
                <w:sz w:val="18"/>
                <w:szCs w:val="18"/>
                <w:color w:val="auto"/>
              </w:rPr>
              <w:t>___________________</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w w:val="91"/>
              </w:rPr>
              <w:t>(1) Includes share-based compensation expense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4"/>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6"/>
                <w:szCs w:val="16"/>
                <w:b w:val="1"/>
                <w:bCs w:val="1"/>
                <w:color w:val="auto"/>
                <w:w w:val="89"/>
              </w:rPr>
              <w:t>30,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6"/>
          </w:tcPr>
          <w:p>
            <w:pPr>
              <w:ind w:left="3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r>
    </w:tbl>
    <w:p>
      <w:pPr>
        <w:spacing w:after="0" w:line="120" w:lineRule="exact"/>
        <w:rPr>
          <w:sz w:val="20"/>
          <w:szCs w:val="20"/>
          <w:color w:val="auto"/>
        </w:rPr>
      </w:pPr>
    </w:p>
    <w:p>
      <w:pPr>
        <w:ind w:left="580" w:right="220" w:hanging="329"/>
        <w:spacing w:after="0" w:line="264"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notes 2w and 10 to our consolidated financial statements included elsewhere in this prospectus.</w:t>
      </w:r>
    </w:p>
    <w:p>
      <w:pPr>
        <w:spacing w:after="0" w:line="181" w:lineRule="exact"/>
        <w:rPr>
          <w:rFonts w:ascii="Arial" w:cs="Arial" w:eastAsia="Arial" w:hAnsi="Arial"/>
          <w:sz w:val="18"/>
          <w:szCs w:val="18"/>
          <w:color w:val="auto"/>
        </w:rPr>
      </w:pPr>
    </w:p>
    <w:p>
      <w:pPr>
        <w:ind w:left="580" w:right="80" w:hanging="329"/>
        <w:spacing w:after="0" w:line="257"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2d to our consolidated financial statements included elsewhere in this prospectus.</w:t>
      </w:r>
    </w:p>
    <w:p>
      <w:pPr>
        <w:spacing w:after="0" w:line="20" w:lineRule="exact"/>
        <w:rPr>
          <w:rFonts w:ascii="Arial" w:cs="Arial" w:eastAsia="Arial" w:hAnsi="Arial"/>
          <w:sz w:val="18"/>
          <w:szCs w:val="18"/>
          <w:color w:val="auto"/>
        </w:rPr>
      </w:pPr>
    </w:p>
    <w:p>
      <w:pPr>
        <w:ind w:left="560" w:hanging="309"/>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gives effect to the conversion into ordinary shares of all of our outstanding Series A-1 preferred shares. Pro forma as</w:t>
      </w:r>
    </w:p>
    <w:p>
      <w:pPr>
        <w:spacing w:after="0" w:line="200" w:lineRule="exact"/>
        <w:rPr>
          <w:sz w:val="20"/>
          <w:szCs w:val="20"/>
          <w:color w:val="auto"/>
        </w:rPr>
      </w:pPr>
    </w:p>
    <w:p>
      <w:pPr>
        <w:ind w:left="580" w:right="80"/>
        <w:spacing w:after="0" w:line="274" w:lineRule="auto"/>
        <w:rPr>
          <w:sz w:val="20"/>
          <w:szCs w:val="20"/>
          <w:color w:val="auto"/>
        </w:rPr>
      </w:pPr>
      <w:r>
        <w:rPr>
          <w:rFonts w:ascii="Arial" w:cs="Arial" w:eastAsia="Arial" w:hAnsi="Arial"/>
          <w:sz w:val="17"/>
          <w:szCs w:val="17"/>
          <w:color w:val="auto"/>
        </w:rPr>
        <w:t>adjusted gives effect to (a) the same item as “pro forma,” (b) the issuance and sale of ordinary shares in this offering at an assumed initial public offering price of $ per ordinary share, the midpoint of the price range set forth on the cover page of</w:t>
      </w:r>
    </w:p>
    <w:p>
      <w:pPr>
        <w:ind w:left="580"/>
        <w:spacing w:after="0"/>
        <w:rPr>
          <w:sz w:val="20"/>
          <w:szCs w:val="20"/>
          <w:color w:val="auto"/>
        </w:rPr>
      </w:pPr>
      <w:r>
        <w:rPr>
          <w:rFonts w:ascii="Arial" w:cs="Arial" w:eastAsia="Arial" w:hAnsi="Arial"/>
          <w:sz w:val="16"/>
          <w:szCs w:val="16"/>
          <w:color w:val="auto"/>
        </w:rPr>
        <w:t>this prospectus, after deducting underwriting discounts and commissions and estimated offering expenses payable by us, (c) a</w:t>
      </w:r>
    </w:p>
    <w:p>
      <w:pPr>
        <w:spacing w:after="0" w:line="32" w:lineRule="exact"/>
        <w:rPr>
          <w:sz w:val="20"/>
          <w:szCs w:val="20"/>
          <w:color w:val="auto"/>
        </w:rPr>
      </w:pPr>
    </w:p>
    <w:p>
      <w:pPr>
        <w:ind w:left="580" w:right="160"/>
        <w:spacing w:after="0" w:line="277" w:lineRule="auto"/>
        <w:rPr>
          <w:sz w:val="20"/>
          <w:szCs w:val="20"/>
          <w:color w:val="auto"/>
        </w:rPr>
      </w:pPr>
      <w:r>
        <w:rPr>
          <w:rFonts w:ascii="Arial" w:cs="Arial" w:eastAsia="Arial" w:hAnsi="Arial"/>
          <w:sz w:val="17"/>
          <w:szCs w:val="17"/>
          <w:color w:val="auto"/>
        </w:rPr>
        <w:t>one-time payment in the aggregate amount of $ to our sponsor, Fortissimo Capital, in connection with the termination of our existing management services agreement with them and (d) the payment of $250,000 in the aggregate to certain of our employees, including some of our executive officers, for their contribution to completing this offering.</w:t>
      </w:r>
    </w:p>
    <w:p>
      <w:pPr>
        <w:spacing w:after="0" w:line="173" w:lineRule="exact"/>
        <w:rPr>
          <w:sz w:val="20"/>
          <w:szCs w:val="20"/>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20"/>
          </w:cols>
          <w:pgMar w:left="1440" w:top="450" w:right="639" w:bottom="1440" w:gutter="0" w:footer="0" w:header="0"/>
        </w:sectPr>
      </w:pPr>
    </w:p>
    <w:bookmarkStart w:id="10" w:name="page11"/>
    <w:bookmarkEnd w:id="10"/>
    <w:tbl>
      <w:tblPr>
        <w:tblLayout w:type="fixed"/>
        <w:tblInd w:w="2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84"/>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Reconciliation of Net Income to Adjusted EBITDA:</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1,134</w:t>
            </w:r>
          </w:p>
        </w:tc>
        <w:tc>
          <w:tcPr>
            <w:tcW w:w="640" w:type="dxa"/>
            <w:vAlign w:val="bottom"/>
            <w:gridSpan w:val="2"/>
          </w:tcPr>
          <w:p>
            <w:pPr>
              <w:jc w:val="right"/>
              <w:ind w:right="15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Taxes on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CEEFF"/>
            </w:tcBorders>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5389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5695" cy="5389880"/>
                    </a:xfrm>
                    <a:prstGeom prst="rect">
                      <a:avLst/>
                    </a:prstGeom>
                    <a:noFill/>
                  </pic:spPr>
                </pic:pic>
              </a:graphicData>
            </a:graphic>
          </wp:anchor>
        </w:drawing>
      </w:r>
    </w:p>
    <w:p>
      <w:pPr>
        <w:ind w:left="260" w:right="20" w:firstLine="216"/>
        <w:spacing w:after="0" w:line="289"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0" w:lineRule="exact"/>
        <w:rPr>
          <w:sz w:val="20"/>
          <w:szCs w:val="20"/>
          <w:color w:val="auto"/>
        </w:rPr>
      </w:pPr>
    </w:p>
    <w:p>
      <w:pPr>
        <w:ind w:left="680" w:right="560" w:hanging="213"/>
        <w:spacing w:after="0" w:line="232" w:lineRule="auto"/>
        <w:tabs>
          <w:tab w:leader="none" w:pos="692"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700" w:hanging="233"/>
        <w:spacing w:after="0"/>
        <w:tabs>
          <w:tab w:leader="none" w:pos="7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680" w:right="20" w:hanging="213"/>
        <w:spacing w:after="0" w:line="232" w:lineRule="auto"/>
        <w:tabs>
          <w:tab w:leader="none" w:pos="746" w:val="left"/>
        </w:tabs>
        <w:numPr>
          <w:ilvl w:val="0"/>
          <w:numId w:val="12"/>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260" w:right="40" w:firstLine="216"/>
        <w:spacing w:after="0" w:line="255" w:lineRule="auto"/>
        <w:rPr>
          <w:sz w:val="20"/>
          <w:szCs w:val="20"/>
          <w:color w:val="auto"/>
        </w:rPr>
      </w:pPr>
      <w:r>
        <w:rPr>
          <w:rFonts w:ascii="Arial" w:cs="Arial" w:eastAsia="Arial" w:hAnsi="Arial"/>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20"/>
          </w:cols>
          <w:pgMar w:left="1440" w:top="409" w:right="6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0"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89"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37"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20" w:right="219"/>
        <w:spacing w:after="0" w:line="271" w:lineRule="auto"/>
        <w:rPr>
          <w:sz w:val="20"/>
          <w:szCs w:val="20"/>
          <w:color w:val="auto"/>
        </w:rPr>
      </w:pPr>
      <w:r>
        <w:rPr>
          <w:rFonts w:ascii="Arial" w:cs="Arial" w:eastAsia="Arial" w:hAnsi="Arial"/>
          <w:sz w:val="17"/>
          <w:szCs w:val="17"/>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ind w:left="120" w:right="25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24"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We are subject to revenue concentration with respect to two of our independent distributors. In 2013 and during the nine months ended September 30, 2014, Hirsch International Corporation and SPSI, Inc., both distributors in the United States, accounted for 20% and 24% of our revenues in each such period, respectively, in the case of Hirsch, and 13% and 16%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72"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70"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78"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120" w:right="239"/>
        <w:spacing w:after="0" w:line="259" w:lineRule="auto"/>
        <w:rPr>
          <w:sz w:val="20"/>
          <w:szCs w:val="20"/>
          <w:color w:val="auto"/>
        </w:rPr>
      </w:pPr>
      <w:r>
        <w:rPr>
          <w:rFonts w:ascii="Arial" w:cs="Arial" w:eastAsia="Arial" w:hAnsi="Arial"/>
          <w:sz w:val="18"/>
          <w:szCs w:val="18"/>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7"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7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200" w:lineRule="exact"/>
        <w:rPr>
          <w:sz w:val="20"/>
          <w:szCs w:val="20"/>
          <w:color w:val="auto"/>
        </w:rPr>
      </w:pPr>
    </w:p>
    <w:p>
      <w:pPr>
        <w:ind w:left="560" w:right="119" w:hanging="219"/>
        <w:spacing w:after="0" w:line="283" w:lineRule="auto"/>
        <w:tabs>
          <w:tab w:leader="none" w:pos="572" w:val="left"/>
        </w:tabs>
        <w:numPr>
          <w:ilvl w:val="0"/>
          <w:numId w:val="13"/>
        </w:numPr>
        <w:rPr>
          <w:rFonts w:ascii="Arial" w:cs="Arial" w:eastAsia="Arial" w:hAnsi="Arial"/>
          <w:sz w:val="19"/>
          <w:szCs w:val="19"/>
          <w:color w:val="auto"/>
        </w:rPr>
      </w:pPr>
      <w:r>
        <w:rPr>
          <w:rFonts w:ascii="Arial" w:cs="Arial" w:eastAsia="Arial" w:hAnsi="Arial"/>
          <w:sz w:val="16"/>
          <w:szCs w:val="16"/>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which currently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2" w:lineRule="exact"/>
        <w:rPr>
          <w:rFonts w:ascii="Arial" w:cs="Arial" w:eastAsia="Arial" w:hAnsi="Arial"/>
          <w:sz w:val="19"/>
          <w:szCs w:val="19"/>
          <w:color w:val="auto"/>
        </w:rPr>
      </w:pPr>
    </w:p>
    <w:p>
      <w:pPr>
        <w:ind w:left="560" w:right="119" w:hanging="219"/>
        <w:spacing w:after="0" w:line="232" w:lineRule="auto"/>
        <w:tabs>
          <w:tab w:leader="none" w:pos="626"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204"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loss of either of these suppliers, or of a supplier for which there are limited other sources, could result in the delay of the manufacture and delivery of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39" w:lineRule="exact"/>
        <w:rPr>
          <w:sz w:val="20"/>
          <w:szCs w:val="20"/>
          <w:color w:val="auto"/>
        </w:rPr>
      </w:pPr>
    </w:p>
    <w:p>
      <w:pPr>
        <w:ind w:left="560" w:right="63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217" w:lineRule="exact"/>
        <w:rPr>
          <w:rFonts w:ascii="Arial" w:cs="Arial" w:eastAsia="Arial" w:hAnsi="Arial"/>
          <w:sz w:val="22"/>
          <w:szCs w:val="22"/>
          <w:color w:val="auto"/>
        </w:rPr>
      </w:pPr>
    </w:p>
    <w:p>
      <w:pPr>
        <w:ind w:left="560" w:right="15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we may experience production delays related to the evaluation and testing of products from alternative suppliers;</w:t>
      </w:r>
    </w:p>
    <w:p>
      <w:pPr>
        <w:spacing w:after="0" w:line="216" w:lineRule="exact"/>
        <w:rPr>
          <w:rFonts w:ascii="Arial" w:cs="Arial" w:eastAsia="Arial" w:hAnsi="Arial"/>
          <w:sz w:val="19"/>
          <w:szCs w:val="19"/>
          <w:color w:val="auto"/>
        </w:rPr>
      </w:pPr>
    </w:p>
    <w:p>
      <w:pPr>
        <w:ind w:left="560" w:hanging="219"/>
        <w:spacing w:after="0"/>
        <w:tabs>
          <w:tab w:leader="none" w:pos="5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we may be subject to price fluctuations due to a lack of long-term supply arrangements for key components;</w:t>
      </w:r>
    </w:p>
    <w:p>
      <w:pPr>
        <w:spacing w:after="0" w:line="215" w:lineRule="exact"/>
        <w:rPr>
          <w:rFonts w:ascii="Arial" w:cs="Arial" w:eastAsia="Arial" w:hAnsi="Arial"/>
          <w:sz w:val="21"/>
          <w:szCs w:val="21"/>
          <w:color w:val="auto"/>
        </w:rPr>
      </w:pPr>
    </w:p>
    <w:p>
      <w:pPr>
        <w:ind w:left="560" w:right="83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67" w:val="left"/>
        </w:tabs>
        <w:numPr>
          <w:ilvl w:val="0"/>
          <w:numId w:val="14"/>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204"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70"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2"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8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70"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93"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20" w:right="219"/>
        <w:spacing w:after="0" w:line="255"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89"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47"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 $39.2 million in 2012 to $49.4 million in 2013 and from $34.2 million in the nine months ended September 30, 2013 to $47.5 million in nine months ended September 30, 2014. Our headcount increased from 109 as of December 31, 2011 to 254 as of September 30,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3"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47" w:lineRule="exact"/>
        <w:rPr>
          <w:sz w:val="20"/>
          <w:szCs w:val="20"/>
          <w:color w:val="auto"/>
        </w:rPr>
      </w:pPr>
    </w:p>
    <w:p>
      <w:pPr>
        <w:ind w:left="120" w:right="199" w:firstLine="216"/>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5"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 hedge a portion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20" w:right="159"/>
        <w:spacing w:after="0" w:line="290" w:lineRule="auto"/>
        <w:rPr>
          <w:sz w:val="20"/>
          <w:szCs w:val="20"/>
          <w:color w:val="auto"/>
        </w:rPr>
      </w:pPr>
      <w:r>
        <w:rPr>
          <w:rFonts w:ascii="Arial" w:cs="Arial" w:eastAsia="Arial" w:hAnsi="Arial"/>
          <w:sz w:val="16"/>
          <w:szCs w:val="16"/>
          <w:color w:val="auto"/>
        </w:rPr>
        <w:t>of our foreign currency exposure, and we cannot predict any future trends in the rate of inflation in Israel or the rate of devaluation (if any) of the NIS against the dollar. For example, although the dollar appreciated against the NIS in 2011, the rate of devaluation of the dollar against the NIS was 2.3% and 7.0% in 2012 and 2013, respectively, which was compounded by inflation in Israel at a rate of 1.6% and 1.8%, respectively. Similarly, while the dollar appreciated against the NIS in 2014, the rate of devaluation of the NIS against the dollar was 12.0%, which was compounded by inflation in Israel at a rate of 1.3%. If the dollar cost of our operations increases, our dollar-measured results of operations will be adversely affected. See “Management’s Discussion and Analysis of Financial Condition and Results of Operations— Quantitative and Qualitative Disclosure About Market Risk—Foreign Currency Risk.”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67"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78"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01"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79"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47" w:lineRule="exact"/>
        <w:rPr>
          <w:sz w:val="20"/>
          <w:szCs w:val="20"/>
          <w:color w:val="auto"/>
        </w:rPr>
      </w:pPr>
    </w:p>
    <w:p>
      <w:pPr>
        <w:ind w:left="120" w:right="139" w:firstLine="216"/>
        <w:spacing w:after="0" w:line="291" w:lineRule="auto"/>
        <w:rPr>
          <w:sz w:val="20"/>
          <w:szCs w:val="20"/>
          <w:color w:val="auto"/>
        </w:rPr>
      </w:pPr>
      <w:r>
        <w:rPr>
          <w:rFonts w:ascii="Arial" w:cs="Arial" w:eastAsia="Arial" w:hAnsi="Arial"/>
          <w:sz w:val="16"/>
          <w:szCs w:val="16"/>
          <w:color w:val="auto"/>
        </w:rPr>
        <w:t>Although we believe our cash flows from operating activities, our existing cash resources, available credit lines and the net proceeds to us from this offering will be sufficient to meet our currently anticipated cash requirements through the next 12 months based on our current business plan,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67" w:lineRule="exact"/>
        <w:rPr>
          <w:sz w:val="20"/>
          <w:szCs w:val="20"/>
          <w:color w:val="auto"/>
        </w:rPr>
      </w:pPr>
    </w:p>
    <w:p>
      <w:pPr>
        <w:ind w:left="120" w:right="319" w:firstLine="216"/>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20" w:right="179"/>
        <w:spacing w:after="0" w:line="277" w:lineRule="auto"/>
        <w:rPr>
          <w:sz w:val="20"/>
          <w:szCs w:val="20"/>
          <w:color w:val="auto"/>
        </w:rPr>
      </w:pPr>
      <w:r>
        <w:rPr>
          <w:rFonts w:ascii="Arial" w:cs="Arial" w:eastAsia="Arial" w:hAnsi="Arial"/>
          <w:sz w:val="18"/>
          <w:szCs w:val="18"/>
          <w:color w:val="auto"/>
        </w:rPr>
        <w:t>adversely impact our ability to conduct our business. In addition, the issuance of additional equity securities by us, or the possibility of such issuance, may cause the market price of our ordinary shares to decline.</w:t>
      </w:r>
    </w:p>
    <w:p>
      <w:pPr>
        <w:spacing w:after="0" w:line="170"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87"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0" w:lineRule="exact"/>
        <w:rPr>
          <w:sz w:val="20"/>
          <w:szCs w:val="20"/>
          <w:color w:val="auto"/>
        </w:rPr>
      </w:pPr>
    </w:p>
    <w:p>
      <w:pPr>
        <w:ind w:left="560" w:hanging="219"/>
        <w:spacing w:after="0"/>
        <w:tabs>
          <w:tab w:leader="none" w:pos="5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greater difficulty in enforcing contracts and accounts receivable collection, as well as longer collection periods;</w:t>
      </w:r>
    </w:p>
    <w:p>
      <w:pPr>
        <w:spacing w:after="0" w:line="215" w:lineRule="exact"/>
        <w:rPr>
          <w:rFonts w:ascii="Arial" w:cs="Arial" w:eastAsia="Arial" w:hAnsi="Arial"/>
          <w:sz w:val="21"/>
          <w:szCs w:val="21"/>
          <w:color w:val="auto"/>
        </w:rPr>
      </w:pPr>
    </w:p>
    <w:p>
      <w:pPr>
        <w:ind w:left="560" w:right="61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fluctuations in exchange rates between the U.S. dollar and foreign currencies in markets where we do business;</w:t>
      </w:r>
    </w:p>
    <w:p>
      <w:pPr>
        <w:spacing w:after="0" w:line="227" w:lineRule="exact"/>
        <w:rPr>
          <w:rFonts w:ascii="Arial" w:cs="Arial" w:eastAsia="Arial" w:hAnsi="Arial"/>
          <w:sz w:val="19"/>
          <w:szCs w:val="19"/>
          <w:color w:val="auto"/>
        </w:rPr>
      </w:pPr>
    </w:p>
    <w:p>
      <w:pPr>
        <w:ind w:left="560" w:right="71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215" w:lineRule="exact"/>
        <w:rPr>
          <w:rFonts w:ascii="Arial" w:cs="Arial" w:eastAsia="Arial" w:hAnsi="Arial"/>
          <w:sz w:val="22"/>
          <w:szCs w:val="22"/>
          <w:color w:val="auto"/>
        </w:rPr>
      </w:pPr>
    </w:p>
    <w:p>
      <w:pPr>
        <w:ind w:left="560" w:right="43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215" w:lineRule="exact"/>
        <w:rPr>
          <w:rFonts w:ascii="Arial" w:cs="Arial" w:eastAsia="Arial" w:hAnsi="Arial"/>
          <w:sz w:val="22"/>
          <w:szCs w:val="22"/>
          <w:color w:val="auto"/>
        </w:rPr>
      </w:pPr>
    </w:p>
    <w:p>
      <w:pPr>
        <w:ind w:left="560" w:right="239" w:hanging="219"/>
        <w:spacing w:after="0" w:line="238"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215" w:lineRule="exact"/>
        <w:rPr>
          <w:rFonts w:ascii="Arial" w:cs="Arial" w:eastAsia="Arial" w:hAnsi="Arial"/>
          <w:sz w:val="22"/>
          <w:szCs w:val="22"/>
          <w:color w:val="auto"/>
        </w:rPr>
      </w:pPr>
    </w:p>
    <w:p>
      <w:pPr>
        <w:ind w:left="560" w:right="119" w:hanging="219"/>
        <w:spacing w:after="0" w:line="251" w:lineRule="auto"/>
        <w:tabs>
          <w:tab w:leader="none" w:pos="572" w:val="left"/>
        </w:tabs>
        <w:numPr>
          <w:ilvl w:val="0"/>
          <w:numId w:val="15"/>
        </w:numPr>
        <w:rPr>
          <w:rFonts w:ascii="Arial" w:cs="Arial" w:eastAsia="Arial" w:hAnsi="Arial"/>
          <w:sz w:val="21"/>
          <w:szCs w:val="21"/>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(FCPA), and any trade regulations ensuring fair trade practices; and</w:t>
      </w:r>
    </w:p>
    <w:p>
      <w:pPr>
        <w:spacing w:after="0" w:line="204" w:lineRule="exact"/>
        <w:rPr>
          <w:rFonts w:ascii="Arial" w:cs="Arial" w:eastAsia="Arial" w:hAnsi="Arial"/>
          <w:sz w:val="21"/>
          <w:szCs w:val="21"/>
          <w:color w:val="auto"/>
        </w:rPr>
      </w:pPr>
    </w:p>
    <w:p>
      <w:pPr>
        <w:jc w:val="both"/>
        <w:ind w:left="560" w:right="119" w:hanging="219"/>
        <w:spacing w:after="0" w:line="238" w:lineRule="auto"/>
        <w:tabs>
          <w:tab w:leader="none" w:pos="653" w:val="left"/>
        </w:tabs>
        <w:numPr>
          <w:ilvl w:val="0"/>
          <w:numId w:val="15"/>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203"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7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1, 2014, we owned seven issued patents in the United States and five provisional or pending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 patent applications. We also had 10 patents issued in non-U.S. jurisdictions, and two pending Patent Cooperation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Treaty patent applications, which are counterparts of our U.S. patent applications. The non-U.S. jurisdictions in which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issued patents are China, the European Union, Hong Kong and Japan. We may file additional patent applications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future. The process of obtaining patent protection is expensive, time-consuming, and uncertain, and we may not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able to prosecute all necessary or desirable patent applications at a reasonable cost or in a timely manner all the way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through to the successful issuance of a patent. We may choose not to seek patent protection for certain innovations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choose not to pursue patent protection in certain jurisdictions. Furthermore, it is possible that our patent applications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not issue as granted patents, that the scope of our issued patents will be insufficient or not have the coverage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originally sought, that our issued patents will not provide us with any competitive advantages, and that our patents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intellectual property rights may be challenged by others through administrative processes or litigation resulting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patent claims being narrowed, invalidated, or unenforceable. In addition, issuance of a patent does not guarantee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an absolute right to practice the patented invention. Our policy is to require our employees (and our consultants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service providers, including third-party manufacturers of our systems and components, that develop intellectual property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included in our systems) to execute written agreements in which they assign to us their rights in potential inventions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intellectual property created within the scope of their employment (or, with respect to consultants and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providers, their engagement to develop such intellectual property), but we cannot assure you that we have adequately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protected our rights in every such agreement or that we have executed an agreement with every such party. Finally,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 to benefit from the protection of patents and other intellectual property rights, we must monitor and</w:t>
      </w:r>
    </w:p>
    <w:p>
      <w:pPr>
        <w:spacing w:after="0" w:line="9" w:lineRule="exact"/>
        <w:rPr>
          <w:sz w:val="20"/>
          <w:szCs w:val="20"/>
          <w:color w:val="auto"/>
        </w:rPr>
      </w:pPr>
    </w:p>
    <w:p>
      <w:pPr>
        <w:jc w:val="both"/>
        <w:ind w:left="120" w:right="399"/>
        <w:spacing w:after="0" w:line="255"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0"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i w:val="1"/>
          <w:iCs w:val="1"/>
          <w:color w:val="auto"/>
        </w:rPr>
        <w:t>We may incur substantial costs responding to third-party claims of intellectual property infringement.</w:t>
      </w:r>
    </w:p>
    <w:p>
      <w:pPr>
        <w:spacing w:after="0" w:line="225"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may in the future be subject to claims that we have infringed third-party intellectual property rights. Intellectual property disputes can be costly and disruptive to our business operations by diverting the attention and energies of management and key technical personnel, and by increasing our costs of doing business. We may not prevail in any such dispute or litigation, and an adverse decision in any legal action involving intellectual property rights could harm our intellectual property rights and the value of any related technology.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179" w:hanging="219"/>
        <w:spacing w:after="0" w:line="232"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0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60"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120" w:right="299"/>
        <w:spacing w:after="0" w:line="277" w:lineRule="auto"/>
        <w:rPr>
          <w:sz w:val="20"/>
          <w:szCs w:val="20"/>
          <w:color w:val="auto"/>
        </w:rPr>
      </w:pPr>
      <w:r>
        <w:rPr>
          <w:rFonts w:ascii="Arial" w:cs="Arial" w:eastAsia="Arial" w:hAnsi="Arial"/>
          <w:sz w:val="18"/>
          <w:szCs w:val="18"/>
          <w:color w:val="auto"/>
        </w:rPr>
        <w:t>In addition, costs or payments made in connection with warranty and product liability claims and system recalls could materially affect our financial condition and results of operations.</w:t>
      </w:r>
    </w:p>
    <w:p>
      <w:pPr>
        <w:spacing w:after="0" w:line="170"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70" w:lineRule="exact"/>
        <w:rPr>
          <w:sz w:val="20"/>
          <w:szCs w:val="20"/>
          <w:color w:val="auto"/>
        </w:rPr>
      </w:pPr>
    </w:p>
    <w:p>
      <w:pPr>
        <w:ind w:left="120" w:right="559" w:firstLine="216"/>
        <w:spacing w:after="0" w:line="264" w:lineRule="auto"/>
        <w:rPr>
          <w:sz w:val="20"/>
          <w:szCs w:val="20"/>
          <w:color w:val="auto"/>
        </w:rPr>
      </w:pPr>
      <w:r>
        <w:rPr>
          <w:rFonts w:ascii="Arial" w:cs="Arial" w:eastAsia="Arial" w:hAnsi="Arial"/>
          <w:sz w:val="18"/>
          <w:szCs w:val="18"/>
          <w:color w:val="auto"/>
        </w:rPr>
        <w:t>As part of our business strategy and in order to remain competitive, we may acquire or make investments in complementary companies, products or technologies. However, we have not made any acquisitions to date, and as a result,</w:t>
      </w:r>
    </w:p>
    <w:p>
      <w:pPr>
        <w:spacing w:after="0" w:line="181" w:lineRule="exact"/>
        <w:rPr>
          <w:sz w:val="20"/>
          <w:szCs w:val="20"/>
          <w:color w:val="auto"/>
        </w:rPr>
      </w:pPr>
    </w:p>
    <w:p>
      <w:pPr>
        <w:ind w:left="120" w:right="119"/>
        <w:spacing w:after="0" w:line="286" w:lineRule="auto"/>
        <w:rPr>
          <w:sz w:val="20"/>
          <w:szCs w:val="20"/>
          <w:color w:val="auto"/>
        </w:rPr>
      </w:pPr>
      <w:r>
        <w:rPr>
          <w:rFonts w:ascii="Arial" w:cs="Arial" w:eastAsia="Arial" w:hAnsi="Arial"/>
          <w:sz w:val="16"/>
          <w:szCs w:val="16"/>
          <w:color w:val="auto"/>
        </w:rPr>
        <w:t>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48" w:lineRule="exact"/>
        <w:rPr>
          <w:sz w:val="20"/>
          <w:szCs w:val="20"/>
          <w:color w:val="auto"/>
        </w:rPr>
      </w:pPr>
    </w:p>
    <w:p>
      <w:pPr>
        <w:ind w:left="120" w:right="319" w:firstLine="216"/>
        <w:spacing w:after="0" w:line="273" w:lineRule="auto"/>
        <w:rPr>
          <w:sz w:val="20"/>
          <w:szCs w:val="20"/>
          <w:color w:val="auto"/>
        </w:rPr>
      </w:pPr>
      <w:r>
        <w:rPr>
          <w:rFonts w:ascii="Arial" w:cs="Arial" w:eastAsia="Arial" w:hAnsi="Arial"/>
          <w:sz w:val="17"/>
          <w:szCs w:val="17"/>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25"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7"/>
          <w:szCs w:val="17"/>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74" w:lineRule="exact"/>
        <w:rPr>
          <w:sz w:val="20"/>
          <w:szCs w:val="20"/>
          <w:color w:val="auto"/>
        </w:rPr>
      </w:pPr>
    </w:p>
    <w:p>
      <w:pPr>
        <w:ind w:left="560" w:hanging="219"/>
        <w:spacing w:after="0"/>
        <w:tabs>
          <w:tab w:leader="none" w:pos="5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actual or anticipated variations in our and/or our competitors’ results of operations and financial condition;</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215" w:lineRule="exact"/>
        <w:rPr>
          <w:rFonts w:ascii="Arial" w:cs="Arial" w:eastAsia="Arial" w:hAnsi="Arial"/>
          <w:sz w:val="22"/>
          <w:szCs w:val="22"/>
          <w:color w:val="auto"/>
        </w:rPr>
      </w:pPr>
    </w:p>
    <w:p>
      <w:pPr>
        <w:ind w:left="560" w:right="759" w:hanging="219"/>
        <w:spacing w:after="0" w:line="232" w:lineRule="auto"/>
        <w:tabs>
          <w:tab w:leader="none" w:pos="572" w:val="left"/>
        </w:tabs>
        <w:numPr>
          <w:ilvl w:val="0"/>
          <w:numId w:val="17"/>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61"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8" w:lineRule="exact"/>
        <w:rPr>
          <w:sz w:val="20"/>
          <w:szCs w:val="20"/>
          <w:color w:val="auto"/>
        </w:rPr>
      </w:pPr>
    </w:p>
    <w:p>
      <w:pPr>
        <w:ind w:left="120" w:right="179" w:firstLine="216"/>
        <w:spacing w:after="0" w:line="284" w:lineRule="auto"/>
        <w:rPr>
          <w:sz w:val="20"/>
          <w:szCs w:val="20"/>
          <w:color w:val="auto"/>
        </w:rPr>
      </w:pPr>
      <w:r>
        <w:rPr>
          <w:rFonts w:ascii="Arial" w:cs="Arial" w:eastAsia="Arial" w:hAnsi="Arial"/>
          <w:sz w:val="16"/>
          <w:szCs w:val="16"/>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w:t>
      </w:r>
    </w:p>
    <w:p>
      <w:pPr>
        <w:spacing w:after="0" w:line="1" w:lineRule="exact"/>
        <w:rPr>
          <w:sz w:val="20"/>
          <w:szCs w:val="20"/>
          <w:color w:val="auto"/>
        </w:rPr>
      </w:pPr>
    </w:p>
    <w:p>
      <w:pPr>
        <w:ind w:left="120" w:right="159"/>
        <w:spacing w:after="0" w:line="250" w:lineRule="auto"/>
        <w:rPr>
          <w:sz w:val="20"/>
          <w:szCs w:val="20"/>
          <w:color w:val="auto"/>
        </w:rPr>
      </w:pPr>
      <w:r>
        <w:rPr>
          <w:rFonts w:ascii="Arial" w:cs="Arial" w:eastAsia="Arial" w:hAnsi="Arial"/>
          <w:sz w:val="18"/>
          <w:szCs w:val="18"/>
          <w:color w:val="auto"/>
        </w:rPr>
        <w:t>approximately outstanding ordinary shares and shares underlying vested options will be eligible for sale in the public market of which approximately will be subject to restrictions on volume and manner of sale pursuant</w:t>
      </w:r>
    </w:p>
    <w:p>
      <w:pPr>
        <w:spacing w:after="0" w:line="1" w:lineRule="exact"/>
        <w:rPr>
          <w:sz w:val="20"/>
          <w:szCs w:val="20"/>
          <w:color w:val="auto"/>
        </w:rPr>
      </w:pPr>
    </w:p>
    <w:p>
      <w:pPr>
        <w:ind w:left="120" w:right="139"/>
        <w:spacing w:after="0" w:line="268" w:lineRule="auto"/>
        <w:rPr>
          <w:sz w:val="20"/>
          <w:szCs w:val="20"/>
          <w:color w:val="auto"/>
        </w:rPr>
      </w:pPr>
      <w:r>
        <w:rPr>
          <w:rFonts w:ascii="Arial" w:cs="Arial" w:eastAsia="Arial" w:hAnsi="Arial"/>
          <w:sz w:val="17"/>
          <w:szCs w:val="17"/>
          <w:color w:val="auto"/>
        </w:rPr>
        <w:t>to Rule 144 under the Securities Act of 1933, as amended. However,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85"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net tangible book value per share of our outstanding ordinary shares immediately after this offering. Accordingly, investors in this offering</w:t>
      </w:r>
    </w:p>
    <w:p>
      <w:pPr>
        <w:ind w:left="120" w:right="139"/>
        <w:spacing w:after="0" w:line="254" w:lineRule="auto"/>
        <w:rPr>
          <w:sz w:val="20"/>
          <w:szCs w:val="20"/>
          <w:color w:val="auto"/>
        </w:rPr>
      </w:pPr>
      <w:r>
        <w:rPr>
          <w:rFonts w:ascii="Arial" w:cs="Arial" w:eastAsia="Arial" w:hAnsi="Arial"/>
          <w:sz w:val="18"/>
          <w:szCs w:val="18"/>
          <w:color w:val="auto"/>
        </w:rPr>
        <w:t>will incur immediate dilution of $ per share, based on an assumed initial public offering price of $ per share, the midpoint of the estimated initial public offering price range set forth on the cover of this prospectus. In addition, if outstanding options to purchase our ordinary shares are exercised in the future, you will experience additional dilution. See “Dilution.”</w:t>
      </w:r>
    </w:p>
    <w:p>
      <w:pPr>
        <w:spacing w:after="0" w:line="190" w:lineRule="exact"/>
        <w:rPr>
          <w:sz w:val="20"/>
          <w:szCs w:val="20"/>
          <w:color w:val="auto"/>
        </w:rPr>
      </w:pPr>
    </w:p>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this offering, entities and individuals affiliated with Fortissimo Capital will beneficially</w:t>
      </w:r>
    </w:p>
    <w:p>
      <w:pPr>
        <w:spacing w:after="0" w:line="35" w:lineRule="exact"/>
        <w:rPr>
          <w:sz w:val="20"/>
          <w:szCs w:val="20"/>
          <w:color w:val="auto"/>
        </w:rPr>
      </w:pPr>
    </w:p>
    <w:p>
      <w:pPr>
        <w:ind w:left="120" w:right="299"/>
        <w:spacing w:after="0" w:line="254" w:lineRule="auto"/>
        <w:rPr>
          <w:sz w:val="20"/>
          <w:szCs w:val="20"/>
          <w:color w:val="auto"/>
        </w:rPr>
      </w:pPr>
      <w:r>
        <w:rPr>
          <w:rFonts w:ascii="Arial" w:cs="Arial" w:eastAsia="Arial" w:hAnsi="Arial"/>
          <w:sz w:val="18"/>
          <w:szCs w:val="18"/>
          <w:color w:val="auto"/>
        </w:rPr>
        <w:t>own % of our ordinary shares or % if the underwriters exercise their option to purchase additional ordinary shares. As a result, this shareholder could exert significant influence over our operations and business strategy and will have sufficient voting power to control the outcome of matters requiring shareholder approval. These matters may include:</w:t>
      </w:r>
    </w:p>
    <w:p>
      <w:pPr>
        <w:spacing w:after="0" w:line="203" w:lineRule="exact"/>
        <w:rPr>
          <w:sz w:val="20"/>
          <w:szCs w:val="20"/>
          <w:color w:val="auto"/>
        </w:rPr>
      </w:pPr>
    </w:p>
    <w:p>
      <w:pPr>
        <w:ind w:left="560" w:right="179" w:hanging="219"/>
        <w:spacing w:after="0" w:line="232" w:lineRule="auto"/>
        <w:tabs>
          <w:tab w:leader="none" w:pos="572"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22" w:name="page23"/>
    <w:bookmarkEnd w:id="22"/>
    <w:p>
      <w:pPr>
        <w:ind w:left="560" w:hanging="219"/>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202"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87" w:lineRule="exact"/>
        <w:rPr>
          <w:sz w:val="20"/>
          <w:szCs w:val="20"/>
          <w:color w:val="auto"/>
        </w:rPr>
      </w:pPr>
    </w:p>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47" w:lineRule="exact"/>
        <w:rPr>
          <w:sz w:val="20"/>
          <w:szCs w:val="20"/>
          <w:color w:val="auto"/>
        </w:rPr>
      </w:pPr>
    </w:p>
    <w:p>
      <w:pPr>
        <w:ind w:left="120" w:right="179" w:firstLine="216"/>
        <w:spacing w:after="0" w:line="253" w:lineRule="auto"/>
        <w:rPr>
          <w:sz w:val="20"/>
          <w:szCs w:val="20"/>
          <w:color w:val="auto"/>
        </w:rPr>
      </w:pPr>
      <w:r>
        <w:rPr>
          <w:rFonts w:ascii="Arial" w:cs="Arial" w:eastAsia="Arial" w:hAnsi="Arial"/>
          <w:sz w:val="18"/>
          <w:szCs w:val="18"/>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compensation committe or a nominating committee composed entirely of independent directors. See “Management—Corporate Governance Practices.” Accordingly, you will not have the same protections afforded to shareholders of companies that are not controlled companies and are therefore subject to all of the corporate governance requirements of the NASDAQ Stock Market.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48"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intend to use the net proceeds from this offering for general corporate purposes, including working capital, sales and marketing activities, research and development, and general and administrative matters.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w:t>
      </w:r>
    </w:p>
    <w:p>
      <w:pPr>
        <w:spacing w:after="0" w:line="189"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9"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7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70"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23" w:name="page24"/>
    <w:bookmarkEnd w:id="23"/>
    <w:p>
      <w:pPr>
        <w:ind w:left="120" w:right="259"/>
        <w:spacing w:after="0" w:line="259" w:lineRule="auto"/>
        <w:rPr>
          <w:sz w:val="20"/>
          <w:szCs w:val="20"/>
          <w:color w:val="auto"/>
        </w:rPr>
      </w:pPr>
      <w:r>
        <w:rPr>
          <w:rFonts w:ascii="Arial" w:cs="Arial" w:eastAsia="Arial" w:hAnsi="Arial"/>
          <w:sz w:val="18"/>
          <w:szCs w:val="18"/>
          <w:color w:val="auto"/>
        </w:rPr>
        <w:t>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7" w:lineRule="exact"/>
        <w:rPr>
          <w:sz w:val="20"/>
          <w:szCs w:val="20"/>
          <w:color w:val="auto"/>
        </w:rPr>
      </w:pPr>
    </w:p>
    <w:p>
      <w:pPr>
        <w:ind w:left="120" w:right="37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47"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 proxy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by a voting instrument, who hold at least 25% of the voting power of our shares instead of 33 </w:t>
      </w:r>
      <w:r>
        <w:rPr>
          <w:rFonts w:ascii="Arial" w:cs="Arial" w:eastAsia="Arial" w:hAnsi="Arial"/>
          <w:sz w:val="26"/>
          <w:szCs w:val="26"/>
          <w:color w:val="auto"/>
          <w:vertAlign w:val="superscript"/>
        </w:rPr>
        <w:t>1</w:t>
      </w:r>
      <w:r>
        <w:rPr>
          <w:rFonts w:ascii="Arial" w:cs="Arial" w:eastAsia="Arial" w:hAnsi="Arial"/>
          <w:sz w:val="13"/>
          <w:szCs w:val="13"/>
          <w:color w:val="auto"/>
        </w:rPr>
        <w:t>/</w:t>
      </w:r>
      <w:r>
        <w:rPr>
          <w:rFonts w:ascii="Arial" w:cs="Arial" w:eastAsia="Arial" w:hAnsi="Arial"/>
          <w:sz w:val="14"/>
          <w:szCs w:val="14"/>
          <w:color w:val="auto"/>
        </w:rPr>
        <w:t>3</w:t>
      </w:r>
      <w:r>
        <w:rPr>
          <w:rFonts w:ascii="Arial" w:cs="Arial" w:eastAsia="Arial" w:hAnsi="Arial"/>
          <w:sz w:val="16"/>
          <w:szCs w:val="16"/>
          <w:color w:val="auto"/>
        </w:rPr>
        <w:t>% of our issued share</w:t>
      </w:r>
    </w:p>
    <w:p>
      <w:pPr>
        <w:spacing w:after="0" w:line="10" w:lineRule="exact"/>
        <w:rPr>
          <w:sz w:val="20"/>
          <w:szCs w:val="20"/>
          <w:color w:val="auto"/>
        </w:rPr>
      </w:pPr>
    </w:p>
    <w:p>
      <w:pPr>
        <w:ind w:left="120" w:right="159"/>
        <w:spacing w:after="0" w:line="267" w:lineRule="auto"/>
        <w:rPr>
          <w:sz w:val="20"/>
          <w:szCs w:val="20"/>
          <w:color w:val="auto"/>
        </w:rPr>
      </w:pPr>
      <w:r>
        <w:rPr>
          <w:rFonts w:ascii="Arial" w:cs="Arial" w:eastAsia="Arial" w:hAnsi="Arial"/>
          <w:sz w:val="17"/>
          <w:szCs w:val="17"/>
          <w:color w:val="auto"/>
        </w:rPr>
        <w:t>capital. We may in the future elect to follow Israeli home country practices with regard to other matters such as the formation and composition of a nominating and corporate governance committee or a compensation committee, separate executive sessions of independent directors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86"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70"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69"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 to the regulations promulgated under the Israeli Companies Law will require us, after we become a public 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78" w:lineRule="exact"/>
        <w:rPr>
          <w:sz w:val="20"/>
          <w:szCs w:val="20"/>
          <w:color w:val="auto"/>
        </w:rPr>
      </w:pPr>
    </w:p>
    <w:p>
      <w:pPr>
        <w:ind w:left="120" w:right="139" w:firstLine="216"/>
        <w:spacing w:after="0" w:line="312"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120" w:right="259"/>
        <w:spacing w:after="0" w:line="270" w:lineRule="auto"/>
        <w:rPr>
          <w:sz w:val="20"/>
          <w:szCs w:val="20"/>
          <w:color w:val="auto"/>
        </w:rPr>
      </w:pPr>
      <w:r>
        <w:rPr>
          <w:rFonts w:ascii="Arial" w:cs="Arial" w:eastAsia="Arial" w:hAnsi="Arial"/>
          <w:sz w:val="17"/>
          <w:szCs w:val="17"/>
          <w:color w:val="auto"/>
        </w:rPr>
        <w:t>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2" w:lineRule="exact"/>
        <w:rPr>
          <w:sz w:val="20"/>
          <w:szCs w:val="20"/>
          <w:color w:val="auto"/>
        </w:rPr>
      </w:pPr>
    </w:p>
    <w:p>
      <w:pPr>
        <w:ind w:left="120" w:right="5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3"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81"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 our intended use of proceeds of this offering, and the nature of our business, we do not expect that we will be classified as a PFIC for the taxable year ending December 31, 2014.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left="120" w:right="419"/>
        <w:spacing w:after="0" w:line="308" w:lineRule="auto"/>
        <w:rPr>
          <w:sz w:val="20"/>
          <w:szCs w:val="20"/>
          <w:color w:val="auto"/>
        </w:rPr>
      </w:pPr>
      <w:r>
        <w:rPr>
          <w:rFonts w:ascii="Arial" w:cs="Arial" w:eastAsia="Arial" w:hAnsi="Arial"/>
          <w:sz w:val="17"/>
          <w:szCs w:val="17"/>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47"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88"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Further, our operations could be disrupted by the obligations of personnel to perform military service. As of September 30, 2014, we had 169 employees based in Israel, certain of which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67"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73"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20" w:right="179"/>
        <w:spacing w:after="0" w:line="277" w:lineRule="auto"/>
        <w:rPr>
          <w:sz w:val="20"/>
          <w:szCs w:val="20"/>
          <w:color w:val="auto"/>
        </w:rPr>
      </w:pPr>
      <w:r>
        <w:rPr>
          <w:rFonts w:ascii="Arial" w:cs="Arial" w:eastAsia="Arial" w:hAnsi="Arial"/>
          <w:sz w:val="18"/>
          <w:szCs w:val="18"/>
          <w:color w:val="auto"/>
        </w:rPr>
        <w:t>on transportation facilities or vessels, and severe weather events. If delivery and installation of our products is delayed or prevented by any such events, our revenues could be materially and adversely impacted.</w:t>
      </w:r>
    </w:p>
    <w:p>
      <w:pPr>
        <w:spacing w:after="0" w:line="170"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starting in 2014. However, if we do not meet the requirements for maintaining these benefits, they may be reduced or cancelled and the relevant operations would be subject to Israeli corporate tax at the standard rate, which is currently set at 26.5% for 2014 and onwards. In addition to being subject to the standard corporate tax rate, we could be required to refund any tax benefits that we have already received,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“Taxation and Israeli Government Programs Applicable to our Company—Law for the Encouragement of Capital Investments, 5719-1959.”</w:t>
      </w:r>
    </w:p>
    <w:p>
      <w:pPr>
        <w:spacing w:after="0" w:line="185" w:lineRule="exact"/>
        <w:rPr>
          <w:sz w:val="20"/>
          <w:szCs w:val="20"/>
          <w:color w:val="auto"/>
        </w:rPr>
      </w:pPr>
    </w:p>
    <w:p>
      <w:pPr>
        <w:jc w:val="both"/>
        <w:ind w:left="120" w:right="55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81" w:lineRule="exact"/>
        <w:rPr>
          <w:sz w:val="20"/>
          <w:szCs w:val="20"/>
          <w:color w:val="auto"/>
        </w:rPr>
      </w:pPr>
    </w:p>
    <w:p>
      <w:pPr>
        <w:ind w:left="120" w:right="259" w:firstLine="216"/>
        <w:spacing w:after="0" w:line="287" w:lineRule="auto"/>
        <w:rPr>
          <w:sz w:val="20"/>
          <w:szCs w:val="20"/>
          <w:color w:val="auto"/>
        </w:rPr>
      </w:pPr>
      <w:r>
        <w:rPr>
          <w:rFonts w:ascii="Arial" w:cs="Arial" w:eastAsia="Arial" w:hAnsi="Arial"/>
          <w:sz w:val="16"/>
          <w:szCs w:val="16"/>
          <w:color w:val="auto"/>
        </w:rPr>
        <w:t>Our research and development efforts were financed in part through grants from the Israeli Office of the Chief Scientist, or OCS. As of December 31, 2013,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69" w:lineRule="exact"/>
        <w:rPr>
          <w:sz w:val="20"/>
          <w:szCs w:val="20"/>
          <w:color w:val="auto"/>
        </w:rPr>
      </w:pPr>
    </w:p>
    <w:p>
      <w:pPr>
        <w:ind w:left="120" w:right="179" w:firstLine="216"/>
        <w:spacing w:after="0" w:line="254"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2" w:lineRule="exact"/>
        <w:rPr>
          <w:sz w:val="20"/>
          <w:szCs w:val="20"/>
          <w:color w:val="auto"/>
        </w:rPr>
      </w:pPr>
    </w:p>
    <w:p>
      <w:pPr>
        <w:jc w:val="both"/>
        <w:ind w:left="120" w:right="1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81"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120" w:right="399"/>
        <w:spacing w:after="0" w:line="264" w:lineRule="auto"/>
        <w:rPr>
          <w:sz w:val="20"/>
          <w:szCs w:val="20"/>
          <w:color w:val="auto"/>
        </w:rPr>
      </w:pPr>
      <w:r>
        <w:rPr>
          <w:rFonts w:ascii="Arial" w:cs="Arial" w:eastAsia="Arial" w:hAnsi="Arial"/>
          <w:sz w:val="18"/>
          <w:szCs w:val="18"/>
          <w:color w:val="auto"/>
        </w:rPr>
        <w:t>accepts the offer may not seek appraisal rights), may, at any time within six months following the completion of the tender offer, petition an Israeli court to alter the consideration for the acquisition. See “Description of Share Capital— Acquisitions under Israeli Law” for additional information.</w:t>
      </w:r>
    </w:p>
    <w:p>
      <w:pPr>
        <w:spacing w:after="0" w:line="181"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81"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69" w:lineRule="exact"/>
        <w:rPr>
          <w:sz w:val="20"/>
          <w:szCs w:val="20"/>
          <w:color w:val="auto"/>
        </w:rPr>
      </w:pPr>
    </w:p>
    <w:p>
      <w:pPr>
        <w:ind w:left="120" w:right="4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81"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83" w:lineRule="exact"/>
        <w:rPr>
          <w:sz w:val="20"/>
          <w:szCs w:val="20"/>
          <w:color w:val="auto"/>
        </w:rPr>
      </w:pPr>
    </w:p>
    <w:p>
      <w:pPr>
        <w:ind w:left="120" w:right="67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47"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84" w:lineRule="exact"/>
        <w:rPr>
          <w:sz w:val="20"/>
          <w:szCs w:val="20"/>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215" w:lineRule="exact"/>
        <w:rPr>
          <w:rFonts w:ascii="Arial" w:cs="Arial" w:eastAsia="Arial" w:hAnsi="Arial"/>
          <w:sz w:val="22"/>
          <w:szCs w:val="22"/>
          <w:color w:val="auto"/>
        </w:rPr>
      </w:pPr>
    </w:p>
    <w:p>
      <w:pPr>
        <w:ind w:left="560" w:right="479" w:hanging="219"/>
        <w:spacing w:after="0" w:line="232" w:lineRule="auto"/>
        <w:tabs>
          <w:tab w:leader="none" w:pos="572"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our plans to continue to invest in research and develop to introduce new systems and improved solutions;</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expand our international operations and increase our global operations;</w:t>
      </w:r>
    </w:p>
    <w:p>
      <w:pPr>
        <w:spacing w:after="0" w:line="215" w:lineRule="exact"/>
        <w:rPr>
          <w:rFonts w:ascii="Arial" w:cs="Arial" w:eastAsia="Arial" w:hAnsi="Arial"/>
          <w:sz w:val="22"/>
          <w:szCs w:val="22"/>
          <w:color w:val="auto"/>
        </w:rPr>
      </w:pPr>
    </w:p>
    <w:p>
      <w:pPr>
        <w:ind w:left="560" w:right="819" w:hanging="219"/>
        <w:spacing w:after="0" w:line="232" w:lineRule="auto"/>
        <w:tabs>
          <w:tab w:leader="none" w:pos="572"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our plans to pursue strategic acquisitions or invest in complementary companies, products or technologies;</w:t>
      </w:r>
    </w:p>
    <w:p>
      <w:pPr>
        <w:spacing w:after="0" w:line="215" w:lineRule="exact"/>
        <w:rPr>
          <w:rFonts w:ascii="Arial" w:cs="Arial" w:eastAsia="Arial" w:hAnsi="Arial"/>
          <w:sz w:val="21"/>
          <w:szCs w:val="21"/>
          <w:color w:val="auto"/>
        </w:rPr>
      </w:pPr>
    </w:p>
    <w:p>
      <w:pPr>
        <w:ind w:left="560" w:right="379" w:hanging="219"/>
        <w:spacing w:after="0" w:line="232" w:lineRule="auto"/>
        <w:tabs>
          <w:tab w:leader="none" w:pos="572"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offering.</w:t>
      </w:r>
    </w:p>
    <w:p>
      <w:pPr>
        <w:spacing w:after="0" w:line="202"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8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We estimate that we will receive net proceeds from this offering, after deducting underwriting discounts and</w:t>
      </w:r>
    </w:p>
    <w:p>
      <w:pPr>
        <w:spacing w:after="0" w:line="35" w:lineRule="exact"/>
        <w:rPr>
          <w:sz w:val="20"/>
          <w:szCs w:val="20"/>
          <w:color w:val="auto"/>
        </w:rPr>
      </w:pPr>
    </w:p>
    <w:p>
      <w:pPr>
        <w:ind w:left="120" w:right="159"/>
        <w:spacing w:after="0" w:line="265" w:lineRule="auto"/>
        <w:rPr>
          <w:sz w:val="20"/>
          <w:szCs w:val="20"/>
          <w:color w:val="auto"/>
        </w:rPr>
      </w:pPr>
      <w:r>
        <w:rPr>
          <w:rFonts w:ascii="Arial" w:cs="Arial" w:eastAsia="Arial" w:hAnsi="Arial"/>
          <w:sz w:val="17"/>
          <w:szCs w:val="17"/>
          <w:color w:val="auto"/>
        </w:rPr>
        <w:t>commissions and estimated offering expenses payable by us, of approximately $ million, or approximately $ million if the underwriters exercise in full their option to purchase additional ordinary shares, based on an assumed initial</w:t>
      </w:r>
    </w:p>
    <w:p>
      <w:pPr>
        <w:ind w:left="120"/>
        <w:spacing w:after="0"/>
        <w:tabs>
          <w:tab w:leader="none" w:pos="23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ordinary share.</w:t>
      </w:r>
    </w:p>
    <w:p>
      <w:pPr>
        <w:spacing w:after="0" w:line="211" w:lineRule="exact"/>
        <w:rPr>
          <w:sz w:val="20"/>
          <w:szCs w:val="20"/>
          <w:color w:val="auto"/>
        </w:rPr>
      </w:pPr>
    </w:p>
    <w:p>
      <w:pPr>
        <w:jc w:val="center"/>
        <w:ind w:left="120" w:right="119"/>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ordinary share would increase (decrease) the net proceeds that we receive from this offering by approximately $     million, assuming that the number</w:t>
      </w:r>
    </w:p>
    <w:p>
      <w:pPr>
        <w:ind w:left="120" w:right="139"/>
        <w:spacing w:after="0" w:line="281" w:lineRule="auto"/>
        <w:rPr>
          <w:sz w:val="20"/>
          <w:szCs w:val="20"/>
          <w:color w:val="auto"/>
        </w:rPr>
      </w:pPr>
      <w:r>
        <w:rPr>
          <w:rFonts w:ascii="Arial" w:cs="Arial" w:eastAsia="Arial" w:hAnsi="Arial"/>
          <w:sz w:val="16"/>
          <w:szCs w:val="16"/>
          <w:color w:val="auto"/>
        </w:rPr>
        <w:t>of ordinary shares offered, as set forth on the cover page of this prospectus, remains the same and after deducting underwriting discounts and commissions and estimated offering expenses payable by us. Similarly, each increase (decrease) of 100,000 shares in the number of ordinary shares offered by us would increase (decrease) the net proceeds to</w:t>
      </w:r>
    </w:p>
    <w:p>
      <w:pPr>
        <w:spacing w:after="0" w:line="2" w:lineRule="exact"/>
        <w:rPr>
          <w:sz w:val="20"/>
          <w:szCs w:val="20"/>
          <w:color w:val="auto"/>
        </w:rPr>
      </w:pPr>
    </w:p>
    <w:p>
      <w:pPr>
        <w:ind w:left="120" w:right="119"/>
        <w:spacing w:after="0" w:line="323" w:lineRule="auto"/>
        <w:rPr>
          <w:sz w:val="20"/>
          <w:szCs w:val="20"/>
          <w:color w:val="auto"/>
        </w:rPr>
      </w:pPr>
      <w:r>
        <w:rPr>
          <w:rFonts w:ascii="Arial" w:cs="Arial" w:eastAsia="Arial" w:hAnsi="Arial"/>
          <w:sz w:val="16"/>
          <w:szCs w:val="16"/>
          <w:color w:val="auto"/>
        </w:rPr>
        <w:t>us from this offering by approximately $ million, assuming that the assumed initial public offering price remains the same, and after deducting the underwriting discounts and commissions and estimated offering expenses payable by us.</w:t>
      </w:r>
    </w:p>
    <w:p>
      <w:pPr>
        <w:spacing w:after="0" w:line="139"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We intend to use the net proceeds from this offering for general corporate purposes, including working capital, sales and marketing activities, research and development, and general and administrative matters. We do not currently have any material acquisitions or investments planned however we may use a portion of the net proceeds to acquire or invest in complementary companies, products or technologies. We will have broad discretion over the uses of the net proceeds in this offering, and, as of the date of this prospectus, we have not allocated the net proceeds to particular uses. Until we use the proceeds we receive from this offering for the above mentioned purposes, we intend to invest the net proceeds in short-term, investment-grade interest-bearing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79" w:firstLine="216"/>
        <w:spacing w:after="0" w:line="273"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capitalization as of September 30, 2014:</w:t>
      </w:r>
    </w:p>
    <w:p>
      <w:pPr>
        <w:spacing w:after="0" w:line="216" w:lineRule="exact"/>
        <w:rPr>
          <w:sz w:val="20"/>
          <w:szCs w:val="20"/>
          <w:color w:val="auto"/>
        </w:rPr>
      </w:pPr>
    </w:p>
    <w:p>
      <w:pPr>
        <w:ind w:left="560" w:hanging="219"/>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215" w:lineRule="exact"/>
        <w:rPr>
          <w:rFonts w:ascii="Arial" w:cs="Arial" w:eastAsia="Arial" w:hAnsi="Arial"/>
          <w:sz w:val="22"/>
          <w:szCs w:val="22"/>
          <w:color w:val="auto"/>
        </w:rPr>
      </w:pPr>
    </w:p>
    <w:p>
      <w:pPr>
        <w:ind w:left="560" w:right="379" w:hanging="219"/>
        <w:spacing w:after="0" w:line="232" w:lineRule="auto"/>
        <w:tabs>
          <w:tab w:leader="none" w:pos="572" w:val="left"/>
        </w:tabs>
        <w:numPr>
          <w:ilvl w:val="0"/>
          <w:numId w:val="22"/>
        </w:numPr>
        <w:rPr>
          <w:rFonts w:ascii="Arial" w:cs="Arial" w:eastAsia="Arial" w:hAnsi="Arial"/>
          <w:sz w:val="22"/>
          <w:szCs w:val="22"/>
          <w:color w:val="auto"/>
        </w:rPr>
      </w:pPr>
      <w:r>
        <w:rPr>
          <w:rFonts w:ascii="Arial" w:cs="Arial" w:eastAsia="Arial" w:hAnsi="Arial"/>
          <w:sz w:val="18"/>
          <w:szCs w:val="18"/>
          <w:color w:val="auto"/>
        </w:rPr>
        <w:t>on a pro forma basis, to give effect to the conversion of all outstanding Series A-1 preferred shares into an equal number of ordinary shares immediately prior to the closing of this offering; and</w:t>
      </w:r>
    </w:p>
    <w:p>
      <w:pPr>
        <w:spacing w:after="0" w:line="206" w:lineRule="exact"/>
        <w:rPr>
          <w:rFonts w:ascii="Arial" w:cs="Arial" w:eastAsia="Arial" w:hAnsi="Arial"/>
          <w:sz w:val="22"/>
          <w:szCs w:val="22"/>
          <w:color w:val="auto"/>
        </w:rPr>
      </w:pPr>
    </w:p>
    <w:p>
      <w:pPr>
        <w:ind w:left="640" w:hanging="299"/>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7"/>
          <w:szCs w:val="17"/>
          <w:color w:val="auto"/>
        </w:rPr>
        <w:t>on a pro forma as adjusted basis, to give further effect to the issuance of ordinary shares in this offering, at an</w:t>
      </w:r>
    </w:p>
    <w:p>
      <w:pPr>
        <w:spacing w:after="0" w:line="1" w:lineRule="exact"/>
        <w:rPr>
          <w:rFonts w:ascii="Arial" w:cs="Arial" w:eastAsia="Arial" w:hAnsi="Arial"/>
          <w:sz w:val="21"/>
          <w:szCs w:val="21"/>
          <w:color w:val="auto"/>
        </w:rPr>
      </w:pPr>
    </w:p>
    <w:p>
      <w:pPr>
        <w:ind w:left="560" w:right="119"/>
        <w:spacing w:after="0" w:line="259" w:lineRule="auto"/>
        <w:rPr>
          <w:rFonts w:ascii="Arial" w:cs="Arial" w:eastAsia="Arial" w:hAnsi="Arial"/>
          <w:sz w:val="21"/>
          <w:szCs w:val="21"/>
          <w:color w:val="auto"/>
        </w:rPr>
      </w:pPr>
      <w:r>
        <w:rPr>
          <w:rFonts w:ascii="Arial" w:cs="Arial" w:eastAsia="Arial" w:hAnsi="Arial"/>
          <w:sz w:val="18"/>
          <w:szCs w:val="18"/>
          <w:color w:val="auto"/>
        </w:rPr>
        <w:t>assumed initial public offering price of $ per share, after deducting underwriting discounts and commissions and estimated offering expenses payable by us.</w:t>
      </w:r>
    </w:p>
    <w:p>
      <w:pPr>
        <w:spacing w:after="0" w:line="186" w:lineRule="exact"/>
        <w:rPr>
          <w:sz w:val="20"/>
          <w:szCs w:val="20"/>
          <w:color w:val="auto"/>
        </w:rPr>
      </w:pPr>
    </w:p>
    <w:p>
      <w:pPr>
        <w:jc w:val="center"/>
        <w:ind w:left="120" w:right="179"/>
        <w:spacing w:after="0" w:line="34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As of September 30,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Pro forma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Pro forma</w:t>
            </w:r>
          </w:p>
        </w:tc>
        <w:tc>
          <w:tcPr>
            <w:tcW w:w="2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4"/>
          </w:tcPr>
          <w:p>
            <w:pPr>
              <w:spacing w:after="0" w:line="201" w:lineRule="exact"/>
              <w:rPr>
                <w:sz w:val="20"/>
                <w:szCs w:val="20"/>
                <w:color w:val="auto"/>
              </w:rPr>
            </w:pPr>
            <w:r>
              <w:rPr>
                <w:rFonts w:ascii="Arial" w:cs="Arial" w:eastAsia="Arial" w:hAnsi="Arial"/>
                <w:sz w:val="18"/>
                <w:szCs w:val="18"/>
                <w:color w:val="auto"/>
              </w:rPr>
              <w:t>Ordinary shares, NIS 0.01 par value: 4,020,280 shares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9"/>
              </w:rPr>
              <w:t>authorized (actual and pro forma) and</w:t>
            </w:r>
          </w:p>
        </w:tc>
        <w:tc>
          <w:tcPr>
            <w:tcW w:w="1200" w:type="dxa"/>
            <w:vAlign w:val="bottom"/>
            <w:gridSpan w:val="3"/>
          </w:tcPr>
          <w:p>
            <w:pPr>
              <w:jc w:val="right"/>
              <w:ind w:right="525"/>
              <w:spacing w:after="0"/>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Arial" w:cs="Arial" w:eastAsia="Arial" w:hAnsi="Arial"/>
                <w:sz w:val="18"/>
                <w:szCs w:val="18"/>
                <w:color w:val="auto"/>
                <w:w w:val="98"/>
              </w:rPr>
              <w:t>authorized (pro forma as adjusted); 1,369,310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ind w:left="200"/>
              <w:spacing w:after="0"/>
              <w:rPr>
                <w:sz w:val="20"/>
                <w:szCs w:val="20"/>
                <w:color w:val="auto"/>
              </w:rPr>
            </w:pPr>
            <w:r>
              <w:rPr>
                <w:rFonts w:ascii="Arial" w:cs="Arial" w:eastAsia="Arial" w:hAnsi="Arial"/>
                <w:sz w:val="18"/>
                <w:szCs w:val="18"/>
                <w:color w:val="auto"/>
              </w:rPr>
              <w:t>issued and outstanding (actual), 3,296,450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3"/>
              </w:rPr>
              <w:t>issued and outstanding (pro forma), and</w:t>
            </w:r>
          </w:p>
        </w:tc>
        <w:tc>
          <w:tcPr>
            <w:tcW w:w="340" w:type="dxa"/>
            <w:vAlign w:val="bottom"/>
          </w:tcPr>
          <w:p>
            <w:pPr>
              <w:spacing w:after="0"/>
              <w:rPr>
                <w:sz w:val="18"/>
                <w:szCs w:val="18"/>
                <w:color w:val="auto"/>
              </w:rPr>
            </w:pPr>
          </w:p>
        </w:tc>
        <w:tc>
          <w:tcPr>
            <w:tcW w:w="860" w:type="dxa"/>
            <w:vAlign w:val="bottom"/>
            <w:gridSpan w:val="2"/>
          </w:tcPr>
          <w:p>
            <w:pPr>
              <w:jc w:val="right"/>
              <w:ind w:right="325"/>
              <w:spacing w:after="0"/>
              <w:rPr>
                <w:sz w:val="20"/>
                <w:szCs w:val="20"/>
                <w:color w:val="auto"/>
              </w:rPr>
            </w:pPr>
            <w:r>
              <w:rPr>
                <w:rFonts w:ascii="Arial" w:cs="Arial" w:eastAsia="Arial" w:hAnsi="Arial"/>
                <w:sz w:val="18"/>
                <w:szCs w:val="18"/>
                <w:color w:val="auto"/>
                <w:w w:val="81"/>
              </w:rPr>
              <w:t>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w w:val="88"/>
              </w:rPr>
              <w:t>issued and outstanding (pro forma as adjusted)</w:t>
            </w:r>
          </w:p>
        </w:tc>
        <w:tc>
          <w:tcPr>
            <w:tcW w:w="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380" w:type="dxa"/>
            <w:vAlign w:val="bottom"/>
            <w:gridSpan w:val="2"/>
          </w:tcPr>
          <w:p>
            <w:pPr>
              <w:jc w:val="right"/>
              <w:ind w:right="10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0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Series A-1 preferred shares, NIS 0.01 par value:</w:t>
            </w: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1,927,220 shares authorized (actual) and no shares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authorized (pro forma and pro forma as adjusted);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7"/>
              </w:rPr>
              <w:t>1,927,140 shares issued and outstanding (actual) and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9"/>
              </w:rPr>
              <w:t>no shares issued and outstanding (pro forma and pro</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forma as adjusted)</w:t>
            </w: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Accumulated other comprehensive income (loss)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Total capitalization</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1075"/>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35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ind w:left="120" w:right="379" w:firstLine="216"/>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would increase (decrease) the pro forma as adjusted amount of each of additional paid-in capital, total shareholders’ equity and total capitalization by</w:t>
      </w:r>
    </w:p>
    <w:p>
      <w:pPr>
        <w:ind w:left="120" w:right="199"/>
        <w:spacing w:after="0" w:line="255" w:lineRule="auto"/>
        <w:rPr>
          <w:sz w:val="20"/>
          <w:szCs w:val="20"/>
          <w:color w:val="auto"/>
        </w:rPr>
      </w:pPr>
      <w:r>
        <w:rPr>
          <w:rFonts w:ascii="Arial" w:cs="Arial" w:eastAsia="Arial" w:hAnsi="Arial"/>
          <w:sz w:val="18"/>
          <w:szCs w:val="18"/>
          <w:color w:val="auto"/>
        </w:rPr>
        <w:t>approximately $ million, assuming that the number of ordinary shares offered, as set forth on the cover page of this prospectus, remains the same and after deducting underwriting discounts and commissions and estimated offering expenses payable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79" w:firstLine="216"/>
        <w:spacing w:after="0" w:line="288"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September 30, 2014 was $</w:t>
      </w:r>
    </w:p>
    <w:p>
      <w:pPr>
        <w:ind w:left="120" w:right="279"/>
        <w:spacing w:after="0" w:line="261" w:lineRule="auto"/>
        <w:rPr>
          <w:sz w:val="20"/>
          <w:szCs w:val="20"/>
          <w:color w:val="auto"/>
        </w:rPr>
      </w:pPr>
      <w:r>
        <w:rPr>
          <w:rFonts w:ascii="Arial" w:cs="Arial" w:eastAsia="Arial" w:hAnsi="Arial"/>
          <w:sz w:val="18"/>
          <w:szCs w:val="18"/>
          <w:color w:val="auto"/>
        </w:rPr>
        <w:t>million, or $ per ordinary share. Pro forma consolidated net tangible book value per ordinary share was calculated by:</w:t>
      </w:r>
    </w:p>
    <w:p>
      <w:pPr>
        <w:spacing w:after="0" w:line="175" w:lineRule="exact"/>
        <w:rPr>
          <w:sz w:val="20"/>
          <w:szCs w:val="20"/>
          <w:color w:val="auto"/>
        </w:rPr>
      </w:pPr>
    </w:p>
    <w:p>
      <w:pPr>
        <w:ind w:left="560" w:hanging="219"/>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dividing the difference by the number of ordinary shares outstanding on a pro forma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After giving effect to adjustments relating to this offering, our pro forma as adjusted consolidated net tangible book</w:t>
      </w:r>
    </w:p>
    <w:p>
      <w:pPr>
        <w:spacing w:after="0" w:line="35" w:lineRule="exact"/>
        <w:rPr>
          <w:sz w:val="20"/>
          <w:szCs w:val="20"/>
          <w:color w:val="auto"/>
        </w:rPr>
      </w:pPr>
    </w:p>
    <w:p>
      <w:pPr>
        <w:ind w:left="120" w:right="379"/>
        <w:spacing w:after="0" w:line="286" w:lineRule="auto"/>
        <w:rPr>
          <w:sz w:val="20"/>
          <w:szCs w:val="20"/>
          <w:color w:val="auto"/>
        </w:rPr>
      </w:pPr>
      <w:r>
        <w:rPr>
          <w:rFonts w:ascii="Arial" w:cs="Arial" w:eastAsia="Arial" w:hAnsi="Arial"/>
          <w:sz w:val="16"/>
          <w:szCs w:val="16"/>
          <w:color w:val="auto"/>
        </w:rPr>
        <w:t>value on September 30, 2014 would have been approximately $ million, equivalent to $ per ordinary share. The adjustments made to determine our pro forma as adjusted consolidated net tangible book value are: (1) the conversion of all outstanding Series A-1 preferred shares into an equal number of ordinary shares; (2) an increase in consolidated tangible assets to reflect the net proceeds of this offering received by us as described under “Use of</w:t>
      </w:r>
    </w:p>
    <w:p>
      <w:pPr>
        <w:spacing w:after="0" w:line="1" w:lineRule="exact"/>
        <w:rPr>
          <w:sz w:val="20"/>
          <w:szCs w:val="20"/>
          <w:color w:val="auto"/>
        </w:rPr>
      </w:pPr>
    </w:p>
    <w:p>
      <w:pPr>
        <w:ind w:left="120" w:right="199"/>
        <w:spacing w:after="0" w:line="265" w:lineRule="auto"/>
        <w:rPr>
          <w:sz w:val="20"/>
          <w:szCs w:val="20"/>
          <w:color w:val="auto"/>
        </w:rPr>
      </w:pPr>
      <w:r>
        <w:rPr>
          <w:rFonts w:ascii="Arial" w:cs="Arial" w:eastAsia="Arial" w:hAnsi="Arial"/>
          <w:sz w:val="17"/>
          <w:szCs w:val="17"/>
          <w:color w:val="auto"/>
        </w:rPr>
        <w:t>Proceeds”; (3) the addition of the ordinary shares offered in this prospectus to the number of ordinary shares outstanding; (4) a one-time payment in the aggregate amount of $ to our sponsor, Fortissimo Capital, in connection</w:t>
      </w:r>
    </w:p>
    <w:p>
      <w:pPr>
        <w:ind w:left="120" w:right="239"/>
        <w:spacing w:after="0" w:line="255" w:lineRule="auto"/>
        <w:rPr>
          <w:sz w:val="20"/>
          <w:szCs w:val="20"/>
          <w:color w:val="auto"/>
        </w:rPr>
      </w:pPr>
      <w:r>
        <w:rPr>
          <w:rFonts w:ascii="Arial" w:cs="Arial" w:eastAsia="Arial" w:hAnsi="Arial"/>
          <w:sz w:val="18"/>
          <w:szCs w:val="18"/>
          <w:color w:val="auto"/>
        </w:rPr>
        <w:t>with the termination of our existing management services agreement with them; and (5) a payment of $250,000 in the aggregate to certain of our employees, including some of our executive officers, for their contribution to completing this offering.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immediate increase in our pro forma as adjusted consolidated net tangible book</w:t>
      </w:r>
    </w:p>
    <w:p>
      <w:pPr>
        <w:spacing w:after="0" w:line="35"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6"/>
          <w:szCs w:val="16"/>
          <w:color w:val="auto"/>
        </w:rPr>
        <w:t>per ordinary share and the immediate pro forma as adjusted dilution to new investors: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5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200"/>
              <w:spacing w:after="0" w:line="201" w:lineRule="exact"/>
              <w:rPr>
                <w:sz w:val="20"/>
                <w:szCs w:val="20"/>
                <w:color w:val="auto"/>
              </w:rPr>
            </w:pPr>
            <w:r>
              <w:rPr>
                <w:rFonts w:ascii="Arial" w:cs="Arial" w:eastAsia="Arial" w:hAnsi="Arial"/>
                <w:sz w:val="18"/>
                <w:szCs w:val="18"/>
                <w:color w:val="auto"/>
                <w:w w:val="96"/>
              </w:rPr>
              <w:t>Pro forma consolidated net tangible book value per ordinary share as of</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September 30, 2014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Increase in net tangible book value per ordinary share attributable to the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ordinary share after giving</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effect to the offering</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r>
      <w:tr>
        <w:trPr>
          <w:trHeight w:val="377"/>
        </w:trPr>
        <w:tc>
          <w:tcPr>
            <w:tcW w:w="20" w:type="dxa"/>
            <w:vAlign w:val="bottom"/>
          </w:tcPr>
          <w:p>
            <w:pPr>
              <w:spacing w:after="0"/>
              <w:rPr>
                <w:sz w:val="24"/>
                <w:szCs w:val="24"/>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89"/>
              </w:rPr>
              <w:t>per ordinary share would increase</w:t>
            </w: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w w:val="92"/>
              </w:rPr>
              <w:t>(decrease) the consolidated net tangible book value attributable to this offering by $</w:t>
            </w:r>
          </w:p>
        </w:tc>
        <w:tc>
          <w:tcPr>
            <w:tcW w:w="262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per ordinary share, the pro</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w w:val="95"/>
              </w:rPr>
              <w:t>forma as adjusted consolidated net tangible book value after giving effect to this offering by $</w:t>
            </w:r>
          </w:p>
        </w:tc>
        <w:tc>
          <w:tcPr>
            <w:tcW w:w="1740" w:type="dxa"/>
            <w:vAlign w:val="bottom"/>
            <w:gridSpan w:val="3"/>
          </w:tcPr>
          <w:p>
            <w:pPr>
              <w:ind w:left="260"/>
              <w:spacing w:after="0"/>
              <w:rPr>
                <w:sz w:val="20"/>
                <w:szCs w:val="20"/>
                <w:color w:val="auto"/>
              </w:rPr>
            </w:pPr>
            <w:r>
              <w:rPr>
                <w:rFonts w:ascii="Arial" w:cs="Arial" w:eastAsia="Arial" w:hAnsi="Arial"/>
                <w:sz w:val="18"/>
                <w:szCs w:val="18"/>
                <w:color w:val="auto"/>
                <w:w w:val="99"/>
              </w:rPr>
              <w:t>per ordinary share</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and the dilution per ordinary share to new investors in this offering by $</w:t>
            </w:r>
          </w:p>
        </w:tc>
        <w:tc>
          <w:tcPr>
            <w:tcW w:w="3060" w:type="dxa"/>
            <w:vAlign w:val="bottom"/>
            <w:gridSpan w:val="6"/>
          </w:tcPr>
          <w:p>
            <w:pPr>
              <w:ind w:left="60"/>
              <w:spacing w:after="0"/>
              <w:rPr>
                <w:sz w:val="20"/>
                <w:szCs w:val="20"/>
                <w:color w:val="auto"/>
              </w:rPr>
            </w:pPr>
            <w:r>
              <w:rPr>
                <w:rFonts w:ascii="Arial" w:cs="Arial" w:eastAsia="Arial" w:hAnsi="Arial"/>
                <w:sz w:val="18"/>
                <w:szCs w:val="18"/>
                <w:color w:val="auto"/>
                <w:w w:val="96"/>
              </w:rPr>
              <w:t>, assuming that the number of ordinary</w:t>
            </w:r>
          </w:p>
        </w:tc>
      </w:tr>
    </w:tbl>
    <w:p>
      <w:pPr>
        <w:ind w:left="120" w:right="619"/>
        <w:spacing w:after="0" w:line="261" w:lineRule="auto"/>
        <w:rPr>
          <w:sz w:val="20"/>
          <w:szCs w:val="20"/>
          <w:color w:val="auto"/>
        </w:rPr>
      </w:pPr>
      <w:r>
        <w:rPr>
          <w:rFonts w:ascii="Arial" w:cs="Arial" w:eastAsia="Arial" w:hAnsi="Arial"/>
          <w:sz w:val="18"/>
          <w:szCs w:val="18"/>
          <w:color w:val="auto"/>
        </w:rPr>
        <w:t>shares offered, as set forth on the cover page of this prospectus, remains the same and after deducting underwriting discounts and commissions and estimated offering expenses payable by us.</w:t>
      </w:r>
    </w:p>
    <w:p>
      <w:pPr>
        <w:spacing w:after="0" w:line="184" w:lineRule="exact"/>
        <w:rPr>
          <w:sz w:val="20"/>
          <w:szCs w:val="20"/>
          <w:color w:val="auto"/>
        </w:rPr>
      </w:pPr>
    </w:p>
    <w:p>
      <w:pPr>
        <w:ind w:left="120" w:right="459" w:firstLine="216"/>
        <w:spacing w:after="0" w:line="288" w:lineRule="auto"/>
        <w:rPr>
          <w:sz w:val="20"/>
          <w:szCs w:val="20"/>
          <w:color w:val="auto"/>
        </w:rPr>
      </w:pPr>
      <w:r>
        <w:rPr>
          <w:rFonts w:ascii="Arial" w:cs="Arial" w:eastAsia="Arial" w:hAnsi="Arial"/>
          <w:sz w:val="16"/>
          <w:szCs w:val="16"/>
          <w:color w:val="auto"/>
        </w:rPr>
        <w:t>The table below summarizes, as of September 30,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w:t>
      </w:r>
    </w:p>
    <w:p>
      <w:pPr>
        <w:ind w:left="120" w:right="239"/>
        <w:spacing w:after="0" w:line="290" w:lineRule="auto"/>
        <w:rPr>
          <w:sz w:val="20"/>
          <w:szCs w:val="20"/>
          <w:color w:val="auto"/>
        </w:rPr>
      </w:pPr>
      <w:r>
        <w:rPr>
          <w:rFonts w:ascii="Arial" w:cs="Arial" w:eastAsia="Arial" w:hAnsi="Arial"/>
          <w:sz w:val="17"/>
          <w:szCs w:val="17"/>
          <w:color w:val="auto"/>
        </w:rPr>
        <w:t>ordinary shares in this offering, on the other hand, at an assumed initial public offering price of $ per ordinary share before deducting underwriting discounts and commissions and estimated offering expenses payable by us.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88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 Share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spacing w:after="0"/>
              <w:rPr>
                <w:sz w:val="20"/>
                <w:szCs w:val="20"/>
                <w:color w:val="auto"/>
              </w:rPr>
            </w:pPr>
            <w:r>
              <w:rPr>
                <w:rFonts w:ascii="Arial" w:cs="Arial" w:eastAsia="Arial" w:hAnsi="Arial"/>
                <w:sz w:val="18"/>
                <w:szCs w:val="18"/>
                <w:color w:val="auto"/>
              </w:rPr>
              <w:t>New investors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w w:val="98"/>
              </w:rPr>
              <w:t>The above discussion and tables are based on</w:t>
            </w:r>
          </w:p>
        </w:tc>
        <w:tc>
          <w:tcPr>
            <w:tcW w:w="4860" w:type="dxa"/>
            <w:vAlign w:val="bottom"/>
            <w:gridSpan w:val="11"/>
          </w:tcPr>
          <w:p>
            <w:pPr>
              <w:ind w:left="20"/>
              <w:spacing w:after="0"/>
              <w:rPr>
                <w:sz w:val="20"/>
                <w:szCs w:val="20"/>
                <w:color w:val="auto"/>
              </w:rPr>
            </w:pPr>
            <w:r>
              <w:rPr>
                <w:rFonts w:ascii="Arial" w:cs="Arial" w:eastAsia="Arial" w:hAnsi="Arial"/>
                <w:sz w:val="18"/>
                <w:szCs w:val="18"/>
                <w:color w:val="auto"/>
                <w:w w:val="90"/>
              </w:rPr>
              <w:t>ordinary shares issued and outstanding as of September 30, 2014,</w:t>
            </w:r>
          </w:p>
        </w:tc>
        <w:tc>
          <w:tcPr>
            <w:tcW w:w="0" w:type="dxa"/>
            <w:vAlign w:val="bottom"/>
          </w:tcPr>
          <w:p>
            <w:pPr>
              <w:spacing w:after="0"/>
              <w:rPr>
                <w:sz w:val="1"/>
                <w:szCs w:val="1"/>
                <w:color w:val="auto"/>
              </w:rPr>
            </w:pP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1"/>
              </w:rPr>
              <w:t>on a pro forma as adjusted basis as described above.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3" w:name="page34"/>
    <w:bookmarkEnd w:id="33"/>
    <w:p>
      <w:pPr>
        <w:ind w:left="120" w:right="179" w:firstLine="216"/>
        <w:spacing w:after="0" w:line="291" w:lineRule="auto"/>
        <w:rPr>
          <w:sz w:val="20"/>
          <w:szCs w:val="20"/>
          <w:color w:val="auto"/>
        </w:rPr>
      </w:pPr>
      <w:r>
        <w:rPr>
          <w:rFonts w:ascii="Arial" w:cs="Arial" w:eastAsia="Arial" w:hAnsi="Arial"/>
          <w:sz w:val="16"/>
          <w:szCs w:val="16"/>
          <w:color w:val="auto"/>
        </w:rPr>
        <w:t>The discussion and table above assume no exercise of the underwriters’ option to purchase additional ordinary shares. If the underwriters exercise their option to purchase additional ordinary shares in full, the pro forma number of our</w:t>
      </w:r>
    </w:p>
    <w:p>
      <w:pPr>
        <w:ind w:left="120" w:right="179"/>
        <w:spacing w:after="0" w:line="261" w:lineRule="auto"/>
        <w:rPr>
          <w:sz w:val="20"/>
          <w:szCs w:val="20"/>
          <w:color w:val="auto"/>
        </w:rPr>
      </w:pPr>
      <w:r>
        <w:rPr>
          <w:rFonts w:ascii="Arial" w:cs="Arial" w:eastAsia="Arial" w:hAnsi="Arial"/>
          <w:sz w:val="18"/>
          <w:szCs w:val="18"/>
          <w:color w:val="auto"/>
        </w:rPr>
        <w:t>ordinary shares held by new investors will increase to , or approximately %, of the total pro forma number of our ordinary shares outstanding after this offering.</w:t>
      </w:r>
    </w:p>
    <w:p>
      <w:pPr>
        <w:spacing w:after="0" w:line="184" w:lineRule="exact"/>
        <w:rPr>
          <w:sz w:val="20"/>
          <w:szCs w:val="20"/>
          <w:color w:val="auto"/>
        </w:rPr>
      </w:pPr>
    </w:p>
    <w:p>
      <w:pPr>
        <w:ind w:left="120" w:right="35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all of such outstanding options were exercised, pro forma as adjusted consolidated net tangible book value per share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color w:val="auto"/>
              </w:rPr>
              <w:t>would be $</w:t>
            </w:r>
          </w:p>
        </w:tc>
        <w:tc>
          <w:tcPr>
            <w:tcW w:w="4560" w:type="dxa"/>
            <w:vAlign w:val="bottom"/>
            <w:gridSpan w:val="4"/>
          </w:tcPr>
          <w:p>
            <w:pPr>
              <w:jc w:val="right"/>
              <w:ind w:right="150"/>
              <w:spacing w:after="0"/>
              <w:rPr>
                <w:sz w:val="20"/>
                <w:szCs w:val="20"/>
                <w:color w:val="auto"/>
              </w:rPr>
            </w:pPr>
            <w:r>
              <w:rPr>
                <w:rFonts w:ascii="Arial" w:cs="Arial" w:eastAsia="Arial" w:hAnsi="Arial"/>
                <w:sz w:val="18"/>
                <w:szCs w:val="18"/>
                <w:color w:val="auto"/>
                <w:w w:val="96"/>
              </w:rPr>
              <w:t>, dilution per ordinary share to new investors would be $</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 the number of shares held by our</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existing shareholders would increase to</w:t>
            </w:r>
          </w:p>
        </w:tc>
        <w:tc>
          <w:tcPr>
            <w:tcW w:w="1460" w:type="dxa"/>
            <w:vAlign w:val="bottom"/>
          </w:tcPr>
          <w:p>
            <w:pPr>
              <w:jc w:val="right"/>
              <w:ind w:right="296"/>
              <w:spacing w:after="0"/>
              <w:rPr>
                <w:sz w:val="20"/>
                <w:szCs w:val="20"/>
                <w:color w:val="auto"/>
              </w:rPr>
            </w:pPr>
            <w:r>
              <w:rPr>
                <w:rFonts w:ascii="Arial" w:cs="Arial" w:eastAsia="Arial" w:hAnsi="Arial"/>
                <w:sz w:val="18"/>
                <w:szCs w:val="18"/>
                <w:color w:val="auto"/>
              </w:rPr>
              <w:t>, constituting</w:t>
            </w: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w w:val="91"/>
              </w:rPr>
              <w:t>% of our total issued shares (while new shareholders</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in this offering would only hold</w:t>
            </w:r>
          </w:p>
        </w:tc>
        <w:tc>
          <w:tcPr>
            <w:tcW w:w="6180" w:type="dxa"/>
            <w:vAlign w:val="bottom"/>
            <w:gridSpan w:val="5"/>
          </w:tcPr>
          <w:p>
            <w:pPr>
              <w:ind w:left="240"/>
              <w:spacing w:after="0"/>
              <w:rPr>
                <w:sz w:val="20"/>
                <w:szCs w:val="20"/>
                <w:color w:val="auto"/>
              </w:rPr>
            </w:pPr>
            <w:r>
              <w:rPr>
                <w:rFonts w:ascii="Arial" w:cs="Arial" w:eastAsia="Arial" w:hAnsi="Arial"/>
                <w:sz w:val="18"/>
                <w:szCs w:val="18"/>
                <w:color w:val="auto"/>
              </w:rPr>
              <w:t>% of our issued shares), the total consideration amount paid by existing</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w w:val="97"/>
              </w:rPr>
              <w:t>shareholders would increase to $</w:t>
            </w:r>
          </w:p>
        </w:tc>
        <w:tc>
          <w:tcPr>
            <w:tcW w:w="640" w:type="dxa"/>
            <w:vAlign w:val="bottom"/>
          </w:tcPr>
          <w:p>
            <w:pPr>
              <w:ind w:left="260"/>
              <w:spacing w:after="0"/>
              <w:rPr>
                <w:sz w:val="20"/>
                <w:szCs w:val="20"/>
                <w:color w:val="auto"/>
              </w:rPr>
            </w:pPr>
            <w:r>
              <w:rPr>
                <w:rFonts w:ascii="Arial" w:cs="Arial" w:eastAsia="Arial" w:hAnsi="Arial"/>
                <w:sz w:val="18"/>
                <w:szCs w:val="18"/>
                <w:color w:val="auto"/>
              </w:rPr>
              <w:t>, or</w:t>
            </w:r>
          </w:p>
        </w:tc>
        <w:tc>
          <w:tcPr>
            <w:tcW w:w="5540" w:type="dxa"/>
            <w:vAlign w:val="bottom"/>
            <w:gridSpan w:val="4"/>
          </w:tcPr>
          <w:p>
            <w:pPr>
              <w:ind w:left="400"/>
              <w:spacing w:after="0"/>
              <w:rPr>
                <w:sz w:val="20"/>
                <w:szCs w:val="20"/>
                <w:color w:val="auto"/>
              </w:rPr>
            </w:pPr>
            <w:r>
              <w:rPr>
                <w:rFonts w:ascii="Arial" w:cs="Arial" w:eastAsia="Arial" w:hAnsi="Arial"/>
                <w:sz w:val="18"/>
                <w:szCs w:val="18"/>
                <w:color w:val="auto"/>
              </w:rPr>
              <w:t>% of total consideration received by us for our shares (while the</w:t>
            </w:r>
          </w:p>
        </w:tc>
      </w:tr>
      <w:tr>
        <w:trPr>
          <w:trHeight w:val="216"/>
        </w:trPr>
        <w:tc>
          <w:tcPr>
            <w:tcW w:w="6600" w:type="dxa"/>
            <w:vAlign w:val="bottom"/>
            <w:gridSpan w:val="7"/>
          </w:tcPr>
          <w:p>
            <w:pPr>
              <w:spacing w:after="0"/>
              <w:rPr>
                <w:sz w:val="20"/>
                <w:szCs w:val="20"/>
                <w:color w:val="auto"/>
              </w:rPr>
            </w:pPr>
            <w:r>
              <w:rPr>
                <w:rFonts w:ascii="Arial" w:cs="Arial" w:eastAsia="Arial" w:hAnsi="Arial"/>
                <w:sz w:val="18"/>
                <w:szCs w:val="18"/>
                <w:color w:val="auto"/>
                <w:w w:val="93"/>
              </w:rPr>
              <w:t>percentage of consideration paid by new shareholders in this offering would decrease to</w:t>
            </w:r>
          </w:p>
        </w:tc>
        <w:tc>
          <w:tcPr>
            <w:tcW w:w="2180" w:type="dxa"/>
            <w:vAlign w:val="bottom"/>
          </w:tcPr>
          <w:p>
            <w:pPr>
              <w:ind w:left="260"/>
              <w:spacing w:after="0"/>
              <w:rPr>
                <w:sz w:val="20"/>
                <w:szCs w:val="20"/>
                <w:color w:val="auto"/>
              </w:rPr>
            </w:pPr>
            <w:r>
              <w:rPr>
                <w:rFonts w:ascii="Arial" w:cs="Arial" w:eastAsia="Arial" w:hAnsi="Arial"/>
                <w:sz w:val="18"/>
                <w:szCs w:val="18"/>
                <w:color w:val="auto"/>
                <w:w w:val="94"/>
              </w:rPr>
              <w:t>%) and the average price</w:t>
            </w:r>
          </w:p>
        </w:tc>
      </w:tr>
      <w:tr>
        <w:trPr>
          <w:trHeight w:val="230"/>
        </w:trPr>
        <w:tc>
          <w:tcPr>
            <w:tcW w:w="4700" w:type="dxa"/>
            <w:vAlign w:val="bottom"/>
            <w:gridSpan w:val="5"/>
          </w:tcPr>
          <w:p>
            <w:pPr>
              <w:spacing w:after="0"/>
              <w:rPr>
                <w:sz w:val="20"/>
                <w:szCs w:val="20"/>
                <w:color w:val="auto"/>
              </w:rPr>
            </w:pPr>
            <w:r>
              <w:rPr>
                <w:rFonts w:ascii="Arial" w:cs="Arial" w:eastAsia="Arial" w:hAnsi="Arial"/>
                <w:sz w:val="18"/>
                <w:szCs w:val="18"/>
                <w:color w:val="auto"/>
                <w:w w:val="93"/>
              </w:rPr>
              <w:t>per share paid by our existing shareholders would instead be $</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120" w:right="299" w:firstLine="216"/>
        <w:spacing w:after="0" w:line="254" w:lineRule="auto"/>
        <w:rPr>
          <w:sz w:val="20"/>
          <w:szCs w:val="20"/>
          <w:color w:val="auto"/>
        </w:rPr>
      </w:pPr>
      <w:r>
        <w:rPr>
          <w:rFonts w:ascii="Arial" w:cs="Arial" w:eastAsia="Arial" w:hAnsi="Arial"/>
          <w:sz w:val="18"/>
          <w:szCs w:val="18"/>
          <w:color w:val="auto"/>
        </w:rPr>
        <w:t>The selected consolidated statements of income data for the years ended December 31, 2012 and 2013 and selected consolidated balance sheet data as of December 31, 2012 and 2013 are derived from our audited consolidated financial statements appearing elsewhere in this prospectus. The selected consolidated statements of income data for the nine months ended September 30, 2013 and 2014 and the selected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3"/>
              </w:rPr>
              <w:t>Year Ended 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gridSpan w:val="11"/>
          </w:tcPr>
          <w:p>
            <w:pPr>
              <w:ind w:left="26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49,395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34,185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Cost of revenues</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8"/>
                <w:szCs w:val="28"/>
                <w:b w:val="1"/>
                <w:bCs w:val="1"/>
                <w:color w:val="auto"/>
                <w:vertAlign w:val="superscript"/>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line="24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tcPr>
          <w:p>
            <w:pPr>
              <w:ind w:left="20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8"/>
                <w:szCs w:val="28"/>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87"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in computing income per ordinary share</w:t>
            </w:r>
            <w:r>
              <w:rPr>
                <w:rFonts w:ascii="Arial" w:cs="Arial" w:eastAsia="Arial" w:hAnsi="Arial"/>
                <w:sz w:val="28"/>
                <w:szCs w:val="28"/>
                <w:b w:val="1"/>
                <w:bCs w:val="1"/>
                <w:color w:val="auto"/>
                <w:vertAlign w:val="superscript"/>
              </w:rPr>
              <w:t>(2)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1,368,565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1,472,521</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1,547,013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spacing w:after="0"/>
              <w:rPr>
                <w:sz w:val="20"/>
                <w:szCs w:val="20"/>
                <w:color w:val="auto"/>
              </w:rPr>
            </w:pPr>
            <w:r>
              <w:rPr>
                <w:rFonts w:ascii="Arial" w:cs="Arial" w:eastAsia="Arial" w:hAnsi="Arial"/>
                <w:sz w:val="18"/>
                <w:szCs w:val="18"/>
                <w:color w:val="auto"/>
              </w:rPr>
              <w:t>in computing pro forma income per ordinary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share</w:t>
            </w:r>
            <w:r>
              <w:rPr>
                <w:rFonts w:ascii="Arial" w:cs="Arial" w:eastAsia="Arial" w:hAnsi="Arial"/>
                <w:sz w:val="28"/>
                <w:szCs w:val="28"/>
                <w:b w:val="1"/>
                <w:bCs w:val="1"/>
                <w:color w:val="auto"/>
                <w:vertAlign w:val="superscript"/>
              </w:rPr>
              <w:t>(3)</w:t>
            </w: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3,295,705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3,434,830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3,474,153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5" w:name="page36"/>
    <w:bookmarkEnd w:id="3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w:t>
            </w: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3"/>
              </w:rPr>
              <w:t>30, 2014</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(in thousands)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4,663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5,329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Working capital</w:t>
            </w:r>
            <w:r>
              <w:rPr>
                <w:rFonts w:ascii="Arial" w:cs="Arial" w:eastAsia="Arial" w:hAnsi="Arial"/>
                <w:sz w:val="28"/>
                <w:szCs w:val="28"/>
                <w:color w:val="auto"/>
                <w:vertAlign w:val="superscript"/>
              </w:rPr>
              <w:t>(4)</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12,193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24,407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31,627</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14,311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15,608</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17,799</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right"/>
              <w:ind w:right="657"/>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40" w:type="dxa"/>
            <w:vAlign w:val="bottom"/>
          </w:tcPr>
          <w:p>
            <w:pPr>
              <w:spacing w:after="0" w:line="228" w:lineRule="exact"/>
              <w:rPr>
                <w:sz w:val="20"/>
                <w:szCs w:val="20"/>
                <w:color w:val="auto"/>
              </w:rPr>
            </w:pPr>
            <w:r>
              <w:rPr>
                <w:rFonts w:ascii="Arial" w:cs="Arial" w:eastAsia="Arial" w:hAnsi="Arial"/>
                <w:sz w:val="17"/>
                <w:szCs w:val="17"/>
                <w:color w:val="auto"/>
              </w:rPr>
              <w:t>Adjusted EBITDA</w:t>
            </w:r>
            <w:r>
              <w:rPr>
                <w:rFonts w:ascii="Arial" w:cs="Arial" w:eastAsia="Arial" w:hAnsi="Arial"/>
                <w:sz w:val="26"/>
                <w:szCs w:val="26"/>
                <w:color w:val="auto"/>
                <w:vertAlign w:val="superscript"/>
              </w:rPr>
              <w:t>(5)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4,690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4,281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2,915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19"/>
                <w:szCs w:val="19"/>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Includes share-based compensation expense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6"/>
                <w:szCs w:val="16"/>
                <w:b w:val="1"/>
                <w:bCs w:val="1"/>
                <w:color w:val="auto"/>
                <w:w w:val="99"/>
              </w:rPr>
              <w:t>Year Ended December 31,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Total share-based compensation expense</w:t>
            </w:r>
          </w:p>
        </w:tc>
        <w:tc>
          <w:tcPr>
            <w:tcW w:w="540" w:type="dxa"/>
            <w:vAlign w:val="bottom"/>
          </w:tcPr>
          <w:p>
            <w:pPr>
              <w:spacing w:after="0"/>
              <w:rPr>
                <w:sz w:val="16"/>
                <w:szCs w:val="16"/>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c>
          <w:tcPr>
            <w:tcW w:w="3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513</w:t>
            </w:r>
          </w:p>
        </w:tc>
        <w:tc>
          <w:tcPr>
            <w:tcW w:w="140" w:type="dxa"/>
            <w:vAlign w:val="bottom"/>
          </w:tcPr>
          <w:p>
            <w:pPr>
              <w:spacing w:after="0"/>
              <w:rPr>
                <w:sz w:val="16"/>
                <w:szCs w:val="16"/>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ind w:left="440" w:right="459" w:hanging="315"/>
        <w:spacing w:after="0" w:line="286" w:lineRule="auto"/>
        <w:tabs>
          <w:tab w:leader="none" w:pos="4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 2w and 10 to our consolidated financial statements included elsewhere in this prospectus.</w:t>
      </w:r>
    </w:p>
    <w:p>
      <w:pPr>
        <w:spacing w:after="0" w:line="165" w:lineRule="exact"/>
        <w:rPr>
          <w:rFonts w:ascii="Arial" w:cs="Arial" w:eastAsia="Arial" w:hAnsi="Arial"/>
          <w:sz w:val="17"/>
          <w:szCs w:val="17"/>
          <w:color w:val="auto"/>
        </w:rPr>
      </w:pPr>
    </w:p>
    <w:p>
      <w:pPr>
        <w:ind w:left="440" w:right="319" w:hanging="315"/>
        <w:spacing w:after="0" w:line="257" w:lineRule="auto"/>
        <w:tabs>
          <w:tab w:leader="none" w:pos="4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2d to our consolidated financial statements included elsewhere in this prospectus.</w:t>
      </w:r>
    </w:p>
    <w:p>
      <w:pPr>
        <w:spacing w:after="0" w:line="188" w:lineRule="exact"/>
        <w:rPr>
          <w:rFonts w:ascii="Arial" w:cs="Arial" w:eastAsia="Arial" w:hAnsi="Arial"/>
          <w:sz w:val="18"/>
          <w:szCs w:val="18"/>
          <w:color w:val="auto"/>
        </w:rPr>
      </w:pPr>
    </w:p>
    <w:p>
      <w:pPr>
        <w:ind w:left="420" w:hanging="295"/>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420" w:hanging="295"/>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5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Reconciliation of Net Income to Adjusted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Taxes on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4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1">
            <w:col w:w="9019"/>
          </w:cols>
          <w:pgMar w:left="1440" w:top="126" w:right="1440" w:bottom="1440" w:gutter="0" w:footer="0" w:header="0"/>
        </w:sect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6" w:name="page37"/>
    <w:bookmarkEnd w:id="36"/>
    <w:p>
      <w:pPr>
        <w:ind w:left="120" w:right="1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560" w:right="739" w:hanging="219"/>
        <w:spacing w:after="0" w:line="232" w:lineRule="auto"/>
        <w:tabs>
          <w:tab w:leader="none" w:pos="572"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25"/>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67" w:lineRule="exact"/>
        <w:rPr>
          <w:sz w:val="20"/>
          <w:szCs w:val="20"/>
          <w:color w:val="auto"/>
        </w:rPr>
      </w:pPr>
    </w:p>
    <w:p>
      <w:pPr>
        <w:ind w:left="120" w:right="239" w:firstLine="216"/>
        <w:spacing w:after="0" w:line="288"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69"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ind w:left="120" w:right="559" w:firstLine="216"/>
        <w:spacing w:after="0" w:line="286" w:lineRule="auto"/>
        <w:rPr>
          <w:sz w:val="20"/>
          <w:szCs w:val="20"/>
          <w:color w:val="auto"/>
        </w:rPr>
      </w:pPr>
      <w:r>
        <w:rPr>
          <w:rFonts w:ascii="Arial" w:cs="Arial" w:eastAsia="Arial" w:hAnsi="Arial"/>
          <w:sz w:val="17"/>
          <w:szCs w:val="17"/>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66"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82"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 26.1% increase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93" w:lineRule="exact"/>
        <w:rPr>
          <w:sz w:val="20"/>
          <w:szCs w:val="20"/>
          <w:color w:val="auto"/>
        </w:rPr>
      </w:pPr>
    </w:p>
    <w:p>
      <w:pPr>
        <w:ind w:left="120" w:right="439" w:firstLine="216"/>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72% of our revenues during the nine months ended September 30, 2014 and approximately 63% in 2013. The balance of our product sales is direct.</w:t>
      </w:r>
    </w:p>
    <w:p>
      <w:pPr>
        <w:spacing w:after="0" w:line="181" w:lineRule="exact"/>
        <w:rPr>
          <w:sz w:val="20"/>
          <w:szCs w:val="20"/>
          <w:color w:val="auto"/>
        </w:rPr>
      </w:pPr>
    </w:p>
    <w:p>
      <w:pPr>
        <w:ind w:left="120" w:right="259" w:firstLine="216"/>
        <w:spacing w:after="0" w:line="253"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120"/>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ind w:left="480"/>
              <w:spacing w:after="0"/>
              <w:rPr>
                <w:sz w:val="20"/>
                <w:szCs w:val="20"/>
                <w:color w:val="auto"/>
              </w:rPr>
            </w:pPr>
            <w:r>
              <w:rPr>
                <w:rFonts w:ascii="Arial" w:cs="Arial" w:eastAsia="Arial" w:hAnsi="Arial"/>
                <w:sz w:val="16"/>
                <w:szCs w:val="16"/>
                <w:b w:val="1"/>
                <w:bCs w:val="1"/>
                <w:color w:val="auto"/>
                <w:w w:val="93"/>
              </w:rPr>
              <w:t>Nine months Ended September 30,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w w:val="89"/>
              </w:rPr>
              <w:t>2013</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9"/>
          </w:tcPr>
          <w:p>
            <w:pPr>
              <w:ind w:left="500"/>
              <w:spacing w:after="0"/>
              <w:rPr>
                <w:sz w:val="20"/>
                <w:szCs w:val="20"/>
                <w:color w:val="auto"/>
              </w:rPr>
            </w:pPr>
            <w:r>
              <w:rPr>
                <w:rFonts w:ascii="Arial" w:cs="Arial" w:eastAsia="Arial" w:hAnsi="Arial"/>
                <w:sz w:val="16"/>
                <w:szCs w:val="16"/>
                <w:b w:val="1"/>
                <w:bCs w:val="1"/>
                <w:color w:val="auto"/>
                <w:w w:val="91"/>
              </w:rPr>
              <w:t>(in thousands except percentages)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United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States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22,022</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14,877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5,732</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Asia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7,330</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3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49,395</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34,185</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47,495</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12" w:lineRule="exact"/>
        <w:rPr>
          <w:sz w:val="20"/>
          <w:szCs w:val="20"/>
          <w:color w:val="auto"/>
        </w:rPr>
      </w:pPr>
    </w:p>
    <w:p>
      <w:pPr>
        <w:ind w:left="120" w:right="219" w:firstLine="216"/>
        <w:spacing w:after="0" w:line="289"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53"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66"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facilities leases. We expect personnel and allocated costs to continue to increase as we hire new employees to support the continued growth of our business. In the medium term, we expect operating expenses to decrease as a percentage of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20" w:right="139" w:firstLine="216"/>
        <w:spacing w:after="0" w:line="26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42"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largest component of our sales and marketing expenses is salaries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40"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largest component of our general and administrative expenses is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(Expenses), Net</w:t>
      </w:r>
    </w:p>
    <w:p>
      <w:pPr>
        <w:spacing w:after="0" w:line="185"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Financial income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September 30,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85"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9" w:lineRule="exact"/>
        <w:rPr>
          <w:sz w:val="20"/>
          <w:szCs w:val="20"/>
          <w:color w:val="auto"/>
        </w:rPr>
      </w:pPr>
    </w:p>
    <w:p>
      <w:pPr>
        <w:ind w:left="120" w:right="439" w:firstLine="216"/>
        <w:spacing w:after="0" w:line="291" w:lineRule="auto"/>
        <w:rPr>
          <w:sz w:val="20"/>
          <w:szCs w:val="20"/>
          <w:color w:val="auto"/>
        </w:rPr>
      </w:pPr>
      <w:r>
        <w:rPr>
          <w:rFonts w:ascii="Arial" w:cs="Arial" w:eastAsia="Arial" w:hAnsi="Arial"/>
          <w:sz w:val="16"/>
          <w:szCs w:val="16"/>
          <w:color w:val="auto"/>
        </w:rPr>
        <w:t>Starting from January 1, 2014, we have consolidated the results of our Israeli operations for tax purposes such that future net operating loss carryforwards of Kornit Technologies can be used to offset Israeli taxable income from</w:t>
      </w:r>
    </w:p>
    <w:p>
      <w:pPr>
        <w:ind w:left="120" w:right="159"/>
        <w:spacing w:after="0" w:line="254" w:lineRule="auto"/>
        <w:rPr>
          <w:sz w:val="20"/>
          <w:szCs w:val="20"/>
          <w:color w:val="auto"/>
        </w:rPr>
      </w:pPr>
      <w:r>
        <w:rPr>
          <w:rFonts w:ascii="Arial" w:cs="Arial" w:eastAsia="Arial" w:hAnsi="Arial"/>
          <w:sz w:val="18"/>
          <w:szCs w:val="18"/>
          <w:color w:val="auto"/>
        </w:rPr>
        <w:t>us. Kornit Technologies currently generates sufficient net operating loss carryforwards to offset the taxable income of the parent. Accordingly, we do not expect to be subject to income tax in Israel in 2014 and our effective tax rate will be the blended rate of our Israeli tax obligations and those of our non-Israeli subsidiaries in their respective jurisdictions of organization.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20" w:right="279" w:firstLine="216"/>
        <w:spacing w:after="0" w:line="312" w:lineRule="auto"/>
        <w:rPr>
          <w:sz w:val="20"/>
          <w:szCs w:val="20"/>
          <w:color w:val="auto"/>
        </w:rPr>
      </w:pPr>
      <w:r>
        <w:rPr>
          <w:rFonts w:ascii="Arial" w:cs="Arial" w:eastAsia="Arial" w:hAnsi="Arial"/>
          <w:sz w:val="16"/>
          <w:szCs w:val="16"/>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9" w:lineRule="exact"/>
        <w:rPr>
          <w:sz w:val="20"/>
          <w:szCs w:val="20"/>
          <w:color w:val="auto"/>
        </w:rPr>
      </w:pPr>
    </w:p>
    <w:p>
      <w:pPr>
        <w:ind w:left="120" w:right="619" w:firstLine="216"/>
        <w:spacing w:after="0" w:line="277"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40"/>
              <w:spacing w:after="0"/>
              <w:rPr>
                <w:sz w:val="20"/>
                <w:szCs w:val="20"/>
                <w:color w:val="auto"/>
              </w:rPr>
            </w:pPr>
            <w:r>
              <w:rPr>
                <w:rFonts w:ascii="Arial" w:cs="Arial" w:eastAsia="Arial" w:hAnsi="Arial"/>
                <w:sz w:val="16"/>
                <w:szCs w:val="16"/>
                <w:b w:val="1"/>
                <w:bCs w:val="1"/>
                <w:color w:val="auto"/>
                <w:w w:val="92"/>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82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34,185</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27,953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19,652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18,455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12,601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(as a % of revenues)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 net</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2013 and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419" w:firstLine="216"/>
        <w:spacing w:after="0" w:line="279" w:lineRule="auto"/>
        <w:rPr>
          <w:sz w:val="20"/>
          <w:szCs w:val="20"/>
          <w:color w:val="auto"/>
        </w:rPr>
      </w:pPr>
      <w:r>
        <w:rPr>
          <w:rFonts w:ascii="Arial" w:cs="Arial" w:eastAsia="Arial" w:hAnsi="Arial"/>
          <w:sz w:val="17"/>
          <w:szCs w:val="17"/>
          <w:color w:val="auto"/>
        </w:rPr>
        <w:t>Revenues increased by $13.3 million, or 38.9%, to $47.5 million in the first nine months of 2014, as compared to $34.2 million in the first nine months of 2013. Substantially all of the growth in revenues resulted from an increase of $8.9 million in system revenues and an increase of $3.6 million from the sale of ink and other consumables. The substantial majority of the growth in revenues was attributable to increased sales of high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120" w:right="299"/>
        <w:spacing w:after="0" w:line="277" w:lineRule="auto"/>
        <w:rPr>
          <w:sz w:val="20"/>
          <w:szCs w:val="20"/>
          <w:color w:val="auto"/>
        </w:rPr>
      </w:pPr>
      <w:r>
        <w:rPr>
          <w:rFonts w:ascii="Arial" w:cs="Arial" w:eastAsia="Arial" w:hAnsi="Arial"/>
          <w:sz w:val="18"/>
          <w:szCs w:val="18"/>
          <w:color w:val="auto"/>
        </w:rPr>
        <w:t>throughput systems, which sell for higher average selling prices than our entry level systems. We sold a greater number of our high throughput systems in this period compared to the prior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Cost of revenues increased by $7.2 million, or 36.6%, to $26.9 million in the first nine months of 2014, as compared to $19.7 million in the first nine months of 2013. Gross profit increased by $6.1 million, or 42.1%, to $20.6 million in the first nine months of 2014, as compared to $14.5 million in the first nine months of 2013. Gross margin was 43.5% in the first nine months of 2014 compared to 42.5% in the first nine months of 2013. The increase in gross margin is related to a 9.8% increase in systems gross margin partially offset by a 2.5% decrease in gross margin from ink and other consumables in each case compared to the same period in the prior year. The increase in system gross margin resulted from an increase in sales of higher margin high throughput systems while the decrease in ink and other consumables gross margin resulted mainly from higher costs of revenues related to increased headcount and rent expense in connection with the increased production of ink and other consumables.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6"/>
                <w:szCs w:val="16"/>
                <w:b w:val="1"/>
                <w:bCs w:val="1"/>
                <w:color w:val="auto"/>
                <w:w w:val="96"/>
              </w:rPr>
              <w:t>Nine Months Ended September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w w:val="97"/>
              </w:rPr>
              <w:t>40.4%</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41.3</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57.1</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43.9%</w:t>
            </w:r>
          </w:p>
        </w:tc>
      </w:tr>
    </w:tbl>
    <w:p>
      <w:pPr>
        <w:spacing w:after="0" w:line="161"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40.4%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the first nine months of 2013. This resulted primarily from an increase of $1.1 million in salaries and related personnel expenses due to the hiring of additional personnel, of which $0.1 million was due to currency fluctuations. This increase related primarily to an increase in expenses relating to development of our new Vulcan system for the DTG market. As a percentage of total revenues, our research and development expenses did not increase materially in 2014 compared to 2013.</w:t>
      </w:r>
    </w:p>
    <w:p>
      <w:pPr>
        <w:spacing w:after="0" w:line="193"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41.3% in the first nine months of 2014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first nine months of 2013. This increase was primarily due to an increase of $1.4 million in salaries and related personnel expenses due to the hiring of sales and marketing personnel in 2014, an increase of $0.3 million in marketing activities, including trade shows and online marketing activities, of which $0.1 million was due to currency fluctuations.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67" w:lineRule="exact"/>
        <w:rPr>
          <w:sz w:val="20"/>
          <w:szCs w:val="20"/>
          <w:color w:val="auto"/>
        </w:rPr>
      </w:pPr>
    </w:p>
    <w:p>
      <w:pPr>
        <w:ind w:left="120" w:right="27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57.1% in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first nine months of 2013. This resulted primarily from an increase of $0.9 million in salaries and related personnel expenses due to the hiring of additional personnel reflecting an increase in headcount compared to the previous year and management changes. As a percentage of our total revenues in those years, such expenses slightly increased, from 6.9% in 2013 to 7.8% in 2014 reflecting the expansion of our management team.</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7"/>
          <w:szCs w:val="17"/>
          <w:color w:val="auto"/>
        </w:rPr>
        <w:t>Finance expenses for the nine months ended September 30, 2013 were $0.3 million. For the same period in 2014, finance expenses were $0.2 million. This decrease resulted primarily from the effects of exchange rates on our non-dollar denominated financial assets, specifically the exchange rate of the U.S. dollar to the NIS.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Taxes on income for the nine months ended September 30, 2013 were $1.0 million. For the same period in 2014, taxes on income were $0.5 million. Our effective tax rate was 20.7% for the nine months ended September 30, 2014 compared to 63.4% for the nine months ended September 30, 2013. Our tax rate in 2013 reflected a full valuation allowance applied against the current loss for tax purposes incurred by our Israeli subsidiary, Kornit Technologies, which was not consolidated for tax purposes with our parent entity, Kornit Digital, which generates taxable income. Starting in 2014, we have consolidated Kornit Technologies for tax purposes resulting in significantly lower taxable income and a correspondingly lower effective tax rate.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Revenues increased by $10.2 million, or 26.0%, to $49.4 million in 2013 from $39.2 million in 2012. The growth in revenues in 2013 was primarily attributable to an increase in sales of ink and other consumables of $6.3 million and an increase of $3.7 million in sales of systems. The smaller relative increase in revenues from systems resulted from sales of a fewer number of systems particularly in the first half of the year while the larger relative increase in revenues from ink and other consumables was due to our overall increased installed base.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79" w:firstLine="216"/>
        <w:spacing w:after="0" w:line="276" w:lineRule="auto"/>
        <w:rPr>
          <w:sz w:val="20"/>
          <w:szCs w:val="20"/>
          <w:color w:val="auto"/>
        </w:rPr>
      </w:pPr>
      <w:r>
        <w:rPr>
          <w:rFonts w:ascii="Arial" w:cs="Arial" w:eastAsia="Arial" w:hAnsi="Arial"/>
          <w:sz w:val="17"/>
          <w:szCs w:val="17"/>
          <w:color w:val="auto"/>
        </w:rPr>
        <w:t>Cost of revenues increased by $5.3 million, or 22.9%, to $28.0 million in 2013, as compared to $22.7 million in 2012. Gross profit increased by $5.0 million, or 30.5%, to $21.4 million in 2013, as compared to $16.4 million in 2012. Gross margin was 43.4% in 2013 compared to 41.9% in 2012. This increase in gross margin was primarily attributable to a 1.8% increase in gross margin from ink and other consumables partially offset by a 2.6% decrease in systems gross margin, which was primarily due to sales of lower margin systems.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right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39" w:firstLine="216"/>
        <w:spacing w:after="0" w:line="24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53.8%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resulted primarily from an increase of $1.1 million in salaries and related personnel expenses, of which $0.3 million was due to currency fluctuations, and an increase of $0.7 million </w:t>
      </w:r>
      <w:r>
        <w:rPr>
          <w:rFonts w:ascii="Arial" w:cs="Arial" w:eastAsia="Arial" w:hAnsi="Arial"/>
          <w:sz w:val="34"/>
          <w:szCs w:val="34"/>
          <w:color w:val="auto"/>
          <w:vertAlign w:val="superscript"/>
        </w:rPr>
        <w:t>primarily</w:t>
      </w:r>
      <w:r>
        <w:rPr>
          <w:rFonts w:ascii="Arial" w:cs="Arial" w:eastAsia="Arial" w:hAnsi="Arial"/>
          <w:sz w:val="17"/>
          <w:szCs w:val="17"/>
          <w:color w:val="auto"/>
        </w:rPr>
        <w:t xml:space="preserve">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200"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by 65.7% in 2013 compared to 2012.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120" w:right="119"/>
        <w:spacing w:after="0" w:line="279" w:lineRule="auto"/>
        <w:rPr>
          <w:sz w:val="20"/>
          <w:szCs w:val="20"/>
          <w:color w:val="auto"/>
        </w:rPr>
      </w:pPr>
      <w:r>
        <w:rPr>
          <w:rFonts w:ascii="Arial" w:cs="Arial" w:eastAsia="Arial" w:hAnsi="Arial"/>
          <w:sz w:val="17"/>
          <w:szCs w:val="17"/>
          <w:color w:val="auto"/>
        </w:rPr>
        <w:t>in 2013. As a percentage of total revenues, our sales and marketing expenses rose during this period, from 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71" w:lineRule="exact"/>
        <w:rPr>
          <w:sz w:val="20"/>
          <w:szCs w:val="20"/>
          <w:color w:val="auto"/>
        </w:rPr>
      </w:pPr>
    </w:p>
    <w:p>
      <w:pPr>
        <w:ind w:left="120" w:right="179" w:firstLine="216"/>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6.0%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Taxes on income increased from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229" w:lineRule="exact"/>
        <w:rPr>
          <w:sz w:val="20"/>
          <w:szCs w:val="20"/>
          <w:color w:val="auto"/>
        </w:rPr>
      </w:pPr>
    </w:p>
    <w:p>
      <w:pPr>
        <w:ind w:left="120" w:right="159" w:firstLine="216"/>
        <w:spacing w:after="0" w:line="302" w:lineRule="auto"/>
        <w:rPr>
          <w:sz w:val="20"/>
          <w:szCs w:val="20"/>
          <w:color w:val="auto"/>
        </w:rPr>
      </w:pPr>
      <w:r>
        <w:rPr>
          <w:rFonts w:ascii="Arial" w:cs="Arial" w:eastAsia="Arial" w:hAnsi="Arial"/>
          <w:sz w:val="16"/>
          <w:szCs w:val="16"/>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54" w:lineRule="exact"/>
        <w:rPr>
          <w:sz w:val="20"/>
          <w:szCs w:val="20"/>
          <w:color w:val="auto"/>
        </w:rPr>
      </w:pPr>
    </w:p>
    <w:p>
      <w:pPr>
        <w:ind w:left="120" w:right="479" w:firstLine="216"/>
        <w:spacing w:after="0" w:line="302" w:lineRule="auto"/>
        <w:rPr>
          <w:sz w:val="20"/>
          <w:szCs w:val="20"/>
          <w:color w:val="auto"/>
        </w:rPr>
      </w:pPr>
      <w:r>
        <w:rPr>
          <w:rFonts w:ascii="Arial" w:cs="Arial" w:eastAsia="Arial" w:hAnsi="Arial"/>
          <w:sz w:val="16"/>
          <w:szCs w:val="16"/>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6"/>
                <w:szCs w:val="16"/>
                <w:b w:val="1"/>
                <w:bCs w:val="1"/>
                <w:color w:val="auto"/>
                <w:w w:val="92"/>
              </w:rPr>
              <w:t>Three Months Ended</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b w:val="1"/>
                <w:bCs w:val="1"/>
                <w:color w:val="auto"/>
                <w:w w:val="85"/>
              </w:rPr>
              <w:t>Sep. 30,</w:t>
            </w:r>
          </w:p>
        </w:tc>
        <w:tc>
          <w:tcPr>
            <w:tcW w:w="140" w:type="dxa"/>
            <w:vAlign w:val="bottom"/>
          </w:tcPr>
          <w:p>
            <w:pPr>
              <w:spacing w:after="0"/>
              <w:rPr>
                <w:sz w:val="16"/>
                <w:szCs w:val="16"/>
                <w:color w:val="auto"/>
              </w:rPr>
            </w:pPr>
          </w:p>
        </w:tc>
        <w:tc>
          <w:tcPr>
            <w:tcW w:w="88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Dec. 31,</w:t>
            </w:r>
          </w:p>
        </w:tc>
        <w:tc>
          <w:tcPr>
            <w:tcW w:w="1020" w:type="dxa"/>
            <w:vAlign w:val="bottom"/>
            <w:gridSpan w:val="2"/>
          </w:tcPr>
          <w:p>
            <w:pPr>
              <w:jc w:val="right"/>
              <w:ind w:right="23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center"/>
              <w:ind w:right="7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left="594"/>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8,478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11,807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13,900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15,210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13,262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15,739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5,574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5,945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4,499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0"/>
                <w:szCs w:val="20"/>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20"/>
                <w:szCs w:val="20"/>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8"/>
                <w:szCs w:val="18"/>
                <w:color w:val="auto"/>
              </w:rPr>
            </w:pPr>
          </w:p>
        </w:tc>
      </w:tr>
      <w:tr>
        <w:trPr>
          <w:trHeight w:val="45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172"/>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880" w:type="dxa"/>
            <w:vAlign w:val="bottom"/>
          </w:tcPr>
          <w:p>
            <w:pPr>
              <w:jc w:val="right"/>
              <w:ind w:right="214"/>
              <w:spacing w:after="0"/>
              <w:rPr>
                <w:sz w:val="20"/>
                <w:szCs w:val="20"/>
                <w:color w:val="auto"/>
              </w:rPr>
            </w:pPr>
            <w:r>
              <w:rPr>
                <w:rFonts w:ascii="Arial" w:cs="Arial" w:eastAsia="Arial" w:hAnsi="Arial"/>
                <w:sz w:val="16"/>
                <w:szCs w:val="16"/>
                <w:b w:val="1"/>
                <w:bCs w:val="1"/>
                <w:color w:val="auto"/>
                <w:w w:val="92"/>
              </w:rPr>
              <w:t>Sep. 30,</w:t>
            </w:r>
          </w:p>
        </w:tc>
        <w:tc>
          <w:tcPr>
            <w:tcW w:w="140" w:type="dxa"/>
            <w:vAlign w:val="bottom"/>
          </w:tcPr>
          <w:p>
            <w:pPr>
              <w:spacing w:after="0"/>
              <w:rPr>
                <w:sz w:val="16"/>
                <w:szCs w:val="16"/>
                <w:color w:val="auto"/>
              </w:rPr>
            </w:pPr>
          </w:p>
        </w:tc>
        <w:tc>
          <w:tcPr>
            <w:tcW w:w="88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Mar. 31,</w:t>
            </w:r>
          </w:p>
        </w:tc>
        <w:tc>
          <w:tcPr>
            <w:tcW w:w="140" w:type="dxa"/>
            <w:vAlign w:val="bottom"/>
          </w:tcPr>
          <w:p>
            <w:pPr>
              <w:spacing w:after="0"/>
              <w:rPr>
                <w:sz w:val="16"/>
                <w:szCs w:val="16"/>
                <w:color w:val="auto"/>
              </w:rPr>
            </w:pPr>
          </w:p>
        </w:tc>
        <w:tc>
          <w:tcPr>
            <w:tcW w:w="88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9"/>
              </w:rPr>
              <w:t>Sep. 30,</w:t>
            </w:r>
          </w:p>
        </w:tc>
        <w:tc>
          <w:tcPr>
            <w:tcW w:w="160" w:type="dxa"/>
            <w:vAlign w:val="bottom"/>
            <w:gridSpan w:val="2"/>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4"/>
          </w:tcPr>
          <w:p>
            <w:pPr>
              <w:jc w:val="center"/>
              <w:ind w:left="554"/>
              <w:spacing w:after="0"/>
              <w:rPr>
                <w:sz w:val="20"/>
                <w:szCs w:val="20"/>
                <w:color w:val="auto"/>
              </w:rPr>
            </w:pPr>
            <w:r>
              <w:rPr>
                <w:rFonts w:ascii="Arial" w:cs="Arial" w:eastAsia="Arial" w:hAnsi="Arial"/>
                <w:sz w:val="16"/>
                <w:szCs w:val="16"/>
                <w:b w:val="1"/>
                <w:bCs w:val="1"/>
                <w:color w:val="auto"/>
                <w:w w:val="90"/>
              </w:rPr>
              <w:t>(as a % of revenues)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Statements of Income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1">
            <w:col w:w="9019"/>
          </w:cols>
          <w:pgMar w:left="1440" w:top="125" w:right="1440" w:bottom="1440" w:gutter="0" w:footer="0" w:header="0"/>
        </w:sect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5" w:name="page46"/>
    <w:bookmarkEnd w:id="45"/>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6"/>
                <w:szCs w:val="16"/>
                <w:b w:val="1"/>
                <w:bCs w:val="1"/>
                <w:color w:val="auto"/>
                <w:w w:val="93"/>
              </w:rPr>
              <w:t>Three Months Ended</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3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8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7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Supplemental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Data: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Reconciliation of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to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Finance expenses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compensation 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i w:val="1"/>
          <w:iCs w:val="1"/>
          <w:color w:val="auto"/>
        </w:rPr>
        <w:t xml:space="preserve">Quarterly Revenue Trends. </w:t>
      </w:r>
      <w:r>
        <w:rPr>
          <w:rFonts w:ascii="Arial" w:cs="Arial" w:eastAsia="Arial" w:hAnsi="Arial"/>
          <w:sz w:val="16"/>
          <w:szCs w:val="16"/>
          <w:color w:val="auto"/>
        </w:rPr>
        <w:t>Our quarterly revenues increased year-over-year for all periods presented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9" w:lineRule="exact"/>
        <w:rPr>
          <w:sz w:val="20"/>
          <w:szCs w:val="20"/>
          <w:color w:val="auto"/>
        </w:rPr>
      </w:pPr>
    </w:p>
    <w:p>
      <w:pPr>
        <w:ind w:left="120" w:right="299" w:firstLine="216"/>
        <w:spacing w:after="0" w:line="279" w:lineRule="auto"/>
        <w:rPr>
          <w:sz w:val="20"/>
          <w:szCs w:val="20"/>
          <w:color w:val="auto"/>
        </w:rPr>
      </w:pPr>
      <w:r>
        <w:rPr>
          <w:rFonts w:ascii="Arial" w:cs="Arial" w:eastAsia="Arial" w:hAnsi="Arial"/>
          <w:sz w:val="17"/>
          <w:szCs w:val="17"/>
          <w:i w:val="1"/>
          <w:iCs w:val="1"/>
          <w:color w:val="auto"/>
        </w:rPr>
        <w:t>Quarterly Gross Profit and Margin Trends</w:t>
      </w:r>
      <w:r>
        <w:rPr>
          <w:rFonts w:ascii="Arial" w:cs="Arial" w:eastAsia="Arial" w:hAnsi="Arial"/>
          <w:sz w:val="17"/>
          <w:szCs w:val="17"/>
          <w:color w:val="auto"/>
        </w:rPr>
        <w:t>. Our quarterly gross profit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71"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i w:val="1"/>
          <w:iCs w:val="1"/>
          <w:color w:val="auto"/>
        </w:rPr>
        <w:t xml:space="preserve">Quarterly Operating Expense Trends. </w:t>
      </w:r>
      <w:r>
        <w:rPr>
          <w:rFonts w:ascii="Arial" w:cs="Arial" w:eastAsia="Arial" w:hAnsi="Arial"/>
          <w:sz w:val="17"/>
          <w:szCs w:val="17"/>
          <w:color w:val="auto"/>
        </w:rPr>
        <w:t>Our quarterly operating expenses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559" w:firstLine="216"/>
        <w:spacing w:after="0" w:line="264" w:lineRule="auto"/>
        <w:rPr>
          <w:sz w:val="20"/>
          <w:szCs w:val="20"/>
          <w:color w:val="auto"/>
        </w:rPr>
      </w:pPr>
      <w:r>
        <w:rPr>
          <w:rFonts w:ascii="Arial" w:cs="Arial" w:eastAsia="Arial" w:hAnsi="Arial"/>
          <w:sz w:val="18"/>
          <w:szCs w:val="18"/>
          <w:color w:val="auto"/>
        </w:rPr>
        <w:t>We had $4.3 million of cash and cash equivalents as of September 30, 2014 and $5.3 million as of December 31, 2013. We fund our operations with cash generated from operating activities. In the past, we have also raised capital through the sale of equity securities to investors in private placements.</w:t>
      </w:r>
    </w:p>
    <w:p>
      <w:pPr>
        <w:spacing w:after="0" w:line="181"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46" w:name="page47"/>
    <w:bookmarkEnd w:id="46"/>
    <w:p>
      <w:pPr>
        <w:ind w:left="120" w:right="319"/>
        <w:spacing w:after="0" w:line="277"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170"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91"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As of December 1, 2014, we had two lines of credit with Israeli banks in a total amount of up to $3.0 million, all of which were undrawn. These lines of credit are unsecured and availability is based on our maintenance of a 30% equity to balance sheet ratio and, for one line of credit, our maintenance of a minimum of $1.0 million cash and cash equivalents at the end of each fiscal quarter. Interest rates across our credit lines varied from 2.2% to 5.3% as of December 1, 2014.</w:t>
      </w:r>
    </w:p>
    <w:p>
      <w:pPr>
        <w:spacing w:after="0" w:line="2" w:lineRule="exact"/>
        <w:rPr>
          <w:sz w:val="20"/>
          <w:szCs w:val="20"/>
          <w:color w:val="auto"/>
        </w:rPr>
      </w:pPr>
    </w:p>
    <w:p>
      <w:pPr>
        <w:ind w:left="120" w:right="199"/>
        <w:spacing w:after="0" w:line="255" w:lineRule="auto"/>
        <w:rPr>
          <w:sz w:val="20"/>
          <w:szCs w:val="20"/>
          <w:color w:val="auto"/>
        </w:rPr>
      </w:pPr>
      <w:r>
        <w:rPr>
          <w:rFonts w:ascii="Arial" w:cs="Arial" w:eastAsia="Arial" w:hAnsi="Arial"/>
          <w:sz w:val="18"/>
          <w:szCs w:val="18"/>
          <w:color w:val="auto"/>
        </w:rPr>
        <w:t>Each line of credit prohibits us and our subsidiaries from encumbering our assets and we would be required to obtain the consent of the bank, or repay any amounts borrowed, in the event that we undergo a change of control, which would include our controlling shareholder, Fortissimo Capital, ceasing to control us.</w:t>
      </w:r>
    </w:p>
    <w:p>
      <w:pPr>
        <w:spacing w:after="0" w:line="217" w:lineRule="exact"/>
        <w:rPr>
          <w:sz w:val="20"/>
          <w:szCs w:val="20"/>
          <w:color w:val="auto"/>
        </w:rPr>
      </w:pPr>
    </w:p>
    <w:p>
      <w:pPr>
        <w:ind w:left="120" w:right="239" w:firstLine="216"/>
        <w:spacing w:after="0" w:line="273" w:lineRule="auto"/>
        <w:rPr>
          <w:sz w:val="20"/>
          <w:szCs w:val="20"/>
          <w:color w:val="auto"/>
        </w:rPr>
      </w:pPr>
      <w:r>
        <w:rPr>
          <w:rFonts w:ascii="Arial" w:cs="Arial" w:eastAsia="Arial" w:hAnsi="Arial"/>
          <w:sz w:val="17"/>
          <w:szCs w:val="17"/>
          <w:color w:val="auto"/>
        </w:rPr>
        <w:t>Based on our current business plans, we believe that our cash flows from operating activities, our existing cash resources and the net proceeds to us from this offering, will be sufficient to fund our projected cash requirements for at least the next 12 months.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3"/>
              </w:rPr>
              <w:t>Year Ended 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September 30,</w:t>
            </w: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5"/>
          </w:tcPr>
          <w:p>
            <w:pPr>
              <w:jc w:val="right"/>
              <w:ind w:right="694"/>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cash provided by (used in) operating activities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Net cash provided by (used in) 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Nine Months Ended September 30, 2014</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the nine months ended September 30, 2014 was $1.7 million.</w:t>
      </w:r>
    </w:p>
    <w:p>
      <w:pPr>
        <w:spacing w:after="0" w:line="252"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Our inventory balance on September 30, 2014 was $13.7 million, representing a $1.7 million increase in inventory compared to December 31, 2013, due to continued implementation of our strategy to grow inventory to support increased sales of parts and systems in finished goods and raw materials and spare parts. In particular, during the nine months ended September 30, 2014, we accumulated inventory of our ink and other consumables outside of Israel and continued to increase our inventory of parts and finished assemblies of our systems to facilitate the flexibility to meet short lead time demands from our customers.</w:t>
      </w:r>
    </w:p>
    <w:p>
      <w:pPr>
        <w:spacing w:after="0" w:line="207"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Trade payables decreased by $2.0 million from December 31, 2013 to September 30, 2014, primarily due to the mix of products sold in 2014, which led to a shift of production to a third-party manufacturer with shorter payment terms as well as obtaining components from suppliers with shorter payment terms. During the same period, we experienced an increase of $1.4 million in trade receivables despite the growth in our business. Our days sales’ outstanding, or DSO, for the nine months ended September 30, 2014 was 40 compared to 36 for the nine months ended September 30, 2013. Our relatively low DSO was primarily attributable to the payment terms that apply to our customers for systems, as a large portion of our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jc w:val="both"/>
        <w:ind w:left="120" w:right="179"/>
        <w:spacing w:after="0" w:line="302" w:lineRule="auto"/>
        <w:rPr>
          <w:sz w:val="20"/>
          <w:szCs w:val="20"/>
          <w:color w:val="auto"/>
        </w:rPr>
      </w:pPr>
      <w:r>
        <w:rPr>
          <w:rFonts w:ascii="Arial" w:cs="Arial" w:eastAsia="Arial" w:hAnsi="Arial"/>
          <w:sz w:val="16"/>
          <w:szCs w:val="16"/>
          <w:color w:val="auto"/>
        </w:rPr>
        <w:t>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nine months ended September 30, 2014 reflected the increased activity in the third quarter of that year compared to with the previous year.</w:t>
      </w:r>
    </w:p>
    <w:p>
      <w:pPr>
        <w:spacing w:after="0" w:line="168"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Our operating cash flows to fund the above activities were driven by our net income of $1.8 million (adjusted upward to reflect $1.5 million of non-cash expenses) as well as a $0.4 million increase in deferred revenues. The increase in our deferred revenues in the nine months ended September 30, 2014 compared to the nine months ended September 30, 2013 primarily reflected strong product orders during the fourth quarter of 2013 resulting in a significant increase in the number of orders shipped in 2013 for which we received payment in 2014.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Our inventory balance at December 31, 2013 was $12 million representing a $3.3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88"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Primarily as a result of the increase in inventory, trade payables increased by $2.8 million from December 31, 2012 to December 31, 2013 due to the timing of purchases for such inventory. During the same period, we experienced an increase of only $1.3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67"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Net cash provided by investing activities was $0.7 million for the nine months ended September 30, 2014, which was primarily attributable to our shifting of long term deposits to short term, offset by the purchase of property.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obligations as of December 31, 2013 are summarized in the following table: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6"/>
                <w:szCs w:val="16"/>
                <w:b w:val="1"/>
                <w:bCs w:val="1"/>
                <w:color w:val="auto"/>
                <w:w w:val="91"/>
              </w:rPr>
              <w:t>Payments Due by Period</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2018 and</w:t>
            </w:r>
          </w:p>
        </w:tc>
        <w:tc>
          <w:tcPr>
            <w:tcW w:w="1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After</w:t>
            </w:r>
          </w:p>
        </w:tc>
      </w:tr>
      <w:tr>
        <w:trPr>
          <w:trHeight w:val="183"/>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Operating lease</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obligations</w:t>
            </w:r>
            <w:r>
              <w:rPr>
                <w:rFonts w:ascii="Arial" w:cs="Arial" w:eastAsia="Arial" w:hAnsi="Arial"/>
                <w:sz w:val="28"/>
                <w:szCs w:val="28"/>
                <w:color w:val="auto"/>
                <w:vertAlign w:val="superscript"/>
              </w:rPr>
              <w:t>(1)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line="197" w:lineRule="exact"/>
              <w:rPr>
                <w:sz w:val="20"/>
                <w:szCs w:val="20"/>
                <w:color w:val="auto"/>
              </w:rPr>
            </w:pPr>
            <w:r>
              <w:rPr>
                <w:rFonts w:ascii="Arial" w:cs="Arial" w:eastAsia="Arial" w:hAnsi="Arial"/>
                <w:sz w:val="18"/>
                <w:szCs w:val="18"/>
                <w:color w:val="auto"/>
              </w:rPr>
              <w:t>Uncertain 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2"/>
        </w:trPr>
        <w:tc>
          <w:tcPr>
            <w:tcW w:w="1740" w:type="dxa"/>
            <w:vAlign w:val="bottom"/>
            <w:gridSpan w:val="2"/>
          </w:tcPr>
          <w:p>
            <w:pPr>
              <w:spacing w:after="0" w:line="262" w:lineRule="exact"/>
              <w:rPr>
                <w:sz w:val="20"/>
                <w:szCs w:val="20"/>
                <w:color w:val="auto"/>
              </w:rPr>
            </w:pPr>
            <w:r>
              <w:rPr>
                <w:rFonts w:ascii="Arial" w:cs="Arial" w:eastAsia="Arial" w:hAnsi="Arial"/>
                <w:sz w:val="18"/>
                <w:szCs w:val="18"/>
                <w:color w:val="auto"/>
              </w:rPr>
              <w:t>positions</w:t>
            </w:r>
            <w:r>
              <w:rPr>
                <w:rFonts w:ascii="Arial" w:cs="Arial" w:eastAsia="Arial" w:hAnsi="Arial"/>
                <w:sz w:val="28"/>
                <w:szCs w:val="28"/>
                <w:color w:val="auto"/>
                <w:vertAlign w:val="superscript"/>
              </w:rPr>
              <w:t>(2)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Purchase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commitments</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1720" w:type="dxa"/>
            <w:vAlign w:val="bottom"/>
          </w:tcPr>
          <w:p>
            <w:pPr>
              <w:spacing w:after="0" w:line="243" w:lineRule="exact"/>
              <w:rPr>
                <w:sz w:val="20"/>
                <w:szCs w:val="20"/>
                <w:color w:val="auto"/>
              </w:rPr>
            </w:pPr>
            <w:r>
              <w:rPr>
                <w:rFonts w:ascii="Arial" w:cs="Arial" w:eastAsia="Arial" w:hAnsi="Arial"/>
                <w:sz w:val="18"/>
                <w:szCs w:val="18"/>
                <w:color w:val="auto"/>
                <w:w w:val="92"/>
              </w:rPr>
              <w:t>Severance payment</w:t>
            </w:r>
            <w:r>
              <w:rPr>
                <w:rFonts w:ascii="Arial" w:cs="Arial" w:eastAsia="Arial" w:hAnsi="Arial"/>
                <w:sz w:val="28"/>
                <w:szCs w:val="28"/>
                <w:color w:val="auto"/>
                <w:w w:val="92"/>
                <w:vertAlign w:val="superscript"/>
              </w:rPr>
              <w:t>(4)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6"/>
              </w:rPr>
              <w:t>Management services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fees</w:t>
            </w:r>
            <w:r>
              <w:rPr>
                <w:rFonts w:ascii="Arial" w:cs="Arial" w:eastAsia="Arial" w:hAnsi="Arial"/>
                <w:sz w:val="28"/>
                <w:szCs w:val="28"/>
                <w:color w:val="auto"/>
                <w:vertAlign w:val="superscript"/>
              </w:rPr>
              <w:t>(5)</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9,367</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4,249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w:t>
      </w:r>
    </w:p>
    <w:p>
      <w:pPr>
        <w:spacing w:after="0" w:line="90" w:lineRule="exact"/>
        <w:rPr>
          <w:sz w:val="20"/>
          <w:szCs w:val="20"/>
          <w:color w:val="auto"/>
        </w:rPr>
      </w:pPr>
    </w:p>
    <w:p>
      <w:pPr>
        <w:ind w:left="440" w:right="779" w:hanging="315"/>
        <w:spacing w:after="0" w:line="182" w:lineRule="auto"/>
        <w:tabs>
          <w:tab w:leader="none" w:pos="416" w:val="left"/>
        </w:tabs>
        <w:numPr>
          <w:ilvl w:val="0"/>
          <w:numId w:val="26"/>
        </w:numPr>
        <w:rPr>
          <w:rFonts w:ascii="Arial" w:cs="Arial" w:eastAsia="Arial" w:hAnsi="Arial"/>
          <w:sz w:val="34"/>
          <w:szCs w:val="34"/>
          <w:color w:val="auto"/>
          <w:vertAlign w:val="superscript"/>
        </w:rPr>
      </w:pPr>
      <w:r>
        <w:rPr>
          <w:rFonts w:ascii="Arial" w:cs="Arial" w:eastAsia="Arial" w:hAnsi="Arial"/>
          <w:sz w:val="17"/>
          <w:szCs w:val="17"/>
          <w:color w:val="auto"/>
        </w:rPr>
        <w:t>Operating lease obligations consist of our contractual rental expenses under operating leases of facilities and vehicles.</w:t>
      </w:r>
    </w:p>
    <w:p>
      <w:pPr>
        <w:spacing w:after="0" w:line="54" w:lineRule="exact"/>
        <w:rPr>
          <w:rFonts w:ascii="Arial" w:cs="Arial" w:eastAsia="Arial" w:hAnsi="Arial"/>
          <w:sz w:val="34"/>
          <w:szCs w:val="34"/>
          <w:color w:val="auto"/>
          <w:vertAlign w:val="superscript"/>
        </w:rPr>
      </w:pPr>
    </w:p>
    <w:p>
      <w:pPr>
        <w:ind w:left="440" w:right="199" w:hanging="315"/>
        <w:spacing w:after="0"/>
        <w:tabs>
          <w:tab w:leader="none" w:pos="416" w:val="left"/>
        </w:tabs>
        <w:numPr>
          <w:ilvl w:val="0"/>
          <w:numId w:val="26"/>
        </w:numPr>
        <w:rPr>
          <w:rFonts w:ascii="Arial" w:cs="Arial" w:eastAsia="Arial" w:hAnsi="Arial"/>
          <w:sz w:val="31"/>
          <w:szCs w:val="31"/>
          <w:color w:val="auto"/>
          <w:vertAlign w:val="superscript"/>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10(g)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2" w:lineRule="exact"/>
        <w:rPr>
          <w:rFonts w:ascii="Arial" w:cs="Arial" w:eastAsia="Arial" w:hAnsi="Arial"/>
          <w:sz w:val="31"/>
          <w:szCs w:val="31"/>
          <w:color w:val="auto"/>
          <w:vertAlign w:val="superscript"/>
        </w:rPr>
      </w:pPr>
    </w:p>
    <w:p>
      <w:pPr>
        <w:ind w:left="420" w:hanging="295"/>
        <w:spacing w:after="0" w:line="184" w:lineRule="auto"/>
        <w:tabs>
          <w:tab w:leader="none" w:pos="420" w:val="left"/>
        </w:tabs>
        <w:numPr>
          <w:ilvl w:val="0"/>
          <w:numId w:val="26"/>
        </w:numPr>
        <w:rPr>
          <w:rFonts w:ascii="Arial" w:cs="Arial" w:eastAsia="Arial" w:hAnsi="Arial"/>
          <w:sz w:val="32"/>
          <w:szCs w:val="32"/>
          <w:color w:val="auto"/>
          <w:vertAlign w:val="superscript"/>
        </w:rPr>
      </w:pPr>
      <w:r>
        <w:rPr>
          <w:rFonts w:ascii="Arial" w:cs="Arial" w:eastAsia="Arial" w:hAnsi="Arial"/>
          <w:sz w:val="17"/>
          <w:szCs w:val="17"/>
          <w:color w:val="auto"/>
        </w:rPr>
        <w:t>Consists of commitments to purchase inventory.</w:t>
      </w:r>
    </w:p>
    <w:p>
      <w:pPr>
        <w:spacing w:after="0" w:line="70" w:lineRule="exact"/>
        <w:rPr>
          <w:rFonts w:ascii="Arial" w:cs="Arial" w:eastAsia="Arial" w:hAnsi="Arial"/>
          <w:sz w:val="32"/>
          <w:szCs w:val="32"/>
          <w:color w:val="auto"/>
          <w:vertAlign w:val="superscript"/>
        </w:rPr>
      </w:pPr>
    </w:p>
    <w:p>
      <w:pPr>
        <w:ind w:left="440" w:right="139" w:hanging="315"/>
        <w:spacing w:after="0" w:line="202" w:lineRule="auto"/>
        <w:tabs>
          <w:tab w:leader="none" w:pos="416" w:val="left"/>
        </w:tabs>
        <w:numPr>
          <w:ilvl w:val="0"/>
          <w:numId w:val="26"/>
        </w:numPr>
        <w:rPr>
          <w:rFonts w:ascii="Arial" w:cs="Arial" w:eastAsia="Arial" w:hAnsi="Arial"/>
          <w:sz w:val="35"/>
          <w:szCs w:val="35"/>
          <w:color w:val="auto"/>
          <w:vertAlign w:val="superscript"/>
        </w:rPr>
      </w:pPr>
      <w:r>
        <w:rPr>
          <w:rFonts w:ascii="Arial" w:cs="Arial" w:eastAsia="Arial" w:hAnsi="Arial"/>
          <w:sz w:val="18"/>
          <w:szCs w:val="18"/>
          <w:color w:val="auto"/>
        </w:rPr>
        <w:t>Severance payments of $1.6 million are payable only upon termination, retirement or death of our employees. Of this amount, $0.4 million is unfunded. Since we are unable to reasonably estimate the timing of settlement, the timing of such payments is not specified in the table. See also Note 2(t) to our consolidated financial statements appearing elsewhere in this prospectus.</w:t>
      </w:r>
    </w:p>
    <w:p>
      <w:pPr>
        <w:spacing w:after="0" w:line="1" w:lineRule="exact"/>
        <w:rPr>
          <w:rFonts w:ascii="Arial" w:cs="Arial" w:eastAsia="Arial" w:hAnsi="Arial"/>
          <w:sz w:val="35"/>
          <w:szCs w:val="35"/>
          <w:color w:val="auto"/>
          <w:vertAlign w:val="superscript"/>
        </w:rPr>
      </w:pPr>
    </w:p>
    <w:p>
      <w:pPr>
        <w:ind w:left="440" w:right="299" w:hanging="315"/>
        <w:spacing w:after="0" w:line="270" w:lineRule="auto"/>
        <w:tabs>
          <w:tab w:leader="none" w:pos="4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2018. We and Fortissimo Capital have agreed to terminate the management services agreement upon the consummation of this offering.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right="199" w:firstLine="216"/>
        <w:spacing w:after="0" w:line="288"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w:t>
      </w:r>
    </w:p>
    <w:p>
      <w:pPr>
        <w:ind w:left="120" w:right="239"/>
        <w:spacing w:after="0" w:line="267" w:lineRule="auto"/>
        <w:rPr>
          <w:sz w:val="20"/>
          <w:szCs w:val="20"/>
          <w:color w:val="auto"/>
        </w:rPr>
      </w:pPr>
      <w:r>
        <w:rPr>
          <w:rFonts w:ascii="Arial" w:cs="Arial" w:eastAsia="Arial" w:hAnsi="Arial"/>
          <w:sz w:val="17"/>
          <w:szCs w:val="17"/>
          <w:color w:val="auto"/>
        </w:rPr>
        <w:t>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w:t>
      </w:r>
    </w:p>
    <w:p>
      <w:pPr>
        <w:sectPr>
          <w:pgSz w:w="11900" w:h="16838" w:orient="portrait"/>
          <w:cols w:equalWidth="0" w:num="1">
            <w:col w:w="9019"/>
          </w:cols>
          <w:pgMar w:left="1440" w:top="29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9" w:name="page50"/>
    <w:bookmarkEnd w:id="49"/>
    <w:p>
      <w:pPr>
        <w:ind w:left="120" w:right="219" w:firstLine="216"/>
        <w:spacing w:after="0" w:line="297" w:lineRule="auto"/>
        <w:rPr>
          <w:sz w:val="20"/>
          <w:szCs w:val="20"/>
          <w:color w:val="auto"/>
        </w:rPr>
      </w:pPr>
      <w:r>
        <w:rPr>
          <w:rFonts w:ascii="Arial" w:cs="Arial" w:eastAsia="Arial" w:hAnsi="Arial"/>
          <w:sz w:val="16"/>
          <w:szCs w:val="16"/>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58"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65"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43"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57"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75"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58"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As of September 30, 2014, we had $13.7 million of inventory of which $6.3 million consisted of raw materials and components and $7.4 million consisted of completed systems, ink and other consumables. We recorded inventory write-offs in a total amount of $94,000 and $0.4 million for the years ended December 31, 2012 and 2013, respectively, and $53,000 for the nine months ended September 30, 2014.</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Valuations</w:t>
      </w:r>
    </w:p>
    <w:p>
      <w:pPr>
        <w:spacing w:after="0" w:line="212"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54"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75" w:lineRule="exact"/>
        <w:rPr>
          <w:sz w:val="20"/>
          <w:szCs w:val="20"/>
          <w:color w:val="auto"/>
        </w:rPr>
      </w:pPr>
    </w:p>
    <w:p>
      <w:pPr>
        <w:ind w:left="120" w:right="479" w:firstLine="216"/>
        <w:spacing w:after="0" w:line="26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560" w:right="159" w:hanging="219"/>
        <w:spacing w:after="0" w:line="232" w:lineRule="auto"/>
        <w:tabs>
          <w:tab w:leader="none" w:pos="572"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Fair Value of our Ordinary Shares</w:t>
      </w:r>
      <w:r>
        <w:rPr>
          <w:rFonts w:ascii="Arial" w:cs="Arial" w:eastAsia="Arial" w:hAnsi="Arial"/>
          <w:sz w:val="18"/>
          <w:szCs w:val="18"/>
          <w:color w:val="auto"/>
        </w:rPr>
        <w:t>. Because our shares are not publicly traded, we must estimate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as discussed in “—Ordinary Share Valuations” below.</w:t>
      </w:r>
    </w:p>
    <w:p>
      <w:pPr>
        <w:spacing w:after="0" w:line="217" w:lineRule="exact"/>
        <w:rPr>
          <w:rFonts w:ascii="Arial" w:cs="Arial" w:eastAsia="Arial" w:hAnsi="Arial"/>
          <w:sz w:val="22"/>
          <w:szCs w:val="22"/>
          <w:i w:val="1"/>
          <w:iCs w:val="1"/>
          <w:color w:val="auto"/>
        </w:rPr>
      </w:pPr>
    </w:p>
    <w:p>
      <w:pPr>
        <w:jc w:val="both"/>
        <w:ind w:left="560" w:right="359" w:hanging="219"/>
        <w:spacing w:after="0" w:line="241" w:lineRule="auto"/>
        <w:tabs>
          <w:tab w:leader="none" w:pos="572"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Sub-Optimal Exercise Multiple</w:t>
      </w:r>
      <w:r>
        <w:rPr>
          <w:rFonts w:ascii="Arial" w:cs="Arial" w:eastAsia="Arial" w:hAnsi="Arial"/>
          <w:sz w:val="18"/>
          <w:szCs w:val="18"/>
          <w:color w:val="auto"/>
        </w:rPr>
        <w:t>. The sub-optimal exercise multiple represents an estimate of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216" w:lineRule="exact"/>
        <w:rPr>
          <w:rFonts w:ascii="Arial" w:cs="Arial" w:eastAsia="Arial" w:hAnsi="Arial"/>
          <w:sz w:val="22"/>
          <w:szCs w:val="22"/>
          <w:i w:val="1"/>
          <w:iCs w:val="1"/>
          <w:color w:val="auto"/>
        </w:rPr>
      </w:pPr>
    </w:p>
    <w:p>
      <w:pPr>
        <w:ind w:left="560" w:right="419" w:hanging="219"/>
        <w:spacing w:after="0" w:line="232" w:lineRule="auto"/>
        <w:tabs>
          <w:tab w:leader="none" w:pos="572"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from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 equivalent to the contractual life of the options.</w:t>
      </w:r>
    </w:p>
    <w:p>
      <w:pPr>
        <w:spacing w:after="0" w:line="217" w:lineRule="exact"/>
        <w:rPr>
          <w:rFonts w:ascii="Arial" w:cs="Arial" w:eastAsia="Arial" w:hAnsi="Arial"/>
          <w:sz w:val="22"/>
          <w:szCs w:val="22"/>
          <w:i w:val="1"/>
          <w:iCs w:val="1"/>
          <w:color w:val="auto"/>
        </w:rPr>
      </w:pPr>
    </w:p>
    <w:p>
      <w:pPr>
        <w:ind w:left="560" w:right="299" w:hanging="219"/>
        <w:spacing w:after="0" w:line="251" w:lineRule="auto"/>
        <w:tabs>
          <w:tab w:leader="none" w:pos="572" w:val="left"/>
        </w:tabs>
        <w:numPr>
          <w:ilvl w:val="0"/>
          <w:numId w:val="27"/>
        </w:numPr>
        <w:rPr>
          <w:rFonts w:ascii="Arial" w:cs="Arial" w:eastAsia="Arial" w:hAnsi="Arial"/>
          <w:sz w:val="21"/>
          <w:szCs w:val="21"/>
          <w:i w:val="1"/>
          <w:iCs w:val="1"/>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equity volatility of the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comparable companies that are publicly traded with adjustments to reflect our capital structure.</w:t>
      </w:r>
    </w:p>
    <w:p>
      <w:pPr>
        <w:spacing w:after="0" w:line="204" w:lineRule="exact"/>
        <w:rPr>
          <w:rFonts w:ascii="Arial" w:cs="Arial" w:eastAsia="Arial" w:hAnsi="Arial"/>
          <w:sz w:val="21"/>
          <w:szCs w:val="21"/>
          <w:i w:val="1"/>
          <w:iCs w:val="1"/>
          <w:color w:val="auto"/>
        </w:rPr>
      </w:pPr>
    </w:p>
    <w:p>
      <w:pPr>
        <w:ind w:left="560" w:right="759" w:hanging="219"/>
        <w:spacing w:after="0" w:line="251" w:lineRule="auto"/>
        <w:tabs>
          <w:tab w:leader="none" w:pos="572" w:val="left"/>
        </w:tabs>
        <w:numPr>
          <w:ilvl w:val="0"/>
          <w:numId w:val="27"/>
        </w:numPr>
        <w:rPr>
          <w:rFonts w:ascii="Arial" w:cs="Arial" w:eastAsia="Arial" w:hAnsi="Arial"/>
          <w:sz w:val="21"/>
          <w:szCs w:val="21"/>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 We have never declared or paid any cash dividends and do not presently plan to pay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in the foreseeable future. Consequently, we used an expected dividend yield of zero.</w:t>
      </w:r>
    </w:p>
    <w:p>
      <w:pPr>
        <w:spacing w:after="0" w:line="204" w:lineRule="exact"/>
        <w:rPr>
          <w:rFonts w:ascii="Arial" w:cs="Arial" w:eastAsia="Arial" w:hAnsi="Arial"/>
          <w:sz w:val="21"/>
          <w:szCs w:val="21"/>
          <w:i w:val="1"/>
          <w:iCs w:val="1"/>
          <w:color w:val="auto"/>
        </w:rPr>
      </w:pPr>
    </w:p>
    <w:p>
      <w:pPr>
        <w:ind w:left="560" w:right="119" w:hanging="219"/>
        <w:spacing w:after="0" w:line="232" w:lineRule="auto"/>
        <w:tabs>
          <w:tab w:leader="none" w:pos="626"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Expected forfeiture rates</w:t>
      </w:r>
      <w:r>
        <w:rPr>
          <w:rFonts w:ascii="Arial" w:cs="Arial" w:eastAsia="Arial" w:hAnsi="Arial"/>
          <w:sz w:val="18"/>
          <w:szCs w:val="18"/>
          <w:color w:val="auto"/>
        </w:rPr>
        <w:t>. The expected forfeiture rates were based on an analysis of our historical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rates.</w:t>
      </w:r>
    </w:p>
    <w:p>
      <w:pPr>
        <w:spacing w:after="0" w:line="177"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differ materially compared with the awards granted previously.</w:t>
      </w:r>
    </w:p>
    <w:p>
      <w:pPr>
        <w:spacing w:after="0" w:line="130" w:lineRule="exact"/>
        <w:rPr>
          <w:sz w:val="20"/>
          <w:szCs w:val="20"/>
          <w:color w:val="auto"/>
        </w:rPr>
      </w:pPr>
    </w:p>
    <w:p>
      <w:pPr>
        <w:ind w:left="120" w:right="359" w:firstLine="216"/>
        <w:spacing w:after="0" w:line="342" w:lineRule="auto"/>
        <w:rPr>
          <w:sz w:val="20"/>
          <w:szCs w:val="20"/>
          <w:color w:val="auto"/>
        </w:rPr>
      </w:pPr>
      <w:r>
        <w:rPr>
          <w:rFonts w:ascii="Arial" w:cs="Arial" w:eastAsia="Arial" w:hAnsi="Arial"/>
          <w:sz w:val="16"/>
          <w:szCs w:val="16"/>
          <w:color w:val="auto"/>
        </w:rPr>
        <w:t>The following table presents the weighted-average assumptions used to estimate the fair value of options granted to employees during the periods presented. The number of options granted to non-employees was immaterial.</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3"/>
              </w:rPr>
              <w:t>Year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0.1%-2.5 %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 Valuations</w:t>
      </w:r>
    </w:p>
    <w:p>
      <w:pPr>
        <w:spacing w:after="0" w:line="198"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Estimated Fair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Shares Subject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 Per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to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Exercise Price</w:t>
            </w:r>
          </w:p>
        </w:tc>
        <w:tc>
          <w:tcPr>
            <w:tcW w:w="340" w:type="dxa"/>
            <w:vAlign w:val="bottom"/>
          </w:tcPr>
          <w:p>
            <w:pPr>
              <w:spacing w:after="0"/>
              <w:rPr>
                <w:sz w:val="17"/>
                <w:szCs w:val="17"/>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Ordinary Share</w:t>
            </w:r>
          </w:p>
        </w:tc>
      </w:tr>
      <w:tr>
        <w:trPr>
          <w:trHeight w:val="210"/>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Date of Grant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Granted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at Grant Date</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1240" w:type="dxa"/>
            <w:vAlign w:val="bottom"/>
          </w:tcPr>
          <w:p>
            <w:pPr>
              <w:jc w:val="right"/>
              <w:spacing w:after="0"/>
              <w:rPr>
                <w:sz w:val="20"/>
                <w:szCs w:val="20"/>
                <w:color w:val="auto"/>
              </w:rPr>
            </w:pPr>
            <w:r>
              <w:rPr>
                <w:rFonts w:ascii="Arial" w:cs="Arial" w:eastAsia="Arial" w:hAnsi="Arial"/>
                <w:sz w:val="18"/>
                <w:szCs w:val="18"/>
                <w:color w:val="auto"/>
              </w:rPr>
              <w:t>99,341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120" w:right="219" w:firstLine="216"/>
        <w:spacing w:after="0" w:line="308" w:lineRule="auto"/>
        <w:rPr>
          <w:sz w:val="20"/>
          <w:szCs w:val="20"/>
          <w:color w:val="auto"/>
        </w:rPr>
      </w:pPr>
      <w:r>
        <w:rPr>
          <w:rFonts w:ascii="Arial" w:cs="Arial" w:eastAsia="Arial" w:hAnsi="Arial"/>
          <w:sz w:val="17"/>
          <w:szCs w:val="17"/>
          <w:color w:val="auto"/>
        </w:rPr>
        <w:t>In October 2014, we granted options to purchase 21,657 shares at an exercise price per share of $13.54. In November 2014, we granted options to purchase 37,863 shares with an exercise price per share of $13.54.</w:t>
      </w:r>
    </w:p>
    <w:p>
      <w:pPr>
        <w:spacing w:after="0" w:line="120" w:lineRule="exact"/>
        <w:rPr>
          <w:sz w:val="20"/>
          <w:szCs w:val="20"/>
          <w:color w:val="auto"/>
        </w:rPr>
      </w:pPr>
    </w:p>
    <w:p>
      <w:pPr>
        <w:jc w:val="both"/>
        <w:ind w:left="120" w:right="799" w:firstLine="216"/>
        <w:spacing w:after="0" w:line="308" w:lineRule="auto"/>
        <w:rPr>
          <w:sz w:val="20"/>
          <w:szCs w:val="20"/>
          <w:color w:val="auto"/>
        </w:rPr>
      </w:pPr>
      <w:r>
        <w:rPr>
          <w:rFonts w:ascii="Arial" w:cs="Arial" w:eastAsia="Arial" w:hAnsi="Arial"/>
          <w:sz w:val="17"/>
          <w:szCs w:val="17"/>
          <w:color w:val="auto"/>
        </w:rPr>
        <w:t>Based on the initial public offering price of $ per share, the intrinsic value of the awards outstanding as of September 30, 2014 was $ , of which $ related to vested options and $ related to unvested options.</w:t>
      </w:r>
    </w:p>
    <w:p>
      <w:pPr>
        <w:spacing w:after="0" w:line="106"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 xml:space="preserve">In the absence of a public trading market for our ordinary shares, with respect to each grant date, we develop an estimate of the fair value of our ordinary shares in order to determine an exercise price for each share-based award. We have determined the fair value of our ordinary shares using methodologies, approaches and assumptions consistent with the </w:t>
      </w:r>
      <w:r>
        <w:rPr>
          <w:rFonts w:ascii="Arial" w:cs="Arial" w:eastAsia="Arial" w:hAnsi="Arial"/>
          <w:sz w:val="18"/>
          <w:szCs w:val="18"/>
          <w:i w:val="1"/>
          <w:iCs w:val="1"/>
          <w:color w:val="auto"/>
        </w:rPr>
        <w:t>American Institute of Certified Public Accountants Practice Aid, 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Issued as Compensation. </w:t>
      </w:r>
      <w:r>
        <w:rPr>
          <w:rFonts w:ascii="Arial" w:cs="Arial" w:eastAsia="Arial" w:hAnsi="Arial"/>
          <w:sz w:val="18"/>
          <w:szCs w:val="18"/>
          <w:color w:val="auto"/>
        </w:rPr>
        <w:t>Our board of directors exercised judgment and considered a number of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1" w:name="page52"/>
    <w:bookmarkEnd w:id="51"/>
    <w:p>
      <w:pPr>
        <w:ind w:left="120" w:right="259"/>
        <w:spacing w:after="0" w:line="259" w:lineRule="auto"/>
        <w:rPr>
          <w:sz w:val="20"/>
          <w:szCs w:val="20"/>
          <w:color w:val="auto"/>
        </w:rPr>
      </w:pPr>
      <w:r>
        <w:rPr>
          <w:rFonts w:ascii="Arial" w:cs="Arial" w:eastAsia="Arial" w:hAnsi="Arial"/>
          <w:sz w:val="18"/>
          <w:szCs w:val="18"/>
          <w:color w:val="auto"/>
        </w:rPr>
        <w:t>factors to 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46"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67"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67" w:lineRule="exact"/>
        <w:rPr>
          <w:sz w:val="20"/>
          <w:szCs w:val="20"/>
          <w:color w:val="auto"/>
        </w:rPr>
      </w:pPr>
    </w:p>
    <w:p>
      <w:pPr>
        <w:ind w:left="120" w:right="379" w:firstLine="216"/>
        <w:spacing w:after="0" w:line="26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9" w:lineRule="exact"/>
        <w:rPr>
          <w:sz w:val="20"/>
          <w:szCs w:val="20"/>
          <w:color w:val="auto"/>
        </w:rPr>
      </w:pPr>
    </w:p>
    <w:p>
      <w:pPr>
        <w:ind w:left="120" w:right="239" w:firstLine="216"/>
        <w:spacing w:after="0" w:line="293" w:lineRule="auto"/>
        <w:rPr>
          <w:sz w:val="20"/>
          <w:szCs w:val="20"/>
          <w:color w:val="auto"/>
        </w:rPr>
      </w:pPr>
      <w:r>
        <w:rPr>
          <w:rFonts w:ascii="Arial" w:cs="Arial" w:eastAsia="Arial" w:hAnsi="Arial"/>
          <w:sz w:val="16"/>
          <w:szCs w:val="16"/>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120" w:right="139" w:firstLine="216"/>
        <w:spacing w:after="0" w:line="291" w:lineRule="auto"/>
        <w:rPr>
          <w:sz w:val="20"/>
          <w:szCs w:val="20"/>
          <w:color w:val="auto"/>
        </w:rPr>
      </w:pPr>
      <w:r>
        <w:rPr>
          <w:rFonts w:ascii="Arial" w:cs="Arial" w:eastAsia="Arial" w:hAnsi="Arial"/>
          <w:sz w:val="16"/>
          <w:szCs w:val="16"/>
          <w:color w:val="auto"/>
        </w:rPr>
        <w:t>While we believe the resulting tax balances as of December 31, 2012 and 2013 and September 30,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79" w:firstLine="216"/>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2013, approximately 82% of our revenues were denominated in U.S. dollars and 18% of our revenues were denominated in Euros. Conversely, in 2013, approximately 73%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the Euro against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Change in Average Exchange Rate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3"/>
              </w:rPr>
              <w:t>NIS against the U.S.</w:t>
            </w:r>
          </w:p>
        </w:tc>
        <w:tc>
          <w:tcPr>
            <w:tcW w:w="1400" w:type="dxa"/>
            <w:vAlign w:val="bottom"/>
            <w:tcBorders>
              <w:top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8"/>
              </w:rPr>
              <w:t>Euro against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gridSpan w:val="3"/>
          </w:tcPr>
          <w:p>
            <w:pPr>
              <w:spacing w:after="0"/>
              <w:rPr>
                <w:sz w:val="20"/>
                <w:szCs w:val="20"/>
                <w:color w:val="auto"/>
              </w:rPr>
            </w:pPr>
            <w:r>
              <w:rPr>
                <w:rFonts w:ascii="Arial" w:cs="Arial" w:eastAsia="Arial" w:hAnsi="Arial"/>
                <w:sz w:val="16"/>
                <w:szCs w:val="16"/>
                <w:b w:val="1"/>
                <w:bCs w:val="1"/>
                <w:color w:val="auto"/>
              </w:rPr>
              <w:t>Period</w:t>
            </w:r>
          </w:p>
        </w:tc>
        <w:tc>
          <w:tcPr>
            <w:tcW w:w="16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Dollar (%)</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U.S. Dollar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52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w w:val="79"/>
              </w:rPr>
              <w:t>2011</w:t>
            </w:r>
          </w:p>
        </w:tc>
        <w:tc>
          <w:tcPr>
            <w:tcW w:w="80" w:type="dxa"/>
            <w:vAlign w:val="bottom"/>
            <w:vMerge w:val="continue"/>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jc w:val="right"/>
              <w:ind w:right="5090"/>
              <w:spacing w:after="0"/>
              <w:rPr>
                <w:sz w:val="20"/>
                <w:szCs w:val="20"/>
                <w:color w:val="auto"/>
              </w:rPr>
            </w:pPr>
            <w:r>
              <w:rPr>
                <w:rFonts w:ascii="Arial" w:cs="Arial" w:eastAsia="Arial" w:hAnsi="Arial"/>
                <w:sz w:val="18"/>
                <w:szCs w:val="18"/>
                <w:color w:val="auto"/>
                <w:w w:val="84"/>
              </w:rPr>
              <w:t>2012</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w w:val="79"/>
              </w:rPr>
              <w:t>2013</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spacing w:after="0"/>
              <w:rPr>
                <w:sz w:val="20"/>
                <w:szCs w:val="20"/>
                <w:color w:val="auto"/>
              </w:rPr>
            </w:pPr>
            <w:r>
              <w:rPr>
                <w:rFonts w:ascii="Arial" w:cs="Arial" w:eastAsia="Arial" w:hAnsi="Arial"/>
                <w:sz w:val="18"/>
                <w:szCs w:val="18"/>
                <w:color w:val="auto"/>
              </w:rPr>
              <w:t>2014 (through September 30, 2014)</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 10% increase or decrease in the value of the NIS against the U.S. dollar would have decreased or increased our net income by approximately $2.8 million in 2013 and by approximately $2.5 million in the nine months ended September 30, 2014. A 10% increase or decrease in the value of the Euro against the U.S. dollar would have decreased or increased our net income by approximately $0.6 million in 2013 and by approximately $0.8 million in the nine months ended September 30, 2014.</w:t>
      </w:r>
    </w:p>
    <w:p>
      <w:pPr>
        <w:spacing w:after="0" w:line="189"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7"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8" w:lineRule="exact"/>
        <w:rPr>
          <w:sz w:val="20"/>
          <w:szCs w:val="20"/>
          <w:color w:val="auto"/>
        </w:rPr>
      </w:pPr>
    </w:p>
    <w:p>
      <w:pPr>
        <w:ind w:left="120" w:right="259" w:firstLine="216"/>
        <w:spacing w:after="0" w:line="257" w:lineRule="auto"/>
        <w:rPr>
          <w:sz w:val="20"/>
          <w:szCs w:val="20"/>
          <w:color w:val="auto"/>
        </w:rPr>
      </w:pPr>
      <w:r>
        <w:rPr>
          <w:rFonts w:ascii="Arial" w:cs="Arial" w:eastAsia="Arial" w:hAnsi="Arial"/>
          <w:sz w:val="18"/>
          <w:szCs w:val="18"/>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3" w:name="page54"/>
    <w:bookmarkEnd w:id="53"/>
    <w:p>
      <w:pPr>
        <w:ind w:left="120" w:right="119"/>
        <w:spacing w:after="0" w:line="302" w:lineRule="auto"/>
        <w:rPr>
          <w:sz w:val="20"/>
          <w:szCs w:val="20"/>
          <w:color w:val="auto"/>
        </w:rPr>
      </w:pPr>
      <w:r>
        <w:rPr>
          <w:rFonts w:ascii="Arial" w:cs="Arial" w:eastAsia="Arial" w:hAnsi="Arial"/>
          <w:sz w:val="16"/>
          <w:szCs w:val="16"/>
          <w:color w:val="auto"/>
        </w:rPr>
        <w:t>our expenses will continue to be denominated in NIS. We cannot provide any assurances that our hedging activities, once implemented,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120" w:right="699" w:firstLine="216"/>
        <w:spacing w:after="0" w:line="277"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179" w:firstLine="216"/>
        <w:spacing w:after="0" w:line="342" w:lineRule="auto"/>
        <w:rPr>
          <w:sz w:val="20"/>
          <w:szCs w:val="20"/>
          <w:color w:val="auto"/>
        </w:rPr>
      </w:pPr>
      <w:r>
        <w:rPr>
          <w:rFonts w:ascii="Arial" w:cs="Arial" w:eastAsia="Arial" w:hAnsi="Arial"/>
          <w:sz w:val="16"/>
          <w:szCs w:val="16"/>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9" w:lineRule="exact"/>
        <w:rPr>
          <w:sz w:val="20"/>
          <w:szCs w:val="20"/>
          <w:color w:val="auto"/>
        </w:rPr>
      </w:pPr>
    </w:p>
    <w:p>
      <w:pPr>
        <w:jc w:val="both"/>
        <w:ind w:left="120" w:right="199" w:firstLine="21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93"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65"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According to a 2014 report by Smithers Pira, a provider of market intelligence on the printing industry, the vast majority of the approximately 33 billion square meters of projected annual output of the global printed textile industry in 2015, which can be categorized into clothing, household, technical and display applications, will be produced using analog printing methods, specifically screen printing, using carousels for printing on garments and rotary screen printers for printing on rolls of fabric. The Pira report estimates that digital printing will produce 780 million square meters of output in 2015, representing approximately 2% of total annual global printed textile output. According to the Pira report, digital textile printing output is forecasted to grow at 20% per year for the foreseeable future. Within digital textile printing, clothing applications represent the greatest amount of digital printed textile output and are projected to grow at a faster rate than household, technical and display applications.</w:t>
      </w:r>
    </w:p>
    <w:p>
      <w:pPr>
        <w:spacing w:after="0" w:line="182"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Pira report estimates that global revenue from digital textile printing equipment and ink will grow from $1.5 billion in 2014 to $3.2 billion in 2019, representing a 17% compound annual growth rate. Ink revenues represent approximately 50% of the total global revenue. There is currently a global installed base of approximately 35,000 digital textile printers.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ind w:left="120" w:right="559" w:firstLine="216"/>
        <w:spacing w:after="0" w:line="302" w:lineRule="auto"/>
        <w:rPr>
          <w:sz w:val="20"/>
          <w:szCs w:val="20"/>
          <w:color w:val="auto"/>
        </w:rPr>
      </w:pPr>
      <w:r>
        <w:rPr>
          <w:rFonts w:ascii="Arial" w:cs="Arial" w:eastAsia="Arial" w:hAnsi="Arial"/>
          <w:sz w:val="16"/>
          <w:szCs w:val="16"/>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54" w:lineRule="exact"/>
        <w:rPr>
          <w:sz w:val="20"/>
          <w:szCs w:val="20"/>
          <w:color w:val="auto"/>
        </w:rPr>
      </w:pPr>
    </w:p>
    <w:p>
      <w:pPr>
        <w:ind w:left="120" w:right="259" w:firstLine="216"/>
        <w:spacing w:after="0" w:line="255"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203" w:lineRule="exact"/>
        <w:rPr>
          <w:sz w:val="20"/>
          <w:szCs w:val="20"/>
          <w:color w:val="auto"/>
        </w:rPr>
      </w:pPr>
    </w:p>
    <w:p>
      <w:pPr>
        <w:ind w:left="560" w:right="359" w:hanging="219"/>
        <w:spacing w:after="0" w:line="238" w:lineRule="auto"/>
        <w:tabs>
          <w:tab w:leader="none" w:pos="572"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masses, consumers demand, and brand owners seek to supply, a wide range of styles that are innovative and diverse.</w:t>
      </w:r>
    </w:p>
    <w:p>
      <w:pPr>
        <w:spacing w:after="0" w:line="216" w:lineRule="exact"/>
        <w:rPr>
          <w:rFonts w:ascii="Arial" w:cs="Arial" w:eastAsia="Arial" w:hAnsi="Arial"/>
          <w:sz w:val="22"/>
          <w:szCs w:val="22"/>
          <w:b w:val="1"/>
          <w:bCs w:val="1"/>
          <w:i w:val="1"/>
          <w:iCs w:val="1"/>
          <w:color w:val="auto"/>
        </w:rPr>
      </w:pPr>
    </w:p>
    <w:p>
      <w:pPr>
        <w:ind w:left="560" w:right="179" w:hanging="219"/>
        <w:spacing w:after="0" w:line="238" w:lineRule="auto"/>
        <w:tabs>
          <w:tab w:leader="none" w:pos="572"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w:t>
      </w:r>
    </w:p>
    <w:p>
      <w:pPr>
        <w:spacing w:after="0" w:line="216" w:lineRule="exact"/>
        <w:rPr>
          <w:rFonts w:ascii="Arial" w:cs="Arial" w:eastAsia="Arial" w:hAnsi="Arial"/>
          <w:sz w:val="22"/>
          <w:szCs w:val="22"/>
          <w:b w:val="1"/>
          <w:bCs w:val="1"/>
          <w:i w:val="1"/>
          <w:iCs w:val="1"/>
          <w:color w:val="auto"/>
        </w:rPr>
      </w:pPr>
    </w:p>
    <w:p>
      <w:pPr>
        <w:ind w:left="560" w:right="359" w:hanging="219"/>
        <w:spacing w:after="0" w:line="238" w:lineRule="auto"/>
        <w:tabs>
          <w:tab w:leader="none" w:pos="572"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produced, evaluated, and modified, which permits brand owners to increase the frequency and variety of replenishment cycles in response to fashion trends.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5" w:name="page56"/>
    <w:bookmarkEnd w:id="55"/>
    <w:p>
      <w:pPr>
        <w:ind w:left="560" w:right="159" w:hanging="219"/>
        <w:spacing w:after="0" w:line="241" w:lineRule="auto"/>
        <w:tabs>
          <w:tab w:leader="none" w:pos="572"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216" w:lineRule="exact"/>
        <w:rPr>
          <w:rFonts w:ascii="Arial" w:cs="Arial" w:eastAsia="Arial" w:hAnsi="Arial"/>
          <w:sz w:val="22"/>
          <w:szCs w:val="22"/>
          <w:b w:val="1"/>
          <w:bCs w:val="1"/>
          <w:i w:val="1"/>
          <w:iCs w:val="1"/>
          <w:color w:val="auto"/>
        </w:rPr>
      </w:pPr>
    </w:p>
    <w:p>
      <w:pPr>
        <w:ind w:left="560" w:right="179" w:hanging="219"/>
        <w:spacing w:after="0" w:line="262" w:lineRule="auto"/>
        <w:tabs>
          <w:tab w:leader="none" w:pos="572"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Environmentally friendly production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bodies and consumers are increasingly focused on social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98" w:lineRule="exact"/>
        <w:rPr>
          <w:rFonts w:ascii="Arial" w:cs="Arial" w:eastAsia="Arial" w:hAnsi="Arial"/>
          <w:sz w:val="21"/>
          <w:szCs w:val="21"/>
          <w:b w:val="1"/>
          <w:bCs w:val="1"/>
          <w:i w:val="1"/>
          <w:iCs w:val="1"/>
          <w:color w:val="auto"/>
        </w:rPr>
      </w:pPr>
    </w:p>
    <w:p>
      <w:pPr>
        <w:jc w:val="both"/>
        <w:ind w:left="560" w:right="119" w:hanging="219"/>
        <w:spacing w:after="0" w:line="261" w:lineRule="auto"/>
        <w:tabs>
          <w:tab w:leader="none" w:pos="572"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152400</wp:posOffset>
            </wp:positionV>
            <wp:extent cx="4193540" cy="172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935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152400</wp:posOffset>
            </wp:positionV>
            <wp:extent cx="5582920" cy="763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29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560" w:right="119" w:hanging="219"/>
        <w:spacing w:after="0" w:line="255" w:lineRule="auto"/>
        <w:tabs>
          <w:tab w:leader="none" w:pos="569"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 outerwear, underwear, sportswear,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upholstery and linens. It 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14605</wp:posOffset>
            </wp:positionV>
            <wp:extent cx="5574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jc w:val="both"/>
        <w:ind w:left="560" w:right="119"/>
        <w:spacing w:after="0" w:line="264" w:lineRule="auto"/>
        <w:rPr>
          <w:sz w:val="20"/>
          <w:szCs w:val="20"/>
          <w:color w:val="auto"/>
        </w:rPr>
      </w:pPr>
      <w:r>
        <w:rPr>
          <w:rFonts w:ascii="Arial" w:cs="Arial" w:eastAsia="Arial" w:hAnsi="Arial"/>
          <w:sz w:val="18"/>
          <w:szCs w:val="18"/>
          <w:color w:val="auto"/>
        </w:rPr>
        <w:t>the printer itself typically takes nearly 1.5 hours. The process can require up to seven people. The maximum size of an image or design is limited based on the circumference of the cylinders, which is typically no more than 60 centimeters.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60" w:right="119" w:hanging="219"/>
        <w:spacing w:after="0" w:line="269" w:lineRule="auto"/>
        <w:tabs>
          <w:tab w:leader="none" w:pos="559"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is commonly used to print on t-shirts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152400</wp:posOffset>
            </wp:positionV>
            <wp:extent cx="1655445" cy="1964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54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left="120" w:right="279" w:firstLine="216"/>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7" w:lineRule="exact"/>
        <w:rPr>
          <w:sz w:val="20"/>
          <w:szCs w:val="20"/>
          <w:color w:val="auto"/>
        </w:rPr>
      </w:pPr>
    </w:p>
    <w:p>
      <w:pPr>
        <w:ind w:left="120" w:right="359" w:firstLine="216"/>
        <w:spacing w:after="0" w:line="381" w:lineRule="auto"/>
        <w:rPr>
          <w:sz w:val="20"/>
          <w:szCs w:val="20"/>
          <w:color w:val="auto"/>
        </w:rPr>
      </w:pPr>
      <w:r>
        <w:rPr>
          <w:rFonts w:ascii="Arial" w:cs="Arial" w:eastAsia="Arial" w:hAnsi="Arial"/>
          <w:sz w:val="15"/>
          <w:szCs w:val="15"/>
          <w:color w:val="auto"/>
        </w:rPr>
        <w:t>Most fabrics need to be pre-treated before printing by submerging them in a solution that is designed specifically for the type of fabric and ink being used. This coating process is essential for achieving the desired chemical reaction between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ind w:left="120" w:right="659"/>
        <w:spacing w:after="0" w:line="264" w:lineRule="auto"/>
        <w:rPr>
          <w:sz w:val="20"/>
          <w:szCs w:val="20"/>
          <w:color w:val="auto"/>
        </w:rPr>
      </w:pPr>
      <w:r>
        <w:rPr>
          <w:rFonts w:ascii="Arial" w:cs="Arial" w:eastAsia="Arial" w:hAnsi="Arial"/>
          <w:sz w:val="18"/>
          <w:szCs w:val="18"/>
          <w:color w:val="auto"/>
        </w:rPr>
        <w:t>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39" w:lineRule="exact"/>
        <w:rPr>
          <w:sz w:val="20"/>
          <w:szCs w:val="20"/>
          <w:color w:val="auto"/>
        </w:rPr>
      </w:pPr>
    </w:p>
    <w:p>
      <w:pPr>
        <w:ind w:left="560" w:right="259" w:hanging="215"/>
        <w:spacing w:after="0" w:line="238" w:lineRule="auto"/>
        <w:tabs>
          <w:tab w:leader="none" w:pos="568"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334" w:lineRule="exact"/>
        <w:rPr>
          <w:rFonts w:ascii="Arial" w:cs="Arial" w:eastAsia="Arial" w:hAnsi="Arial"/>
          <w:sz w:val="22"/>
          <w:szCs w:val="22"/>
          <w:b w:val="1"/>
          <w:bCs w:val="1"/>
          <w:i w:val="1"/>
          <w:iCs w:val="1"/>
          <w:color w:val="auto"/>
        </w:rPr>
      </w:pPr>
    </w:p>
    <w:p>
      <w:pPr>
        <w:jc w:val="both"/>
        <w:ind w:left="560" w:right="559" w:hanging="215"/>
        <w:spacing w:after="0" w:line="238" w:lineRule="auto"/>
        <w:tabs>
          <w:tab w:leader="none" w:pos="568"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-1002030</wp:posOffset>
            </wp:positionV>
            <wp:extent cx="304419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44190" cy="445770"/>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137795</wp:posOffset>
            </wp:positionV>
            <wp:extent cx="366204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62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139" w:firstLine="216"/>
        <w:spacing w:after="0" w:line="290"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80"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6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 14.8% from the Asia Pacific region. For the nine months ended September 30, 2014, we generated revenues of $47.5 million, representing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ind w:left="120" w:right="119"/>
        <w:spacing w:after="0" w:line="264" w:lineRule="auto"/>
        <w:rPr>
          <w:sz w:val="20"/>
          <w:szCs w:val="20"/>
          <w:color w:val="auto"/>
        </w:rPr>
      </w:pPr>
      <w:r>
        <w:rPr>
          <w:rFonts w:ascii="Arial" w:cs="Arial" w:eastAsia="Arial" w:hAnsi="Arial"/>
          <w:sz w:val="18"/>
          <w:szCs w:val="18"/>
          <w:color w:val="auto"/>
        </w:rPr>
        <w:t>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48" w:lineRule="exact"/>
        <w:rPr>
          <w:sz w:val="20"/>
          <w:szCs w:val="20"/>
          <w:color w:val="auto"/>
        </w:rPr>
      </w:pPr>
    </w:p>
    <w:p>
      <w:pPr>
        <w:ind w:left="560" w:right="159" w:hanging="219"/>
        <w:spacing w:after="0" w:line="283" w:lineRule="auto"/>
        <w:tabs>
          <w:tab w:leader="none" w:pos="581"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According to the Pira report, global revenue from digital textile printing equipment and ink is expected to grow at a 17% compound annual growth rate between 2014 and 2019. In 2013, we grew our revenues 26.1% compared to 2012 and, in the nine months ended September 30, 2014, we grew our revenues 38.9% compared to the same period in 2013. We believe that high throughput DTG and R2R applications in the textile printing market are positioned to grow at a rate greater than the 17% projected industry growth rate between 2014 and 2019, as estimated by the Pira report. The Pira report estimates that the DTG market has an addressable opportunity of five to 10 billion garments a year, with over 300,000 sites globally printing primarily t-shirts and other apparel.</w:t>
      </w:r>
    </w:p>
    <w:p>
      <w:pPr>
        <w:spacing w:after="0" w:line="181" w:lineRule="exact"/>
        <w:rPr>
          <w:rFonts w:ascii="Arial" w:cs="Arial" w:eastAsia="Arial" w:hAnsi="Arial"/>
          <w:sz w:val="19"/>
          <w:szCs w:val="19"/>
          <w:b w:val="1"/>
          <w:bCs w:val="1"/>
          <w:color w:val="auto"/>
        </w:rPr>
      </w:pPr>
    </w:p>
    <w:p>
      <w:pPr>
        <w:ind w:left="560" w:right="119" w:hanging="219"/>
        <w:spacing w:after="0" w:line="283" w:lineRule="auto"/>
        <w:tabs>
          <w:tab w:leader="none" w:pos="578"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8" w:lineRule="exact"/>
        <w:rPr>
          <w:rFonts w:ascii="Arial" w:cs="Arial" w:eastAsia="Arial" w:hAnsi="Arial"/>
          <w:sz w:val="19"/>
          <w:szCs w:val="19"/>
          <w:b w:val="1"/>
          <w:bCs w:val="1"/>
          <w:color w:val="auto"/>
        </w:rPr>
      </w:pPr>
    </w:p>
    <w:p>
      <w:pPr>
        <w:ind w:left="560" w:right="119" w:hanging="219"/>
        <w:spacing w:after="0" w:line="262" w:lineRule="auto"/>
        <w:tabs>
          <w:tab w:leader="none" w:pos="572"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Attractive business model. </w:t>
      </w:r>
      <w:r>
        <w:rPr>
          <w:rFonts w:ascii="Arial" w:cs="Arial" w:eastAsia="Arial" w:hAnsi="Arial"/>
          <w:sz w:val="17"/>
          <w:szCs w:val="17"/>
          <w:color w:val="auto"/>
        </w:rPr>
        <w:t>We currently offer a broad portfolio of differentiated digital printing solutions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98" w:lineRule="exact"/>
        <w:rPr>
          <w:rFonts w:ascii="Arial" w:cs="Arial" w:eastAsia="Arial" w:hAnsi="Arial"/>
          <w:sz w:val="21"/>
          <w:szCs w:val="21"/>
          <w:b w:val="1"/>
          <w:bCs w:val="1"/>
          <w:color w:val="auto"/>
        </w:rPr>
      </w:pPr>
    </w:p>
    <w:p>
      <w:pPr>
        <w:ind w:left="560" w:right="119" w:hanging="219"/>
        <w:spacing w:after="0" w:line="247" w:lineRule="auto"/>
        <w:tabs>
          <w:tab w:leader="none" w:pos="572"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nine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206" w:lineRule="exact"/>
        <w:rPr>
          <w:rFonts w:ascii="Arial" w:cs="Arial" w:eastAsia="Arial" w:hAnsi="Arial"/>
          <w:sz w:val="22"/>
          <w:szCs w:val="22"/>
          <w:b w:val="1"/>
          <w:bCs w:val="1"/>
          <w:color w:val="auto"/>
        </w:rPr>
      </w:pPr>
    </w:p>
    <w:p>
      <w:pPr>
        <w:ind w:left="560" w:right="199" w:hanging="219"/>
        <w:spacing w:after="0" w:line="283" w:lineRule="auto"/>
        <w:tabs>
          <w:tab w:leader="none" w:pos="572"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With throughputs ranging from 40 to 300</w:t>
      </w:r>
      <w:r>
        <w:rPr>
          <w:rFonts w:ascii="Arial" w:cs="Arial" w:eastAsia="Arial" w:hAnsi="Arial"/>
          <w:sz w:val="16"/>
          <w:szCs w:val="16"/>
          <w:b w:val="1"/>
          <w:bCs w:val="1"/>
          <w:color w:val="auto"/>
        </w:rPr>
        <w:t xml:space="preserve"> </w:t>
      </w:r>
      <w:r>
        <w:rPr>
          <w:rFonts w:ascii="Arial" w:cs="Arial" w:eastAsia="Arial" w:hAnsi="Arial"/>
          <w:sz w:val="16"/>
          <w:szCs w:val="16"/>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560" w:right="179" w:hanging="219"/>
        <w:spacing w:after="0" w:line="263" w:lineRule="auto"/>
        <w:tabs>
          <w:tab w:leader="none" w:pos="572"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99" w:lineRule="exact"/>
        <w:rPr>
          <w:rFonts w:ascii="Arial" w:cs="Arial" w:eastAsia="Arial" w:hAnsi="Arial"/>
          <w:sz w:val="21"/>
          <w:szCs w:val="21"/>
          <w:b w:val="1"/>
          <w:bCs w:val="1"/>
          <w:color w:val="auto"/>
        </w:rPr>
      </w:pPr>
    </w:p>
    <w:p>
      <w:pPr>
        <w:jc w:val="both"/>
        <w:ind w:left="560" w:right="119" w:hanging="219"/>
        <w:spacing w:after="0" w:line="263" w:lineRule="auto"/>
        <w:tabs>
          <w:tab w:leader="none" w:pos="586"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48" w:lineRule="exact"/>
        <w:rPr>
          <w:sz w:val="20"/>
          <w:szCs w:val="20"/>
          <w:color w:val="auto"/>
        </w:rPr>
      </w:pPr>
    </w:p>
    <w:p>
      <w:pPr>
        <w:ind w:left="560" w:right="139" w:hanging="219"/>
        <w:spacing w:after="0" w:line="263" w:lineRule="auto"/>
        <w:tabs>
          <w:tab w:leader="none" w:pos="581" w:val="left"/>
        </w:tabs>
        <w:numPr>
          <w:ilvl w:val="0"/>
          <w:numId w:val="35"/>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Capitalize on the continued growth of the digital DTG market. </w:t>
      </w:r>
      <w:r>
        <w:rPr>
          <w:rFonts w:ascii="Arial" w:cs="Arial" w:eastAsia="Arial" w:hAnsi="Arial"/>
          <w:sz w:val="17"/>
          <w:szCs w:val="17"/>
          <w:color w:val="auto"/>
        </w:rPr>
        <w:t>We believe there is an opportunity to expand</w:t>
      </w:r>
      <w:r>
        <w:rPr>
          <w:rFonts w:ascii="Arial" w:cs="Arial" w:eastAsia="Arial" w:hAnsi="Arial"/>
          <w:sz w:val="17"/>
          <w:szCs w:val="17"/>
          <w:b w:val="1"/>
          <w:bCs w:val="1"/>
          <w:color w:val="auto"/>
        </w:rPr>
        <w:t xml:space="preserve"> </w:t>
      </w:r>
      <w:r>
        <w:rPr>
          <w:rFonts w:ascii="Arial" w:cs="Arial" w:eastAsia="Arial" w:hAnsi="Arial"/>
          <w:sz w:val="17"/>
          <w:szCs w:val="17"/>
          <w:color w:val="auto"/>
        </w:rPr>
        <w:t>our 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196" w:lineRule="exact"/>
        <w:rPr>
          <w:rFonts w:ascii="Arial" w:cs="Arial" w:eastAsia="Arial" w:hAnsi="Arial"/>
          <w:sz w:val="21"/>
          <w:szCs w:val="21"/>
          <w:b w:val="1"/>
          <w:bCs w:val="1"/>
          <w:color w:val="auto"/>
        </w:rPr>
      </w:pPr>
    </w:p>
    <w:p>
      <w:pPr>
        <w:ind w:left="560" w:right="159" w:hanging="219"/>
        <w:spacing w:after="0" w:line="247" w:lineRule="auto"/>
        <w:tabs>
          <w:tab w:leader="none" w:pos="572"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 marketing efforts on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201" w:lineRule="exact"/>
        <w:rPr>
          <w:rFonts w:ascii="Arial" w:cs="Arial" w:eastAsia="Arial" w:hAnsi="Arial"/>
          <w:sz w:val="22"/>
          <w:szCs w:val="22"/>
          <w:b w:val="1"/>
          <w:bCs w:val="1"/>
          <w:color w:val="auto"/>
        </w:rPr>
      </w:pPr>
    </w:p>
    <w:p>
      <w:pPr>
        <w:ind w:left="580" w:hanging="239"/>
        <w:spacing w:after="0"/>
        <w:tabs>
          <w:tab w:leader="none" w:pos="58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Drive adoption of digital DTG printing solutions by customers who primarily use screen printing</w:t>
      </w:r>
    </w:p>
    <w:p>
      <w:pPr>
        <w:spacing w:after="0" w:line="2" w:lineRule="exact"/>
        <w:rPr>
          <w:sz w:val="20"/>
          <w:szCs w:val="20"/>
          <w:color w:val="auto"/>
        </w:rPr>
      </w:pPr>
    </w:p>
    <w:p>
      <w:pPr>
        <w:ind w:left="560" w:right="159"/>
        <w:spacing w:after="0" w:line="289" w:lineRule="auto"/>
        <w:rPr>
          <w:sz w:val="20"/>
          <w:szCs w:val="20"/>
          <w:color w:val="auto"/>
        </w:rPr>
      </w:pPr>
      <w:r>
        <w:rPr>
          <w:rFonts w:ascii="Arial" w:cs="Arial" w:eastAsia="Arial" w:hAnsi="Arial"/>
          <w:sz w:val="16"/>
          <w:szCs w:val="16"/>
          <w:b w:val="1"/>
          <w:bCs w:val="1"/>
          <w:color w:val="auto"/>
        </w:rPr>
        <w:t xml:space="preserve">carousels. </w:t>
      </w:r>
      <w:r>
        <w:rPr>
          <w:rFonts w:ascii="Arial" w:cs="Arial" w:eastAsia="Arial" w:hAnsi="Arial"/>
          <w:sz w:val="16"/>
          <w:szCs w:val="16"/>
          <w:color w:val="auto"/>
        </w:rPr>
        <w:t>A majority of DTG printing jobs are done today utilizing screen printing carousels. While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started to penetrate this market by offering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effects, such as glitter, silicon, gel and burnout, typically performed using screen printing.</w:t>
      </w:r>
    </w:p>
    <w:p>
      <w:pPr>
        <w:spacing w:after="0" w:line="190" w:lineRule="exact"/>
        <w:rPr>
          <w:sz w:val="20"/>
          <w:szCs w:val="20"/>
          <w:color w:val="auto"/>
        </w:rPr>
      </w:pPr>
    </w:p>
    <w:p>
      <w:pPr>
        <w:jc w:val="both"/>
        <w:ind w:left="560" w:right="119" w:hanging="219"/>
        <w:spacing w:after="0" w:line="245" w:lineRule="auto"/>
        <w:tabs>
          <w:tab w:leader="none" w:pos="581"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differentiate ourselves and extend our technological leadership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51"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61" w:name="page62"/>
    <w:bookmarkEnd w:id="61"/>
    <w:p>
      <w:pPr>
        <w:jc w:val="both"/>
        <w:ind w:left="560" w:right="119"/>
        <w:spacing w:after="0" w:line="255" w:lineRule="auto"/>
        <w:rPr>
          <w:sz w:val="20"/>
          <w:szCs w:val="20"/>
          <w:color w:val="auto"/>
        </w:rPr>
      </w:pPr>
      <w:r>
        <w:rPr>
          <w:rFonts w:ascii="Arial" w:cs="Arial" w:eastAsia="Arial" w:hAnsi="Arial"/>
          <w:sz w:val="18"/>
          <w:szCs w:val="18"/>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such as Paradigm II,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29" w:lineRule="exact"/>
        <w:rPr>
          <w:sz w:val="20"/>
          <w:szCs w:val="20"/>
          <w:color w:val="auto"/>
        </w:rPr>
      </w:pPr>
    </w:p>
    <w:p>
      <w:pPr>
        <w:ind w:left="120" w:right="359" w:firstLine="216"/>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200" w:lineRule="exact"/>
        <w:rPr>
          <w:sz w:val="20"/>
          <w:szCs w:val="20"/>
          <w:color w:val="auto"/>
        </w:rPr>
      </w:pPr>
    </w:p>
    <w:p>
      <w:pPr>
        <w:ind w:left="560" w:right="239" w:hanging="219"/>
        <w:spacing w:after="0" w:line="243" w:lineRule="auto"/>
        <w:tabs>
          <w:tab w:leader="none" w:pos="572"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215" w:lineRule="exact"/>
        <w:rPr>
          <w:rFonts w:ascii="Arial" w:cs="Arial" w:eastAsia="Arial" w:hAnsi="Arial"/>
          <w:sz w:val="22"/>
          <w:szCs w:val="22"/>
          <w:i w:val="1"/>
          <w:iCs w:val="1"/>
          <w:color w:val="auto"/>
        </w:rPr>
      </w:pPr>
    </w:p>
    <w:p>
      <w:pPr>
        <w:jc w:val="both"/>
        <w:ind w:left="560" w:right="119" w:hanging="219"/>
        <w:spacing w:after="0" w:line="238" w:lineRule="auto"/>
        <w:tabs>
          <w:tab w:leader="none" w:pos="572"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Target</w:t>
            </w:r>
          </w:p>
        </w:tc>
        <w:tc>
          <w:tcPr>
            <w:tcW w:w="1560" w:type="dxa"/>
            <w:vAlign w:val="bottom"/>
            <w:gridSpan w:val="2"/>
          </w:tcPr>
          <w:p>
            <w:pPr>
              <w:ind w:left="500"/>
              <w:spacing w:after="0"/>
              <w:rPr>
                <w:sz w:val="20"/>
                <w:szCs w:val="20"/>
                <w:color w:val="auto"/>
              </w:rPr>
            </w:pPr>
            <w:r>
              <w:rPr>
                <w:rFonts w:ascii="Arial" w:cs="Arial" w:eastAsia="Arial" w:hAnsi="Arial"/>
                <w:sz w:val="16"/>
                <w:szCs w:val="16"/>
                <w:b w:val="1"/>
                <w:bCs w:val="1"/>
                <w:color w:val="auto"/>
              </w:rPr>
              <w:t>Max.</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ind w:left="260"/>
              <w:spacing w:after="0"/>
              <w:rPr>
                <w:sz w:val="20"/>
                <w:szCs w:val="20"/>
                <w:color w:val="auto"/>
              </w:rPr>
            </w:pPr>
            <w:r>
              <w:rPr>
                <w:rFonts w:ascii="Arial" w:cs="Arial" w:eastAsia="Arial" w:hAnsi="Arial"/>
                <w:sz w:val="16"/>
                <w:szCs w:val="16"/>
                <w:b w:val="1"/>
                <w:bCs w:val="1"/>
                <w:color w:val="auto"/>
              </w:rPr>
              <w:t>Max. Printing</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System</w:t>
            </w: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Customer</w:t>
            </w: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rPr>
              <w:t>Throughput</w:t>
            </w:r>
          </w:p>
        </w:tc>
        <w:tc>
          <w:tcPr>
            <w:tcW w:w="2540" w:type="dxa"/>
            <w:vAlign w:val="bottom"/>
            <w:gridSpan w:val="2"/>
          </w:tcPr>
          <w:p>
            <w:pPr>
              <w:ind w:left="960"/>
              <w:spacing w:after="0"/>
              <w:rPr>
                <w:sz w:val="20"/>
                <w:szCs w:val="20"/>
                <w:color w:val="auto"/>
              </w:rPr>
            </w:pPr>
            <w:r>
              <w:rPr>
                <w:rFonts w:ascii="Arial" w:cs="Arial" w:eastAsia="Arial" w:hAnsi="Arial"/>
                <w:sz w:val="16"/>
                <w:szCs w:val="16"/>
                <w:b w:val="1"/>
                <w:bCs w:val="1"/>
                <w:color w:val="auto"/>
              </w:rPr>
              <w:t>Colors</w:t>
            </w:r>
          </w:p>
        </w:tc>
        <w:tc>
          <w:tcPr>
            <w:tcW w:w="1500" w:type="dxa"/>
            <w:vAlign w:val="bottom"/>
          </w:tcPr>
          <w:p>
            <w:pPr>
              <w:ind w:left="580"/>
              <w:spacing w:after="0"/>
              <w:rPr>
                <w:sz w:val="20"/>
                <w:szCs w:val="20"/>
                <w:color w:val="auto"/>
              </w:rPr>
            </w:pPr>
            <w:r>
              <w:rPr>
                <w:rFonts w:ascii="Arial" w:cs="Arial" w:eastAsia="Arial" w:hAnsi="Arial"/>
                <w:sz w:val="16"/>
                <w:szCs w:val="16"/>
                <w:b w:val="1"/>
                <w:bCs w:val="1"/>
                <w:color w:val="auto"/>
              </w:rPr>
              <w:t>Area</w:t>
            </w: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Breeze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40/hour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32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Thunder</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80/hour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Storm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150/hour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1000</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300/hour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Hexa</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250/hour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CMYKRG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83"/>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Avalanche DC</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 + Discharge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57"/>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ink</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310"/>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Paradigm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w:t>
            </w:r>
          </w:p>
        </w:tc>
        <w:tc>
          <w:tcPr>
            <w:tcW w:w="1500" w:type="dxa"/>
            <w:vAlign w:val="bottom"/>
          </w:tcPr>
          <w:p>
            <w:pPr>
              <w:ind w:left="60"/>
              <w:spacing w:after="0"/>
              <w:rPr>
                <w:sz w:val="20"/>
                <w:szCs w:val="20"/>
                <w:color w:val="auto"/>
              </w:rPr>
            </w:pPr>
            <w:r>
              <w:rPr>
                <w:rFonts w:ascii="Arial" w:cs="Arial" w:eastAsia="Arial" w:hAnsi="Arial"/>
                <w:sz w:val="18"/>
                <w:szCs w:val="18"/>
                <w:color w:val="auto"/>
              </w:rPr>
              <w:t>15.5 x 19.5 in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239" w:lineRule="exact"/>
        <w:rPr>
          <w:sz w:val="20"/>
          <w:szCs w:val="20"/>
          <w:color w:val="auto"/>
        </w:rPr>
      </w:pPr>
    </w:p>
    <w:p>
      <w:pPr>
        <w:ind w:left="560" w:right="159" w:hanging="219"/>
        <w:spacing w:after="0" w:line="241" w:lineRule="auto"/>
        <w:tabs>
          <w:tab w:leader="none" w:pos="572"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Allegro</w:t>
      </w:r>
      <w:r>
        <w:rPr>
          <w:rFonts w:ascii="Arial" w:cs="Arial" w:eastAsia="Arial" w:hAnsi="Arial"/>
          <w:sz w:val="18"/>
          <w:szCs w:val="18"/>
          <w:color w:val="auto"/>
        </w:rPr>
        <w:t>. Our Allegro system is the first R2R printing system to allow for one-step R2R printing, while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R2R printers require six steps. The Allegro is in beta testing at three customer sites and we are targeting its commercial launch within the next 18 months. The Allegro takes advantage of our patented wet-on-wet methodology to allow for</w:t>
      </w:r>
    </w:p>
    <w:p>
      <w:pPr>
        <w:sectPr>
          <w:pgSz w:w="11900" w:h="16838" w:orient="portrait"/>
          <w:cols w:equalWidth="0" w:num="1">
            <w:col w:w="9019"/>
          </w:cols>
          <w:pgMar w:left="1440" w:top="341" w:right="1440" w:bottom="983"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983" w:gutter="0" w:footer="0" w:header="0"/>
          <w:type w:val="continuous"/>
        </w:sectPr>
      </w:pPr>
    </w:p>
    <w:bookmarkStart w:id="62" w:name="page63"/>
    <w:bookmarkEnd w:id="62"/>
    <w:p>
      <w:pPr>
        <w:jc w:val="both"/>
        <w:ind w:left="560" w:right="199"/>
        <w:spacing w:after="0" w:line="312" w:lineRule="auto"/>
        <w:rPr>
          <w:sz w:val="20"/>
          <w:szCs w:val="20"/>
          <w:color w:val="auto"/>
        </w:rPr>
      </w:pPr>
      <w:r>
        <w:rPr>
          <w:rFonts w:ascii="Arial" w:cs="Arial" w:eastAsia="Arial" w:hAnsi="Arial"/>
          <w:sz w:val="16"/>
          <w:szCs w:val="16"/>
          <w:color w:val="auto"/>
        </w:rPr>
        <w:t>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174" w:lineRule="exact"/>
        <w:rPr>
          <w:sz w:val="20"/>
          <w:szCs w:val="20"/>
          <w:color w:val="auto"/>
        </w:rPr>
      </w:pPr>
    </w:p>
    <w:p>
      <w:pPr>
        <w:jc w:val="both"/>
        <w:ind w:left="560" w:right="119" w:hanging="219"/>
        <w:spacing w:after="0" w:line="262" w:lineRule="auto"/>
        <w:tabs>
          <w:tab w:leader="none" w:pos="690" w:val="left"/>
        </w:tabs>
        <w:numPr>
          <w:ilvl w:val="0"/>
          <w:numId w:val="39"/>
        </w:numPr>
        <w:rPr>
          <w:rFonts w:ascii="Arial" w:cs="Arial" w:eastAsia="Arial" w:hAnsi="Arial"/>
          <w:sz w:val="21"/>
          <w:szCs w:val="21"/>
          <w:i w:val="1"/>
          <w:iCs w:val="1"/>
          <w:color w:val="auto"/>
        </w:rPr>
      </w:pPr>
      <w:r>
        <w:rPr>
          <w:rFonts w:ascii="Arial" w:cs="Arial" w:eastAsia="Arial" w:hAnsi="Arial"/>
          <w:sz w:val="17"/>
          <w:szCs w:val="17"/>
          <w:i w:val="1"/>
          <w:iCs w:val="1"/>
          <w:color w:val="auto"/>
        </w:rPr>
        <w:t>Vulcan</w:t>
      </w:r>
      <w:r>
        <w:rPr>
          <w:rFonts w:ascii="Arial" w:cs="Arial" w:eastAsia="Arial" w:hAnsi="Arial"/>
          <w:sz w:val="17"/>
          <w:szCs w:val="17"/>
          <w:color w:val="auto"/>
        </w:rPr>
        <w:t>. Our Vulcan system is designed to enable mass production of customized garments with high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92"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29"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225" w:lineRule="exact"/>
        <w:rPr>
          <w:sz w:val="20"/>
          <w:szCs w:val="20"/>
          <w:color w:val="auto"/>
        </w:rPr>
      </w:pPr>
    </w:p>
    <w:p>
      <w:pPr>
        <w:ind w:left="120" w:right="219" w:firstLine="216"/>
        <w:spacing w:after="0" w:line="257" w:lineRule="auto"/>
        <w:rPr>
          <w:sz w:val="20"/>
          <w:szCs w:val="20"/>
          <w:color w:val="auto"/>
        </w:rPr>
      </w:pPr>
      <w:r>
        <w:rPr>
          <w:rFonts w:ascii="Arial" w:cs="Arial" w:eastAsia="Arial" w:hAnsi="Arial"/>
          <w:sz w:val="18"/>
          <w:szCs w:val="18"/>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3" w:name="page64"/>
    <w:bookmarkEnd w:id="63"/>
    <w:p>
      <w:pPr>
        <w:ind w:left="120" w:right="559"/>
        <w:spacing w:after="0" w:line="264" w:lineRule="auto"/>
        <w:rPr>
          <w:sz w:val="20"/>
          <w:szCs w:val="20"/>
          <w:color w:val="auto"/>
        </w:rPr>
      </w:pPr>
      <w:r>
        <w:rPr>
          <w:rFonts w:ascii="Arial" w:cs="Arial" w:eastAsia="Arial" w:hAnsi="Arial"/>
          <w:sz w:val="18"/>
          <w:szCs w:val="18"/>
          <w:color w:val="auto"/>
        </w:rPr>
        <w:t>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Our diverse global customer base consisted of more than 800 customers as of September 30, 2014. Our customers include custom decorators, online businesses, brand owners and contract printers.</w:t>
      </w:r>
    </w:p>
    <w:p>
      <w:pPr>
        <w:spacing w:after="0" w:line="184" w:lineRule="exact"/>
        <w:rPr>
          <w:sz w:val="20"/>
          <w:szCs w:val="20"/>
          <w:color w:val="auto"/>
        </w:rPr>
      </w:pPr>
    </w:p>
    <w:p>
      <w:pPr>
        <w:ind w:left="560" w:right="119" w:hanging="219"/>
        <w:spacing w:after="0" w:line="241" w:lineRule="auto"/>
        <w:tabs>
          <w:tab w:leader="none" w:pos="572" w:val="left"/>
        </w:tabs>
        <w:numPr>
          <w:ilvl w:val="0"/>
          <w:numId w:val="40"/>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216" w:lineRule="exact"/>
        <w:rPr>
          <w:rFonts w:ascii="Arial" w:cs="Arial" w:eastAsia="Arial" w:hAnsi="Arial"/>
          <w:sz w:val="22"/>
          <w:szCs w:val="22"/>
          <w:i w:val="1"/>
          <w:iCs w:val="1"/>
          <w:color w:val="auto"/>
        </w:rPr>
      </w:pPr>
    </w:p>
    <w:p>
      <w:pPr>
        <w:ind w:left="560" w:right="159" w:hanging="219"/>
        <w:spacing w:after="0" w:line="262" w:lineRule="auto"/>
        <w:tabs>
          <w:tab w:leader="none" w:pos="572" w:val="left"/>
        </w:tabs>
        <w:numPr>
          <w:ilvl w:val="0"/>
          <w:numId w:val="40"/>
        </w:numPr>
        <w:rPr>
          <w:rFonts w:ascii="Arial" w:cs="Arial" w:eastAsia="Arial" w:hAnsi="Arial"/>
          <w:sz w:val="21"/>
          <w:szCs w:val="21"/>
          <w:i w:val="1"/>
          <w:iCs w:val="1"/>
          <w:color w:val="auto"/>
        </w:rPr>
      </w:pPr>
      <w:r>
        <w:rPr>
          <w:rFonts w:ascii="Arial" w:cs="Arial" w:eastAsia="Arial" w:hAnsi="Arial"/>
          <w:sz w:val="17"/>
          <w:szCs w:val="17"/>
          <w:i w:val="1"/>
          <w:iCs w:val="1"/>
          <w:color w:val="auto"/>
        </w:rPr>
        <w:t>Online Businesses</w:t>
      </w:r>
      <w:r>
        <w:rPr>
          <w:rFonts w:ascii="Arial" w:cs="Arial" w:eastAsia="Arial" w:hAnsi="Arial"/>
          <w:sz w:val="17"/>
          <w:szCs w:val="17"/>
          <w:color w:val="auto"/>
        </w:rPr>
        <w:t>. The business model of our online business customers is based on “produce to order”</w:t>
      </w:r>
      <w:r>
        <w:rPr>
          <w:rFonts w:ascii="Arial" w:cs="Arial" w:eastAsia="Arial" w:hAnsi="Arial"/>
          <w:sz w:val="17"/>
          <w:szCs w:val="17"/>
          <w:i w:val="1"/>
          <w:iCs w:val="1"/>
          <w:color w:val="auto"/>
        </w:rPr>
        <w:t xml:space="preserve"> </w:t>
      </w:r>
      <w:r>
        <w:rPr>
          <w:rFonts w:ascii="Arial" w:cs="Arial" w:eastAsia="Arial" w:hAnsi="Arial"/>
          <w:sz w:val="17"/>
          <w:szCs w:val="17"/>
          <w:color w:val="auto"/>
        </w:rPr>
        <w:t>garments, 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211" w:lineRule="exact"/>
        <w:rPr>
          <w:rFonts w:ascii="Arial" w:cs="Arial" w:eastAsia="Arial" w:hAnsi="Arial"/>
          <w:sz w:val="21"/>
          <w:szCs w:val="21"/>
          <w:i w:val="1"/>
          <w:iCs w:val="1"/>
          <w:color w:val="auto"/>
        </w:rPr>
      </w:pPr>
    </w:p>
    <w:p>
      <w:pPr>
        <w:ind w:left="560" w:right="179" w:hanging="219"/>
        <w:spacing w:after="0" w:line="284" w:lineRule="auto"/>
        <w:tabs>
          <w:tab w:leader="none" w:pos="581" w:val="left"/>
        </w:tabs>
        <w:numPr>
          <w:ilvl w:val="0"/>
          <w:numId w:val="40"/>
        </w:numPr>
        <w:rPr>
          <w:rFonts w:ascii="Arial" w:cs="Arial" w:eastAsia="Arial" w:hAnsi="Arial"/>
          <w:sz w:val="19"/>
          <w:szCs w:val="19"/>
          <w:i w:val="1"/>
          <w:iCs w:val="1"/>
          <w:color w:val="auto"/>
        </w:rPr>
      </w:pPr>
      <w:r>
        <w:rPr>
          <w:rFonts w:ascii="Arial" w:cs="Arial" w:eastAsia="Arial" w:hAnsi="Arial"/>
          <w:sz w:val="16"/>
          <w:szCs w:val="16"/>
          <w:i w:val="1"/>
          <w:iCs w:val="1"/>
          <w:color w:val="auto"/>
        </w:rPr>
        <w:t>Brand Owners</w:t>
      </w:r>
      <w:r>
        <w:rPr>
          <w:rFonts w:ascii="Arial" w:cs="Arial" w:eastAsia="Arial" w:hAnsi="Arial"/>
          <w:sz w:val="16"/>
          <w:szCs w:val="16"/>
          <w:color w:val="auto"/>
        </w:rPr>
        <w:t>. Most brand owners use contract printers to produce their garments. Our systems offer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82" w:lineRule="exact"/>
        <w:rPr>
          <w:rFonts w:ascii="Arial" w:cs="Arial" w:eastAsia="Arial" w:hAnsi="Arial"/>
          <w:sz w:val="19"/>
          <w:szCs w:val="19"/>
          <w:i w:val="1"/>
          <w:iCs w:val="1"/>
          <w:color w:val="auto"/>
        </w:rPr>
      </w:pPr>
    </w:p>
    <w:p>
      <w:pPr>
        <w:jc w:val="both"/>
        <w:ind w:left="560" w:right="119" w:hanging="219"/>
        <w:spacing w:after="0" w:line="245" w:lineRule="auto"/>
        <w:tabs>
          <w:tab w:leader="none" w:pos="572" w:val="left"/>
        </w:tabs>
        <w:numPr>
          <w:ilvl w:val="0"/>
          <w:numId w:val="40"/>
        </w:numPr>
        <w:rPr>
          <w:rFonts w:ascii="Arial" w:cs="Arial" w:eastAsia="Arial" w:hAnsi="Arial"/>
          <w:sz w:val="22"/>
          <w:szCs w:val="22"/>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September 30, 2014, our global network of channel partners consisted of approximately 50 independent distributors and resellers. Sales by our distributors accounted for approximately 72% of our revenues during the nine months ended September 30, 2014 and approximately 63% in 2013. In addition to working closely with our channel partners, our direct sales force engages in direct sales in certain geographies, and also with our largest customers, irrespective of their location.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4" w:name="page65"/>
    <w:bookmarkEnd w:id="64"/>
    <w:p>
      <w:pPr>
        <w:ind w:left="120" w:right="159" w:firstLine="216"/>
        <w:spacing w:after="0" w:line="287" w:lineRule="auto"/>
        <w:rPr>
          <w:sz w:val="20"/>
          <w:szCs w:val="20"/>
          <w:color w:val="auto"/>
        </w:rPr>
      </w:pPr>
      <w:r>
        <w:rPr>
          <w:rFonts w:ascii="Arial" w:cs="Arial" w:eastAsia="Arial" w:hAnsi="Arial"/>
          <w:sz w:val="16"/>
          <w:szCs w:val="16"/>
          <w:color w:val="auto"/>
        </w:rPr>
        <w:t>The substantial majority of our sales in North America are performed through independent distributors. Hirsch International Corporation and SPSI, Inc. were our top two independent distributors by revenues in 2013 and during the nine months ended September 30, 2014, accounting for 20% and 24% of our revenues in each such period in the case of Hirsch, and 13% and 16%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82"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88"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Prices are set forth in the agreement and are determined separately with respect to the printers, services and raw materials.</w:t>
      </w:r>
    </w:p>
    <w:p>
      <w:pPr>
        <w:spacing w:after="0" w:line="178" w:lineRule="exact"/>
        <w:rPr>
          <w:sz w:val="20"/>
          <w:szCs w:val="20"/>
          <w:color w:val="auto"/>
        </w:rPr>
      </w:pPr>
    </w:p>
    <w:p>
      <w:pPr>
        <w:ind w:left="120" w:right="399" w:firstLine="216"/>
        <w:spacing w:after="0" w:line="277"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170" w:lineRule="exact"/>
        <w:rPr>
          <w:sz w:val="20"/>
          <w:szCs w:val="20"/>
          <w:color w:val="auto"/>
        </w:rPr>
      </w:pPr>
    </w:p>
    <w:p>
      <w:pPr>
        <w:ind w:left="120" w:right="859" w:firstLine="216"/>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71"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and other consumables, other than inks and other consumables sold by FDMX, that we sell over a relevant period or, if we do not sell ink and other consumables, a payment based on sales of our systems. The agreement renews automatically for successive one-year periods unless one party notifies the other party that it does not wish to renew the agreement by providing 90 days’ notice prior to the end of the current term, which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75" w:lineRule="exact"/>
        <w:rPr>
          <w:sz w:val="20"/>
          <w:szCs w:val="20"/>
          <w:color w:val="auto"/>
        </w:rPr>
      </w:pPr>
    </w:p>
    <w:p>
      <w:pPr>
        <w:ind w:left="120" w:right="839" w:firstLine="216"/>
        <w:spacing w:after="0" w:line="277"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7"/>
          <w:szCs w:val="17"/>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66"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As of December 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120" w:right="279"/>
        <w:spacing w:after="0" w:line="277"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170" w:lineRule="exact"/>
        <w:rPr>
          <w:sz w:val="20"/>
          <w:szCs w:val="20"/>
          <w:color w:val="auto"/>
        </w:rPr>
      </w:pPr>
    </w:p>
    <w:p>
      <w:pPr>
        <w:ind w:left="120" w:right="339" w:firstLine="216"/>
        <w:spacing w:after="0" w:line="257"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8" w:lineRule="exact"/>
        <w:rPr>
          <w:sz w:val="20"/>
          <w:szCs w:val="20"/>
          <w:color w:val="auto"/>
        </w:rPr>
      </w:pPr>
    </w:p>
    <w:p>
      <w:pPr>
        <w:ind w:left="120" w:right="679" w:firstLine="216"/>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229" w:lineRule="exact"/>
        <w:rPr>
          <w:sz w:val="20"/>
          <w:szCs w:val="20"/>
          <w:color w:val="auto"/>
        </w:rPr>
      </w:pPr>
    </w:p>
    <w:p>
      <w:pPr>
        <w:ind w:left="120" w:right="259" w:firstLine="216"/>
        <w:spacing w:after="0" w:line="271" w:lineRule="auto"/>
        <w:rPr>
          <w:sz w:val="20"/>
          <w:szCs w:val="20"/>
          <w:color w:val="auto"/>
        </w:rPr>
      </w:pPr>
      <w:r>
        <w:rPr>
          <w:rFonts w:ascii="Arial" w:cs="Arial" w:eastAsia="Arial" w:hAnsi="Arial"/>
          <w:sz w:val="17"/>
          <w:szCs w:val="17"/>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The current utilization of the total production capacity at this facility would allow us to more than double our current output at the facility by increasing the number of shifts on the existing lines without needing to expand the facility. Our U.S. offices are located in Mequon, Wisconsin, consisting of approximately 12,000 square feet. The leases for this office expires in June 2018. We maintain additional sales, support and marketing offices in Germany and Hong Kong.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20" w:right="279" w:firstLine="216"/>
        <w:spacing w:after="0" w:line="270" w:lineRule="auto"/>
        <w:rPr>
          <w:sz w:val="20"/>
          <w:szCs w:val="20"/>
          <w:color w:val="auto"/>
        </w:rPr>
      </w:pPr>
      <w:r>
        <w:rPr>
          <w:rFonts w:ascii="Arial" w:cs="Arial" w:eastAsia="Arial" w:hAnsi="Arial"/>
          <w:sz w:val="17"/>
          <w:szCs w:val="17"/>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120" w:right="219" w:firstLine="216"/>
        <w:spacing w:after="0" w:line="276" w:lineRule="auto"/>
        <w:rPr>
          <w:sz w:val="20"/>
          <w:szCs w:val="20"/>
          <w:color w:val="auto"/>
        </w:rPr>
      </w:pPr>
      <w:r>
        <w:rPr>
          <w:rFonts w:ascii="Arial" w:cs="Arial" w:eastAsia="Arial" w:hAnsi="Arial"/>
          <w:sz w:val="17"/>
          <w:szCs w:val="17"/>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9"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170"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299" w:firstLine="216"/>
        <w:spacing w:after="0" w:line="264" w:lineRule="auto"/>
        <w:rPr>
          <w:sz w:val="20"/>
          <w:szCs w:val="20"/>
          <w:color w:val="auto"/>
        </w:rPr>
      </w:pPr>
      <w:r>
        <w:rPr>
          <w:rFonts w:ascii="Arial" w:cs="Arial" w:eastAsia="Arial" w:hAnsi="Arial"/>
          <w:sz w:val="18"/>
          <w:szCs w:val="18"/>
          <w:color w:val="auto"/>
        </w:rPr>
        <w:t>As of September 30, 2014, we had 254 employees and subcontractors with 169 located in Israel, 38 in the United States, 23 in Germany and 24 in Hong Kong. The following table shows the breakdown of our workforce of employees and subcontractors by category of activity as of the dates indicated: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As of December 31,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spacing w:after="0"/>
              <w:rPr>
                <w:sz w:val="20"/>
                <w:szCs w:val="20"/>
                <w:color w:val="auto"/>
              </w:rPr>
            </w:pPr>
            <w:r>
              <w:rPr>
                <w:rFonts w:ascii="Arial" w:cs="Arial" w:eastAsia="Arial" w:hAnsi="Arial"/>
                <w:sz w:val="16"/>
                <w:szCs w:val="16"/>
                <w:b w:val="1"/>
                <w:bCs w:val="1"/>
                <w:color w:val="auto"/>
              </w:rPr>
              <w:t>Area of Activity</w:t>
            </w: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2011</w:t>
            </w:r>
          </w:p>
        </w:tc>
        <w:tc>
          <w:tcPr>
            <w:tcW w:w="12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500" w:type="dxa"/>
            <w:vAlign w:val="bottom"/>
            <w:gridSpan w:val="2"/>
          </w:tcPr>
          <w:p>
            <w:pPr>
              <w:jc w:val="center"/>
              <w:ind w:left="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19" w:firstLine="216"/>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120" w:right="779" w:firstLine="216"/>
        <w:spacing w:after="0" w:line="277"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currently a party to any material litigation.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422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r>
      <w:tr>
        <w:trPr>
          <w:trHeight w:val="54"/>
        </w:trPr>
        <w:tc>
          <w:tcPr>
            <w:tcW w:w="3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Officers</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20" w:type="dxa"/>
            <w:vAlign w:val="bottom"/>
          </w:tcPr>
          <w:p>
            <w:pPr>
              <w:spacing w:after="0"/>
              <w:rPr>
                <w:sz w:val="22"/>
                <w:szCs w:val="22"/>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Gabi Seligsohn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Ben-Zur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President, Chief Technology Officer and 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Avidan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Sarel Ashkenazy</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Executive Vice President of Sales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Sandelson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Operating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Zimmerman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w w:val="97"/>
              </w:rPr>
              <w:t>Vice President of Marketing &amp; Business Development</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Oded Kraft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Vice President of Products</w:t>
            </w:r>
          </w:p>
        </w:tc>
      </w:tr>
      <w:tr>
        <w:trPr>
          <w:trHeight w:val="702"/>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Yuval Cohen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Eli Blatt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Yoav Hineman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Marc Lesnick</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Moshe Nur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Joshua Maor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our Chief Executive Officer since April 2014. From August 2006 until August 2013,</w:t>
      </w:r>
      <w:r>
        <w:rPr>
          <w:rFonts w:ascii="Arial" w:cs="Arial" w:eastAsia="Arial" w:hAnsi="Arial"/>
          <w:sz w:val="17"/>
          <w:szCs w:val="17"/>
          <w:i w:val="1"/>
          <w:iCs w:val="1"/>
          <w:color w:val="auto"/>
        </w:rPr>
        <w:t xml:space="preserve"> </w:t>
      </w:r>
      <w:r>
        <w:rPr>
          <w:rFonts w:ascii="Arial" w:cs="Arial" w:eastAsia="Arial" w:hAnsi="Arial"/>
          <w:sz w:val="17"/>
          <w:szCs w:val="17"/>
          <w:color w:val="auto"/>
        </w:rPr>
        <w:t>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88" w:lineRule="exact"/>
        <w:rPr>
          <w:sz w:val="20"/>
          <w:szCs w:val="20"/>
          <w:color w:val="auto"/>
        </w:rPr>
      </w:pPr>
    </w:p>
    <w:p>
      <w:pPr>
        <w:ind w:left="120" w:right="219" w:firstLine="216"/>
        <w:spacing w:after="0" w:line="290"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our President and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66"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Avidan served as Vice President of Finance and Chief Executive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0" w:name="page71"/>
    <w:bookmarkEnd w:id="70"/>
    <w:p>
      <w:pPr>
        <w:ind w:left="120" w:right="319"/>
        <w:spacing w:after="0" w:line="264" w:lineRule="auto"/>
        <w:rPr>
          <w:sz w:val="20"/>
          <w:szCs w:val="20"/>
          <w:color w:val="auto"/>
        </w:rPr>
      </w:pPr>
      <w:r>
        <w:rPr>
          <w:rFonts w:ascii="Arial" w:cs="Arial" w:eastAsia="Arial" w:hAnsi="Arial"/>
          <w:sz w:val="18"/>
          <w:szCs w:val="18"/>
          <w:color w:val="auto"/>
        </w:rPr>
        <w:t>Mr. Avidan served as Vice President of Finance and Chief Financial Officer of Ace North Hills, which was acquired by MRV Communications. Mr. Avidan is a CPA in Israel and holds a B.A. in Economics and Accounting from Haifa University in Israel.</w:t>
      </w:r>
    </w:p>
    <w:p>
      <w:pPr>
        <w:spacing w:after="0" w:line="181" w:lineRule="exact"/>
        <w:rPr>
          <w:sz w:val="20"/>
          <w:szCs w:val="20"/>
          <w:color w:val="auto"/>
        </w:rPr>
      </w:pPr>
    </w:p>
    <w:p>
      <w:pPr>
        <w:ind w:left="120" w:right="219" w:firstLine="216"/>
        <w:spacing w:after="0" w:line="293" w:lineRule="auto"/>
        <w:rPr>
          <w:sz w:val="20"/>
          <w:szCs w:val="20"/>
          <w:color w:val="auto"/>
        </w:rPr>
      </w:pPr>
      <w:r>
        <w:rPr>
          <w:rFonts w:ascii="Arial" w:cs="Arial" w:eastAsia="Arial" w:hAnsi="Arial"/>
          <w:sz w:val="16"/>
          <w:szCs w:val="16"/>
          <w:i w:val="1"/>
          <w:iCs w:val="1"/>
          <w:color w:val="auto"/>
        </w:rPr>
        <w:t xml:space="preserve">Sarel Ashkenazy </w:t>
      </w:r>
      <w:r>
        <w:rPr>
          <w:rFonts w:ascii="Arial" w:cs="Arial" w:eastAsia="Arial" w:hAnsi="Arial"/>
          <w:sz w:val="16"/>
          <w:szCs w:val="16"/>
          <w:color w:val="auto"/>
        </w:rPr>
        <w:t>has served as our Executive Vice President of Sales since April 2014. From August 2004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65"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Ofer Sandelson </w:t>
      </w:r>
      <w:r>
        <w:rPr>
          <w:rFonts w:ascii="Arial" w:cs="Arial" w:eastAsia="Arial" w:hAnsi="Arial"/>
          <w:sz w:val="17"/>
          <w:szCs w:val="17"/>
          <w:color w:val="auto"/>
        </w:rPr>
        <w:t>has served as our Chief Operating Officer since July 2013.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8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 2013.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7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Oded Kraft </w:t>
      </w:r>
      <w:r>
        <w:rPr>
          <w:rFonts w:ascii="Arial" w:cs="Arial" w:eastAsia="Arial" w:hAnsi="Arial"/>
          <w:sz w:val="17"/>
          <w:szCs w:val="17"/>
          <w:color w:val="auto"/>
        </w:rPr>
        <w:t>has served as our Vice President of Products since September 2014. From January 2013 to April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 founding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78" w:lineRule="exact"/>
        <w:rPr>
          <w:sz w:val="20"/>
          <w:szCs w:val="20"/>
          <w:color w:val="auto"/>
        </w:rPr>
      </w:pPr>
    </w:p>
    <w:p>
      <w:pPr>
        <w:ind w:left="120" w:right="179" w:firstLine="216"/>
        <w:spacing w:after="0" w:line="302" w:lineRule="auto"/>
        <w:rPr>
          <w:sz w:val="20"/>
          <w:szCs w:val="20"/>
          <w:color w:val="auto"/>
        </w:rPr>
      </w:pPr>
      <w:r>
        <w:rPr>
          <w:rFonts w:ascii="Arial" w:cs="Arial" w:eastAsia="Arial" w:hAnsi="Arial"/>
          <w:sz w:val="16"/>
          <w:szCs w:val="16"/>
          <w:i w:val="1"/>
          <w:iCs w:val="1"/>
          <w:color w:val="auto"/>
        </w:rPr>
        <w:t xml:space="preserve">Eli Blatt </w:t>
      </w:r>
      <w:r>
        <w:rPr>
          <w:rFonts w:ascii="Arial" w:cs="Arial" w:eastAsia="Arial" w:hAnsi="Arial"/>
          <w:sz w:val="16"/>
          <w:szCs w:val="16"/>
          <w:color w:val="auto"/>
        </w:rPr>
        <w:t>has served as a member of our board of directors since August 2011. Mr. Blatt joined Fortissimo Capital in</w:t>
      </w:r>
      <w:r>
        <w:rPr>
          <w:rFonts w:ascii="Arial" w:cs="Arial" w:eastAsia="Arial" w:hAnsi="Arial"/>
          <w:sz w:val="16"/>
          <w:szCs w:val="16"/>
          <w:i w:val="1"/>
          <w:iCs w:val="1"/>
          <w:color w:val="auto"/>
        </w:rPr>
        <w:t xml:space="preserve"> </w:t>
      </w:r>
      <w:r>
        <w:rPr>
          <w:rFonts w:ascii="Arial" w:cs="Arial" w:eastAsia="Arial" w:hAnsi="Arial"/>
          <w:sz w:val="16"/>
          <w:szCs w:val="16"/>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120" w:right="199"/>
        <w:spacing w:after="0" w:line="312" w:lineRule="auto"/>
        <w:rPr>
          <w:sz w:val="20"/>
          <w:szCs w:val="20"/>
          <w:color w:val="auto"/>
        </w:rPr>
      </w:pPr>
      <w:r>
        <w:rPr>
          <w:rFonts w:ascii="Arial" w:cs="Arial" w:eastAsia="Arial" w:hAnsi="Arial"/>
          <w:sz w:val="16"/>
          <w:szCs w:val="16"/>
          <w:color w:val="auto"/>
        </w:rPr>
        <w:t>(NASDAQ: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47" w:lineRule="exact"/>
        <w:rPr>
          <w:sz w:val="20"/>
          <w:szCs w:val="20"/>
          <w:color w:val="auto"/>
        </w:rPr>
      </w:pPr>
    </w:p>
    <w:p>
      <w:pPr>
        <w:ind w:left="120" w:right="159" w:firstLine="216"/>
        <w:spacing w:after="0" w:line="272" w:lineRule="auto"/>
        <w:rPr>
          <w:sz w:val="20"/>
          <w:szCs w:val="20"/>
          <w:color w:val="auto"/>
        </w:rPr>
      </w:pPr>
      <w:r>
        <w:rPr>
          <w:rFonts w:ascii="Arial" w:cs="Arial" w:eastAsia="Arial" w:hAnsi="Arial"/>
          <w:sz w:val="17"/>
          <w:szCs w:val="17"/>
          <w:i w:val="1"/>
          <w:iCs w:val="1"/>
          <w:color w:val="auto"/>
        </w:rPr>
        <w:t xml:space="preserve">Yoav Hineman </w:t>
      </w:r>
      <w:r>
        <w:rPr>
          <w:rFonts w:ascii="Arial" w:cs="Arial" w:eastAsia="Arial" w:hAnsi="Arial"/>
          <w:sz w:val="17"/>
          <w:szCs w:val="17"/>
          <w:color w:val="auto"/>
        </w:rPr>
        <w:t>has served as a member of our board of directors since August 2011. Mr. Hineman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January 2009. From 2006 to 2009, Mr. Hineman was a Managing Director of Magnolia Capital, the Israeli arm of Thomas Weisel Partners. From 2004 to 2006 prior to joining Magnolia Capital, Mr. Hineman was a Software Analyst at SG Cowen &amp; Co., covering infrastructure software companies. From 2000 to 2004, Mr. Hineman was an associate at SoundView Technology Group. Currently, Mr. Hineman serves on the board of directors of several privately held portfolio companies of Fortissimo Capital. Mr. Hineman holds a B.S. in Business Administration from University of California, Berkeley Haas School of Business in California.</w:t>
      </w:r>
    </w:p>
    <w:p>
      <w:pPr>
        <w:spacing w:after="0" w:line="178"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79" w:lineRule="exact"/>
        <w:rPr>
          <w:sz w:val="20"/>
          <w:szCs w:val="20"/>
          <w:color w:val="auto"/>
        </w:rPr>
      </w:pPr>
    </w:p>
    <w:p>
      <w:pPr>
        <w:ind w:left="120" w:right="399" w:firstLine="216"/>
        <w:spacing w:after="0" w:line="293" w:lineRule="auto"/>
        <w:rPr>
          <w:sz w:val="20"/>
          <w:szCs w:val="20"/>
          <w:color w:val="auto"/>
        </w:rPr>
      </w:pPr>
      <w:r>
        <w:rPr>
          <w:rFonts w:ascii="Arial" w:cs="Arial" w:eastAsia="Arial" w:hAnsi="Arial"/>
          <w:sz w:val="16"/>
          <w:szCs w:val="16"/>
          <w:i w:val="1"/>
          <w:iCs w:val="1"/>
          <w:color w:val="auto"/>
        </w:rPr>
        <w:t xml:space="preserve">Moshe Nur </w:t>
      </w:r>
      <w:r>
        <w:rPr>
          <w:rFonts w:ascii="Arial" w:cs="Arial" w:eastAsia="Arial" w:hAnsi="Arial"/>
          <w:sz w:val="16"/>
          <w:szCs w:val="16"/>
          <w:color w:val="auto"/>
        </w:rPr>
        <w:t>has served as a member of the board of directors of our company since January 2002 and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our board of directors as well as a member of the compensation committee until 2012. Mr. Nur is also the Chief Executive Officer of Nur Star Media Ltd., a leading Israeli company specializing in billboards, as well as the chairman of the board of directors of Yahel (Nur Group) Holdings Ltd., a company holding a number of different investments in a range of industries. In addition, Mr. Nur is the chairman of the board of directors of Outform Ltd., a manufacturing company of 3D advertisement projects throughout Europe, the United States and Asia.</w:t>
      </w:r>
    </w:p>
    <w:p>
      <w:pPr>
        <w:spacing w:after="0" w:line="16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 xml:space="preserve">Joshua Maor </w:t>
      </w:r>
      <w:r>
        <w:rPr>
          <w:rFonts w:ascii="Arial" w:cs="Arial" w:eastAsia="Arial" w:hAnsi="Arial"/>
          <w:sz w:val="18"/>
          <w:szCs w:val="18"/>
          <w:color w:val="auto"/>
        </w:rPr>
        <w:t>has served as a member of our board of directors since July 2005. Since 2001, Mr. Maor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Delek Investments and Properties Ltd.’s holdings of high-tech companies. Prior to Delek, Mr. Maor served as Chief Executive Officer and Chairman at Green Venture Capital Ltd. Mr. Maor also served as a member of the board of directors of both Inspire Investments Ltd. and Vericom Technologies Ltd. Currently, Mr. Maor serves as a member of the board of directors, among others, of Dip-Tech Ltd. and Yeda Reaserch and Development Ltd., the commercial arm of the Weizmann Institute of Science. Mr. Maor holds a B.Sc. in Mathematics and Physics and a B.A. from the Hebrew University in Israel.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225" w:lineRule="exact"/>
        <w:rPr>
          <w:sz w:val="20"/>
          <w:szCs w:val="20"/>
          <w:color w:val="auto"/>
        </w:rPr>
      </w:pPr>
    </w:p>
    <w:p>
      <w:pPr>
        <w:ind w:left="120" w:right="179" w:firstLine="216"/>
        <w:spacing w:after="0" w:line="279" w:lineRule="auto"/>
        <w:rPr>
          <w:sz w:val="20"/>
          <w:szCs w:val="20"/>
          <w:color w:val="auto"/>
        </w:rPr>
      </w:pPr>
      <w:r>
        <w:rPr>
          <w:rFonts w:ascii="Arial" w:cs="Arial" w:eastAsia="Arial" w:hAnsi="Arial"/>
          <w:sz w:val="17"/>
          <w:szCs w:val="17"/>
          <w:color w:val="auto"/>
        </w:rPr>
        <w:t>Our current board of directors consists of seven directors. Currently-serving directors that were appointed prior to this offering will continue to serve pursuant to their appointment until the first annual meeting of shareholders held after this offering. We are not a party to, and are not aware of, any voting agreements among our shareholders. In addition, there are no family relationships among our executive officers and directors.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82" w:lineRule="exact"/>
        <w:rPr>
          <w:sz w:val="20"/>
          <w:szCs w:val="20"/>
          <w:color w:val="auto"/>
        </w:rPr>
      </w:pPr>
    </w:p>
    <w:p>
      <w:pPr>
        <w:ind w:left="120" w:right="159" w:firstLine="216"/>
        <w:spacing w:after="0" w:line="264" w:lineRule="auto"/>
        <w:rPr>
          <w:sz w:val="20"/>
          <w:szCs w:val="20"/>
          <w:color w:val="auto"/>
        </w:rPr>
      </w:pPr>
      <w:r>
        <w:rPr>
          <w:rFonts w:ascii="Arial" w:cs="Arial" w:eastAsia="Arial" w:hAnsi="Arial"/>
          <w:sz w:val="18"/>
          <w:szCs w:val="18"/>
          <w:color w:val="auto"/>
        </w:rPr>
        <w:t>The “controlled company” exemption does not modify the independence requirements for our audit committee. Accordingly, immediately following this offering, we will have an audit committee comprised of at least three members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120" w:right="199"/>
        <w:spacing w:after="0" w:line="272" w:lineRule="auto"/>
        <w:rPr>
          <w:sz w:val="20"/>
          <w:szCs w:val="20"/>
          <w:color w:val="auto"/>
        </w:rPr>
      </w:pPr>
      <w:r>
        <w:rPr>
          <w:rFonts w:ascii="Arial" w:cs="Arial" w:eastAsia="Arial" w:hAnsi="Arial"/>
          <w:sz w:val="17"/>
          <w:szCs w:val="17"/>
          <w:color w:val="auto"/>
        </w:rPr>
        <w:t>of whom meet the NASDAQ Stock Market independence requirements and which must include all of our external directors and consist of a majority of “independent directors” as defined under the Israeli Companies Law. See “—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78"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rules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80" w:lineRule="exact"/>
        <w:rPr>
          <w:sz w:val="20"/>
          <w:szCs w:val="20"/>
          <w:color w:val="auto"/>
        </w:rPr>
      </w:pPr>
    </w:p>
    <w:p>
      <w:pPr>
        <w:ind w:left="120" w:right="259" w:firstLine="216"/>
        <w:spacing w:after="0" w:line="272" w:lineRule="auto"/>
        <w:rPr>
          <w:sz w:val="20"/>
          <w:szCs w:val="20"/>
          <w:color w:val="auto"/>
        </w:rPr>
      </w:pPr>
      <w:r>
        <w:rPr>
          <w:rFonts w:ascii="Arial" w:cs="Arial" w:eastAsia="Arial" w:hAnsi="Arial"/>
          <w:sz w:val="17"/>
          <w:szCs w:val="17"/>
          <w:color w:val="auto"/>
        </w:rPr>
        <w:t>We intend to comply with the rules generally applicable to U.S. domestic companies listed on the NASDAQ Stock Market, other than with respect to the quorum requirements. As permitted under the Israeli Companies Law, pursuant to our amended 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178"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ind w:left="120" w:right="159"/>
        <w:spacing w:after="0" w:line="265" w:lineRule="auto"/>
        <w:rPr>
          <w:sz w:val="20"/>
          <w:szCs w:val="20"/>
          <w:color w:val="auto"/>
        </w:rPr>
      </w:pPr>
      <w:r>
        <w:rPr>
          <w:rFonts w:ascii="Arial" w:cs="Arial" w:eastAsia="Arial" w:hAnsi="Arial"/>
          <w:sz w:val="17"/>
          <w:szCs w:val="17"/>
          <w:color w:val="auto"/>
        </w:rPr>
        <w:t>directors must consist of at least and not more than directors, including at least two external directors required to be appointed under the Israeli Companies Law. Our board of directors will consist of directors upon completion</w:t>
      </w:r>
    </w:p>
    <w:p>
      <w:pPr>
        <w:ind w:left="120" w:right="179"/>
        <w:spacing w:after="0" w:line="268" w:lineRule="auto"/>
        <w:rPr>
          <w:sz w:val="20"/>
          <w:szCs w:val="20"/>
          <w:color w:val="auto"/>
        </w:rPr>
      </w:pPr>
      <w:r>
        <w:rPr>
          <w:rFonts w:ascii="Arial" w:cs="Arial" w:eastAsia="Arial" w:hAnsi="Arial"/>
          <w:sz w:val="17"/>
          <w:szCs w:val="17"/>
          <w:color w:val="auto"/>
        </w:rPr>
        <w:t>of this offering, including new directors and two external directors whose service will commence upon the completion of this offering.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jc w:val="both"/>
        <w:ind w:left="120" w:right="259"/>
        <w:spacing w:after="0" w:line="312" w:lineRule="auto"/>
        <w:rPr>
          <w:sz w:val="20"/>
          <w:szCs w:val="20"/>
          <w:color w:val="auto"/>
        </w:rPr>
      </w:pPr>
      <w:r>
        <w:rPr>
          <w:rFonts w:ascii="Arial" w:cs="Arial" w:eastAsia="Arial" w:hAnsi="Arial"/>
          <w:sz w:val="16"/>
          <w:szCs w:val="16"/>
          <w:color w:val="auto"/>
        </w:rPr>
        <w:t>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ectPr>
          <w:pgSz w:w="11900" w:h="16838" w:orient="portrait"/>
          <w:cols w:equalWidth="0" w:num="1">
            <w:col w:w="9019"/>
          </w:cols>
          <w:pgMar w:left="1440" w:top="125" w:right="1440" w:bottom="1440" w:gutter="0" w:footer="0" w:header="0"/>
        </w:sectPr>
      </w:pPr>
    </w:p>
    <w:p>
      <w:pPr>
        <w:spacing w:after="0" w:line="239" w:lineRule="exact"/>
        <w:rPr>
          <w:sz w:val="20"/>
          <w:szCs w:val="20"/>
          <w:color w:val="auto"/>
        </w:rPr>
      </w:pPr>
    </w:p>
    <w:p>
      <w:pPr>
        <w:ind w:left="560" w:hanging="219"/>
        <w:spacing w:after="0" w:line="297" w:lineRule="auto"/>
        <w:tabs>
          <w:tab w:leader="none" w:pos="572" w:val="left"/>
        </w:tabs>
        <w:numPr>
          <w:ilvl w:val="0"/>
          <w:numId w:val="41"/>
        </w:numPr>
        <w:rPr>
          <w:rFonts w:ascii="Arial" w:cs="Arial" w:eastAsia="Arial" w:hAnsi="Arial"/>
          <w:sz w:val="19"/>
          <w:szCs w:val="19"/>
          <w:color w:val="auto"/>
        </w:rPr>
      </w:pPr>
      <w:r>
        <w:rPr>
          <w:rFonts w:ascii="Arial" w:cs="Arial" w:eastAsia="Arial" w:hAnsi="Arial"/>
          <w:sz w:val="16"/>
          <w:szCs w:val="16"/>
          <w:color w:val="auto"/>
        </w:rPr>
        <w:t>the Class I directors will be shareholders to be held in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19" w:firstLine="273"/>
        <w:spacing w:after="0" w:line="277" w:lineRule="auto"/>
        <w:rPr>
          <w:sz w:val="20"/>
          <w:szCs w:val="20"/>
          <w:color w:val="auto"/>
        </w:rPr>
      </w:pPr>
      <w:r>
        <w:rPr>
          <w:rFonts w:ascii="Arial" w:cs="Arial" w:eastAsia="Arial" w:hAnsi="Arial"/>
          <w:sz w:val="18"/>
          <w:szCs w:val="18"/>
          <w:color w:val="auto"/>
        </w:rPr>
        <w:t>and , and their terms will expire at the annual general meeting of the and when their successors are elected and qualified;</w:t>
      </w:r>
    </w:p>
    <w:p>
      <w:pPr>
        <w:spacing w:after="0" w:line="150" w:lineRule="exact"/>
        <w:rPr>
          <w:sz w:val="20"/>
          <w:szCs w:val="20"/>
          <w:color w:val="auto"/>
        </w:rPr>
      </w:pPr>
    </w:p>
    <w:p>
      <w:pPr>
        <w:sectPr>
          <w:pgSz w:w="11900" w:h="16838" w:orient="portrait"/>
          <w:cols w:equalWidth="0" w:num="2">
            <w:col w:w="2540" w:space="220"/>
            <w:col w:w="6259"/>
          </w:cols>
          <w:pgMar w:left="1440" w:top="125" w:right="1440" w:bottom="1440" w:gutter="0" w:footer="0" w:header="0"/>
          <w:type w:val="continuous"/>
        </w:sectPr>
      </w:pPr>
    </w:p>
    <w:p>
      <w:pPr>
        <w:jc w:val="both"/>
        <w:ind w:left="560" w:right="159" w:hanging="215"/>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 directors will be</w:t>
      </w:r>
      <w:r>
        <w:rPr>
          <w:sz w:val="20"/>
          <w:szCs w:val="20"/>
          <w:color w:val="auto"/>
        </w:rPr>
        <w:t xml:space="preserve"> </w:t>
      </w:r>
      <w:r>
        <w:rPr>
          <w:rFonts w:ascii="Arial" w:cs="Arial" w:eastAsia="Arial" w:hAnsi="Arial"/>
          <w:sz w:val="18"/>
          <w:szCs w:val="18"/>
          <w:color w:val="auto"/>
        </w:rPr>
        <w:t>and , and their terms will expire at the first annual general meeting of the shareholders following the meeting referred to in clause (i) above and when their successors are elected and qualified; and</w:t>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60" w:hanging="215"/>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III directors will be</w:t>
      </w:r>
      <w:r>
        <w:rPr>
          <w:sz w:val="20"/>
          <w:szCs w:val="20"/>
          <w:color w:val="auto"/>
        </w:rPr>
        <w:t xml:space="preserve"> </w:t>
      </w:r>
      <w:r>
        <w:rPr>
          <w:rFonts w:ascii="Arial" w:cs="Arial" w:eastAsia="Arial" w:hAnsi="Arial"/>
          <w:sz w:val="18"/>
          <w:szCs w:val="18"/>
          <w:color w:val="auto"/>
        </w:rPr>
        <w:t>and shareholders following the meeting referred qualified.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both"/>
        <w:ind w:left="-21" w:right="119" w:firstLine="21"/>
        <w:spacing w:after="0" w:line="342" w:lineRule="auto"/>
        <w:tabs>
          <w:tab w:leader="none" w:pos="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and their terms will expire at the first annual general meeting of the to in clause (ii) above and when their successors are elected and</w:t>
      </w:r>
    </w:p>
    <w:p>
      <w:pPr>
        <w:spacing w:after="0" w:line="200" w:lineRule="exact"/>
        <w:rPr>
          <w:sz w:val="20"/>
          <w:szCs w:val="20"/>
          <w:color w:val="auto"/>
        </w:rPr>
      </w:pPr>
    </w:p>
    <w:p>
      <w:pPr>
        <w:sectPr>
          <w:pgSz w:w="11900" w:h="16838" w:orient="portrait"/>
          <w:cols w:equalWidth="0" w:num="2">
            <w:col w:w="3840" w:space="101"/>
            <w:col w:w="5078"/>
          </w:cols>
          <w:pgMar w:left="1440" w:top="125" w:right="1440" w:bottom="1440" w:gutter="0" w:footer="0" w:header="0"/>
          <w:type w:val="continuous"/>
        </w:sectPr>
      </w:pPr>
    </w:p>
    <w:p>
      <w:pPr>
        <w:spacing w:after="0" w:line="14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Our board of directors has determined our directors, , and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81"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left="120" w:right="139" w:firstLine="216"/>
        <w:spacing w:after="0" w:line="29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158" w:lineRule="exact"/>
        <w:rPr>
          <w:sz w:val="20"/>
          <w:szCs w:val="20"/>
          <w:color w:val="auto"/>
        </w:rPr>
      </w:pPr>
    </w:p>
    <w:p>
      <w:pPr>
        <w:ind w:left="120" w:right="319" w:firstLine="216"/>
        <w:spacing w:after="0" w:line="297"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4" w:name="page75"/>
    <w:bookmarkEnd w:id="74"/>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we are required to include at least two members who qualify as external</w:t>
      </w:r>
    </w:p>
    <w:p>
      <w:pPr>
        <w:spacing w:after="0" w:line="23" w:lineRule="exact"/>
        <w:rPr>
          <w:sz w:val="20"/>
          <w:szCs w:val="20"/>
          <w:color w:val="auto"/>
        </w:rPr>
      </w:pPr>
    </w:p>
    <w:p>
      <w:pPr>
        <w:ind w:left="120" w:right="319"/>
        <w:spacing w:after="0" w:line="323" w:lineRule="auto"/>
        <w:rPr>
          <w:sz w:val="20"/>
          <w:szCs w:val="20"/>
          <w:color w:val="auto"/>
        </w:rPr>
      </w:pPr>
      <w:r>
        <w:rPr>
          <w:rFonts w:ascii="Arial" w:cs="Arial" w:eastAsia="Arial" w:hAnsi="Arial"/>
          <w:sz w:val="16"/>
          <w:szCs w:val="16"/>
          <w:color w:val="auto"/>
        </w:rPr>
        <w:t>directors. and have agreed to serve as our external directors upon the closing of this offering, subject to ratification at a meeting of our shareholders to be held no later than three months following the closing of this offering.</w:t>
      </w:r>
    </w:p>
    <w:p>
      <w:pPr>
        <w:spacing w:after="0" w:line="139" w:lineRule="exact"/>
        <w:rPr>
          <w:sz w:val="20"/>
          <w:szCs w:val="20"/>
          <w:color w:val="auto"/>
        </w:rPr>
      </w:pPr>
    </w:p>
    <w:p>
      <w:pPr>
        <w:ind w:left="120" w:right="639" w:firstLine="216"/>
        <w:spacing w:after="0" w:line="26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95" w:lineRule="exact"/>
        <w:rPr>
          <w:sz w:val="20"/>
          <w:szCs w:val="20"/>
          <w:color w:val="auto"/>
        </w:rPr>
      </w:pPr>
    </w:p>
    <w:p>
      <w:pPr>
        <w:ind w:left="560" w:right="439" w:hanging="219"/>
        <w:spacing w:after="0" w:line="241" w:lineRule="auto"/>
        <w:tabs>
          <w:tab w:leader="none" w:pos="572" w:val="left"/>
        </w:tabs>
        <w:numPr>
          <w:ilvl w:val="0"/>
          <w:numId w:val="43"/>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216"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43"/>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203"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167"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 either:</w:t>
      </w:r>
    </w:p>
    <w:p>
      <w:pPr>
        <w:spacing w:after="0" w:line="184" w:lineRule="exact"/>
        <w:rPr>
          <w:sz w:val="20"/>
          <w:szCs w:val="20"/>
          <w:color w:val="auto"/>
        </w:rPr>
      </w:pPr>
    </w:p>
    <w:p>
      <w:pPr>
        <w:ind w:left="560" w:right="119" w:hanging="219"/>
        <w:spacing w:after="0" w:line="260" w:lineRule="auto"/>
        <w:tabs>
          <w:tab w:leader="none" w:pos="572" w:val="left"/>
        </w:tabs>
        <w:numPr>
          <w:ilvl w:val="0"/>
          <w:numId w:val="44"/>
        </w:numPr>
        <w:rPr>
          <w:rFonts w:ascii="Arial" w:cs="Arial" w:eastAsia="Arial" w:hAnsi="Arial"/>
          <w:sz w:val="21"/>
          <w:szCs w:val="21"/>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 or</w:t>
      </w:r>
    </w:p>
    <w:p>
      <w:pPr>
        <w:spacing w:after="0" w:line="201" w:lineRule="exact"/>
        <w:rPr>
          <w:rFonts w:ascii="Arial" w:cs="Arial" w:eastAsia="Arial" w:hAnsi="Arial"/>
          <w:sz w:val="21"/>
          <w:szCs w:val="21"/>
          <w:color w:val="auto"/>
        </w:rPr>
      </w:pPr>
    </w:p>
    <w:p>
      <w:pPr>
        <w:jc w:val="both"/>
        <w:ind w:left="560" w:right="119" w:hanging="219"/>
        <w:spacing w:after="0" w:line="238" w:lineRule="auto"/>
        <w:tabs>
          <w:tab w:leader="none" w:pos="613" w:val="left"/>
        </w:tabs>
        <w:numPr>
          <w:ilvl w:val="0"/>
          <w:numId w:val="44"/>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203"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2" w:lineRule="exact"/>
        <w:rPr>
          <w:sz w:val="20"/>
          <w:szCs w:val="20"/>
          <w:color w:val="auto"/>
        </w:rPr>
      </w:pPr>
    </w:p>
    <w:p>
      <w:pPr>
        <w:ind w:left="120" w:right="439" w:firstLine="216"/>
        <w:spacing w:after="0" w:line="259"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jc w:val="both"/>
        <w:ind w:left="120" w:right="239" w:firstLine="216"/>
        <w:spacing w:after="0" w:line="26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81" w:lineRule="exact"/>
        <w:rPr>
          <w:sz w:val="20"/>
          <w:szCs w:val="20"/>
          <w:color w:val="auto"/>
        </w:rPr>
      </w:pPr>
    </w:p>
    <w:p>
      <w:pPr>
        <w:ind w:left="120" w:right="259" w:firstLine="216"/>
        <w:spacing w:after="0" w:line="291" w:lineRule="auto"/>
        <w:rPr>
          <w:sz w:val="20"/>
          <w:szCs w:val="20"/>
          <w:color w:val="auto"/>
        </w:rPr>
      </w:pPr>
      <w:r>
        <w:rPr>
          <w:rFonts w:ascii="Arial" w:cs="Arial" w:eastAsia="Arial" w:hAnsi="Arial"/>
          <w:sz w:val="16"/>
          <w:szCs w:val="16"/>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67"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95"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170"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Under the Israeli Companies Law, the term “affiliation” and the similar types of disqualifying relationships, as used above, include (subject to certain exceptions):</w:t>
      </w:r>
    </w:p>
    <w:p>
      <w:pPr>
        <w:spacing w:after="0" w:line="161" w:lineRule="exact"/>
        <w:rPr>
          <w:sz w:val="20"/>
          <w:szCs w:val="20"/>
          <w:color w:val="auto"/>
        </w:rPr>
      </w:pPr>
    </w:p>
    <w:p>
      <w:pPr>
        <w:ind w:left="560" w:hanging="219"/>
        <w:spacing w:after="0"/>
        <w:tabs>
          <w:tab w:leader="none" w:pos="5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215" w:lineRule="exact"/>
        <w:rPr>
          <w:rFonts w:ascii="Arial" w:cs="Arial" w:eastAsia="Arial" w:hAnsi="Arial"/>
          <w:sz w:val="22"/>
          <w:szCs w:val="22"/>
          <w:color w:val="auto"/>
        </w:rPr>
      </w:pPr>
    </w:p>
    <w:p>
      <w:pPr>
        <w:ind w:left="560" w:right="979" w:hanging="219"/>
        <w:spacing w:after="0" w:line="232" w:lineRule="auto"/>
        <w:tabs>
          <w:tab w:leader="none" w:pos="572"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45"/>
        </w:numPr>
        <w:rPr>
          <w:rFonts w:ascii="Arial" w:cs="Arial" w:eastAsia="Arial" w:hAnsi="Arial"/>
          <w:sz w:val="22"/>
          <w:szCs w:val="22"/>
          <w:color w:val="auto"/>
        </w:rPr>
      </w:pPr>
      <w:r>
        <w:rPr>
          <w:rFonts w:ascii="Arial" w:cs="Arial" w:eastAsia="Arial" w:hAnsi="Arial"/>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203" w:lineRule="exact"/>
        <w:rPr>
          <w:sz w:val="20"/>
          <w:szCs w:val="20"/>
          <w:color w:val="auto"/>
        </w:rPr>
      </w:pPr>
    </w:p>
    <w:p>
      <w:pPr>
        <w:ind w:left="120" w:right="339" w:firstLine="216"/>
        <w:spacing w:after="0" w:line="312" w:lineRule="auto"/>
        <w:rPr>
          <w:sz w:val="20"/>
          <w:szCs w:val="20"/>
          <w:color w:val="auto"/>
        </w:rPr>
      </w:pPr>
      <w:r>
        <w:rPr>
          <w:rFonts w:ascii="Arial" w:cs="Arial" w:eastAsia="Arial" w:hAnsi="Arial"/>
          <w:sz w:val="16"/>
          <w:szCs w:val="16"/>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47"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78"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120" w:right="119" w:firstLine="216"/>
        <w:spacing w:after="0" w:line="302"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4" w:lineRule="exact"/>
        <w:rPr>
          <w:sz w:val="20"/>
          <w:szCs w:val="20"/>
          <w:color w:val="auto"/>
        </w:rPr>
      </w:pPr>
    </w:p>
    <w:p>
      <w:pPr>
        <w:ind w:left="120" w:right="179" w:firstLine="216"/>
        <w:spacing w:after="0" w:line="290" w:lineRule="auto"/>
        <w:rPr>
          <w:sz w:val="20"/>
          <w:szCs w:val="20"/>
          <w:color w:val="auto"/>
        </w:rPr>
      </w:pPr>
      <w:r>
        <w:rPr>
          <w:rFonts w:ascii="Arial" w:cs="Arial" w:eastAsia="Arial" w:hAnsi="Arial"/>
          <w:sz w:val="16"/>
          <w:szCs w:val="16"/>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66"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73" w:lineRule="exact"/>
        <w:rPr>
          <w:sz w:val="20"/>
          <w:szCs w:val="20"/>
          <w:color w:val="auto"/>
        </w:rPr>
      </w:pPr>
    </w:p>
    <w:p>
      <w:pPr>
        <w:ind w:left="120" w:right="419" w:firstLine="216"/>
        <w:spacing w:after="0" w:line="277" w:lineRule="auto"/>
        <w:rPr>
          <w:sz w:val="20"/>
          <w:szCs w:val="20"/>
          <w:color w:val="auto"/>
        </w:rPr>
      </w:pPr>
      <w:r>
        <w:rPr>
          <w:rFonts w:ascii="Arial" w:cs="Arial" w:eastAsia="Arial" w:hAnsi="Arial"/>
          <w:sz w:val="18"/>
          <w:szCs w:val="18"/>
          <w:color w:val="auto"/>
        </w:rPr>
        <w:t>Our board of directors has determined that has accounting and financial expertise and possesses professional qualifications as required under the Israeli Companies Law.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listing of our ordinary shares on the NASDAQ Global Market, our audit committee will consist of our</w:t>
      </w:r>
    </w:p>
    <w:p>
      <w:pPr>
        <w:spacing w:after="0" w:line="35" w:lineRule="exact"/>
        <w:rPr>
          <w:sz w:val="20"/>
          <w:szCs w:val="20"/>
          <w:color w:val="auto"/>
        </w:rPr>
      </w:pPr>
    </w:p>
    <w:p>
      <w:pPr>
        <w:ind w:left="120"/>
        <w:spacing w:after="0"/>
        <w:tabs>
          <w:tab w:leader="none" w:pos="2120" w:val="left"/>
          <w:tab w:leader="none" w:pos="3760" w:val="left"/>
          <w:tab w:leader="none" w:pos="4500" w:val="left"/>
        </w:tabs>
        <w:rPr>
          <w:sz w:val="20"/>
          <w:szCs w:val="20"/>
          <w:color w:val="auto"/>
        </w:rPr>
      </w:pPr>
      <w:r>
        <w:rPr>
          <w:rFonts w:ascii="Arial" w:cs="Arial" w:eastAsia="Arial" w:hAnsi="Arial"/>
          <w:sz w:val="18"/>
          <w:szCs w:val="18"/>
          <w:color w:val="auto"/>
        </w:rPr>
        <w:t>two external directors</w:t>
      </w:r>
      <w:r>
        <w:rPr>
          <w:sz w:val="20"/>
          <w:szCs w:val="20"/>
          <w:color w:val="auto"/>
        </w:rPr>
        <w:tab/>
      </w:r>
      <w:r>
        <w:rPr>
          <w:rFonts w:ascii="Arial" w:cs="Arial" w:eastAsia="Arial" w:hAnsi="Arial"/>
          <w:sz w:val="18"/>
          <w:szCs w:val="18"/>
          <w:color w:val="auto"/>
        </w:rPr>
        <w:t>(Chairman) and</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95" w:lineRule="exact"/>
        <w:rPr>
          <w:sz w:val="20"/>
          <w:szCs w:val="20"/>
          <w:color w:val="auto"/>
        </w:rPr>
      </w:pPr>
    </w:p>
    <w:p>
      <w:pPr>
        <w:ind w:left="560" w:right="179" w:hanging="219"/>
        <w:spacing w:after="0" w:line="297" w:lineRule="auto"/>
        <w:tabs>
          <w:tab w:leader="none" w:pos="572" w:val="left"/>
        </w:tabs>
        <w:numPr>
          <w:ilvl w:val="0"/>
          <w:numId w:val="46"/>
        </w:numPr>
        <w:rPr>
          <w:rFonts w:ascii="Arial" w:cs="Arial" w:eastAsia="Arial" w:hAnsi="Arial"/>
          <w:sz w:val="19"/>
          <w:szCs w:val="19"/>
          <w:color w:val="auto"/>
        </w:rPr>
      </w:pPr>
      <w:r>
        <w:rPr>
          <w:rFonts w:ascii="Arial" w:cs="Arial" w:eastAsia="Arial" w:hAnsi="Arial"/>
          <w:sz w:val="16"/>
          <w:szCs w:val="16"/>
          <w:color w:val="auto"/>
        </w:rPr>
        <w:t>he or she meets the qualifications for being appointed as an external director, except for the requirement (i) that the director be an Israeli resident (which does not apply to companies such as ours whose securities have been offered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560" w:right="799"/>
        <w:spacing w:after="0" w:line="277" w:lineRule="auto"/>
        <w:rPr>
          <w:sz w:val="20"/>
          <w:szCs w:val="20"/>
          <w:color w:val="auto"/>
        </w:rPr>
      </w:pPr>
      <w:r>
        <w:rPr>
          <w:rFonts w:ascii="Arial" w:cs="Arial" w:eastAsia="Arial" w:hAnsi="Arial"/>
          <w:sz w:val="18"/>
          <w:szCs w:val="18"/>
          <w:color w:val="auto"/>
        </w:rPr>
        <w:t>outside of Israel or are listed for trading outside of Israel) and (ii) for accounting and financial expertise or professional qualifications; and</w:t>
      </w:r>
    </w:p>
    <w:p>
      <w:pPr>
        <w:spacing w:after="0" w:line="184" w:lineRule="exact"/>
        <w:rPr>
          <w:sz w:val="20"/>
          <w:szCs w:val="20"/>
          <w:color w:val="auto"/>
        </w:rPr>
      </w:pPr>
    </w:p>
    <w:p>
      <w:pPr>
        <w:jc w:val="both"/>
        <w:ind w:left="560" w:right="119" w:hanging="219"/>
        <w:spacing w:after="0" w:line="238" w:lineRule="auto"/>
        <w:tabs>
          <w:tab w:leader="none" w:pos="626" w:val="left"/>
        </w:tabs>
        <w:numPr>
          <w:ilvl w:val="0"/>
          <w:numId w:val="47"/>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left="120" w:right="419" w:firstLine="216"/>
        <w:spacing w:after="0" w:line="26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81"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All members of our audit committee will meet the requirements for financial literacy under the applicable rules and regulations of the Commission and NASDAQ corporate governance rules. Our board of directors has determined that is an audit committee financial expert as defined by the Commission rules and has the requisite financial experience as defined by NASDAQ corporate governance rules.</w:t>
      </w:r>
    </w:p>
    <w:p>
      <w:pPr>
        <w:spacing w:after="0" w:line="187" w:lineRule="exact"/>
        <w:rPr>
          <w:sz w:val="20"/>
          <w:szCs w:val="20"/>
          <w:color w:val="auto"/>
        </w:rPr>
      </w:pPr>
    </w:p>
    <w:p>
      <w:pPr>
        <w:ind w:left="120" w:right="199" w:firstLine="216"/>
        <w:spacing w:after="0" w:line="342" w:lineRule="auto"/>
        <w:rPr>
          <w:sz w:val="20"/>
          <w:szCs w:val="20"/>
          <w:color w:val="auto"/>
        </w:rPr>
      </w:pPr>
      <w:r>
        <w:rPr>
          <w:rFonts w:ascii="Arial" w:cs="Arial" w:eastAsia="Arial" w:hAnsi="Arial"/>
          <w:sz w:val="16"/>
          <w:szCs w:val="16"/>
          <w:color w:val="auto"/>
        </w:rPr>
        <w:t>Each of the members of our audit committee will be “independent” as such term is defined in Rule 10A-3(b)(1) under the Exchange Act and satisfies the independent director requirements under the NASDAQ Stock Market rules.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expect that our board of directors will adopt an audit committee charter to be effective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85" w:lineRule="exact"/>
        <w:rPr>
          <w:sz w:val="20"/>
          <w:szCs w:val="20"/>
          <w:color w:val="auto"/>
        </w:rPr>
      </w:pPr>
    </w:p>
    <w:p>
      <w:pPr>
        <w:ind w:left="560" w:right="239" w:hanging="219"/>
        <w:spacing w:after="0" w:line="238" w:lineRule="auto"/>
        <w:tabs>
          <w:tab w:leader="none" w:pos="572" w:val="left"/>
        </w:tabs>
        <w:numPr>
          <w:ilvl w:val="0"/>
          <w:numId w:val="48"/>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204"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jc w:val="both"/>
        <w:ind w:left="560" w:right="499" w:hanging="219"/>
        <w:spacing w:after="0" w:line="238"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16" w:lineRule="exact"/>
        <w:rPr>
          <w:rFonts w:ascii="Arial" w:cs="Arial" w:eastAsia="Arial" w:hAnsi="Arial"/>
          <w:sz w:val="22"/>
          <w:szCs w:val="22"/>
          <w:color w:val="auto"/>
        </w:rPr>
      </w:pPr>
    </w:p>
    <w:p>
      <w:pPr>
        <w:jc w:val="both"/>
        <w:ind w:left="560" w:right="219" w:hanging="219"/>
        <w:spacing w:after="0" w:line="238"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216" w:lineRule="exact"/>
        <w:rPr>
          <w:rFonts w:ascii="Arial" w:cs="Arial" w:eastAsia="Arial" w:hAnsi="Arial"/>
          <w:sz w:val="22"/>
          <w:szCs w:val="22"/>
          <w:color w:val="auto"/>
        </w:rPr>
      </w:pPr>
    </w:p>
    <w:p>
      <w:pPr>
        <w:ind w:left="560" w:right="179" w:hanging="219"/>
        <w:spacing w:after="0" w:line="238"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560" w:right="139" w:hanging="219"/>
        <w:spacing w:after="0" w:line="232" w:lineRule="auto"/>
        <w:tabs>
          <w:tab w:leader="none" w:pos="572" w:val="left"/>
        </w:tabs>
        <w:numPr>
          <w:ilvl w:val="0"/>
          <w:numId w:val="50"/>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7" w:lineRule="exact"/>
        <w:rPr>
          <w:rFonts w:ascii="Arial" w:cs="Arial" w:eastAsia="Arial" w:hAnsi="Arial"/>
          <w:sz w:val="22"/>
          <w:szCs w:val="22"/>
          <w:color w:val="auto"/>
        </w:rPr>
      </w:pPr>
    </w:p>
    <w:p>
      <w:pPr>
        <w:ind w:left="560" w:right="159" w:hanging="219"/>
        <w:spacing w:after="0" w:line="232" w:lineRule="auto"/>
        <w:tabs>
          <w:tab w:leader="none" w:pos="572" w:val="left"/>
        </w:tabs>
        <w:numPr>
          <w:ilvl w:val="0"/>
          <w:numId w:val="50"/>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217" w:lineRule="exact"/>
        <w:rPr>
          <w:rFonts w:ascii="Arial" w:cs="Arial" w:eastAsia="Arial" w:hAnsi="Arial"/>
          <w:sz w:val="22"/>
          <w:szCs w:val="22"/>
          <w:color w:val="auto"/>
        </w:rPr>
      </w:pPr>
    </w:p>
    <w:p>
      <w:pPr>
        <w:ind w:left="560" w:right="139" w:hanging="219"/>
        <w:spacing w:after="0" w:line="238" w:lineRule="auto"/>
        <w:tabs>
          <w:tab w:leader="none" w:pos="572" w:val="left"/>
        </w:tabs>
        <w:numPr>
          <w:ilvl w:val="0"/>
          <w:numId w:val="50"/>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50"/>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04"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listing of our ordinary shares on the NASDAQ Global Market, our compensation committee will</w:t>
      </w:r>
    </w:p>
    <w:p>
      <w:pPr>
        <w:spacing w:after="0" w:line="35" w:lineRule="exact"/>
        <w:rPr>
          <w:sz w:val="20"/>
          <w:szCs w:val="20"/>
          <w:color w:val="auto"/>
        </w:rPr>
      </w:pPr>
    </w:p>
    <w:p>
      <w:pPr>
        <w:ind w:left="120"/>
        <w:spacing w:after="0"/>
        <w:tabs>
          <w:tab w:leader="none" w:pos="1240" w:val="left"/>
          <w:tab w:leader="none" w:pos="2620" w:val="left"/>
          <w:tab w:leader="none" w:pos="3380" w:val="left"/>
        </w:tabs>
        <w:rPr>
          <w:sz w:val="20"/>
          <w:szCs w:val="20"/>
          <w:color w:val="auto"/>
        </w:rPr>
      </w:pPr>
      <w:r>
        <w:rPr>
          <w:rFonts w:ascii="Arial" w:cs="Arial" w:eastAsia="Arial" w:hAnsi="Arial"/>
          <w:sz w:val="18"/>
          <w:szCs w:val="18"/>
          <w:color w:val="auto"/>
        </w:rPr>
        <w:t>consist of</w:t>
      </w:r>
      <w:r>
        <w:rPr>
          <w:sz w:val="20"/>
          <w:szCs w:val="20"/>
          <w:color w:val="auto"/>
        </w:rPr>
        <w:tab/>
      </w: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73"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9" w:name="page80"/>
    <w:bookmarkEnd w:id="79"/>
    <w:p>
      <w:pPr>
        <w:ind w:left="120" w:right="219" w:firstLine="216"/>
        <w:spacing w:after="0" w:line="302" w:lineRule="auto"/>
        <w:rPr>
          <w:sz w:val="20"/>
          <w:szCs w:val="20"/>
          <w:color w:val="auto"/>
        </w:rPr>
      </w:pPr>
      <w:r>
        <w:rPr>
          <w:rFonts w:ascii="Arial" w:cs="Arial" w:eastAsia="Arial" w:hAnsi="Arial"/>
          <w:sz w:val="16"/>
          <w:szCs w:val="16"/>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68" w:lineRule="exact"/>
        <w:rPr>
          <w:sz w:val="20"/>
          <w:szCs w:val="20"/>
          <w:color w:val="auto"/>
        </w:rPr>
      </w:pPr>
    </w:p>
    <w:p>
      <w:pPr>
        <w:ind w:left="560" w:right="399" w:hanging="219"/>
        <w:spacing w:after="0" w:line="238" w:lineRule="auto"/>
        <w:tabs>
          <w:tab w:leader="none" w:pos="572"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216" w:lineRule="exact"/>
        <w:rPr>
          <w:rFonts w:ascii="Arial" w:cs="Arial" w:eastAsia="Arial" w:hAnsi="Arial"/>
          <w:sz w:val="22"/>
          <w:szCs w:val="22"/>
          <w:color w:val="auto"/>
        </w:rPr>
      </w:pPr>
    </w:p>
    <w:p>
      <w:pPr>
        <w:ind w:left="560" w:right="179" w:hanging="219"/>
        <w:spacing w:after="0" w:line="232" w:lineRule="auto"/>
        <w:tabs>
          <w:tab w:leader="none" w:pos="572"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217" w:lineRule="exact"/>
        <w:rPr>
          <w:rFonts w:ascii="Arial" w:cs="Arial" w:eastAsia="Arial" w:hAnsi="Arial"/>
          <w:sz w:val="22"/>
          <w:szCs w:val="22"/>
          <w:color w:val="auto"/>
        </w:rPr>
      </w:pPr>
    </w:p>
    <w:p>
      <w:pPr>
        <w:ind w:left="560" w:right="859" w:hanging="219"/>
        <w:spacing w:after="0" w:line="232" w:lineRule="auto"/>
        <w:tabs>
          <w:tab w:leader="none" w:pos="572" w:val="left"/>
        </w:tabs>
        <w:numPr>
          <w:ilvl w:val="0"/>
          <w:numId w:val="51"/>
        </w:numPr>
        <w:rPr>
          <w:rFonts w:ascii="Arial" w:cs="Arial" w:eastAsia="Arial" w:hAnsi="Arial"/>
          <w:sz w:val="22"/>
          <w:szCs w:val="22"/>
          <w:color w:val="auto"/>
        </w:rPr>
      </w:pPr>
      <w:r>
        <w:rPr>
          <w:rFonts w:ascii="Arial" w:cs="Arial" w:eastAsia="Arial" w:hAnsi="Arial"/>
          <w:sz w:val="18"/>
          <w:szCs w:val="18"/>
          <w:color w:val="auto"/>
        </w:rPr>
        <w:t>approving compensation terms of executive officers, directors and employees that require approval of the compensation committee;</w:t>
      </w:r>
    </w:p>
    <w:p>
      <w:pPr>
        <w:spacing w:after="0" w:line="217" w:lineRule="exact"/>
        <w:rPr>
          <w:rFonts w:ascii="Arial" w:cs="Arial" w:eastAsia="Arial" w:hAnsi="Arial"/>
          <w:sz w:val="22"/>
          <w:szCs w:val="22"/>
          <w:color w:val="auto"/>
        </w:rPr>
      </w:pPr>
    </w:p>
    <w:p>
      <w:pPr>
        <w:ind w:left="560" w:right="559" w:hanging="219"/>
        <w:spacing w:after="0" w:line="238" w:lineRule="auto"/>
        <w:tabs>
          <w:tab w:leader="none" w:pos="572" w:val="left"/>
        </w:tabs>
        <w:numPr>
          <w:ilvl w:val="0"/>
          <w:numId w:val="51"/>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51"/>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12" w:lineRule="exact"/>
        <w:rPr>
          <w:sz w:val="20"/>
          <w:szCs w:val="20"/>
          <w:color w:val="auto"/>
        </w:rPr>
      </w:pPr>
    </w:p>
    <w:p>
      <w:pPr>
        <w:ind w:left="120" w:right="139" w:firstLine="216"/>
        <w:spacing w:after="0" w:line="302" w:lineRule="auto"/>
        <w:rPr>
          <w:sz w:val="20"/>
          <w:szCs w:val="20"/>
          <w:color w:val="auto"/>
        </w:rPr>
      </w:pPr>
      <w:r>
        <w:rPr>
          <w:rFonts w:ascii="Arial" w:cs="Arial" w:eastAsia="Arial" w:hAnsi="Arial"/>
          <w:sz w:val="16"/>
          <w:szCs w:val="16"/>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ind w:left="120" w:right="339" w:firstLine="216"/>
        <w:spacing w:after="0" w:line="342" w:lineRule="auto"/>
        <w:rPr>
          <w:sz w:val="20"/>
          <w:szCs w:val="20"/>
          <w:color w:val="auto"/>
        </w:rPr>
      </w:pPr>
      <w:r>
        <w:rPr>
          <w:rFonts w:ascii="Arial" w:cs="Arial" w:eastAsia="Arial" w:hAnsi="Arial"/>
          <w:sz w:val="16"/>
          <w:szCs w:val="16"/>
          <w:color w:val="auto"/>
        </w:rPr>
        <w:t>Our board of directors will adopt a compensation committee charter to be effective upon the listing of our shares on the NASDAQ Stock Market setting forth the responsibilities of the compensation committee, which include:</w:t>
      </w:r>
    </w:p>
    <w:p>
      <w:pPr>
        <w:spacing w:after="0" w:line="101" w:lineRule="exact"/>
        <w:rPr>
          <w:sz w:val="20"/>
          <w:szCs w:val="20"/>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215" w:lineRule="exact"/>
        <w:rPr>
          <w:rFonts w:ascii="Arial" w:cs="Arial" w:eastAsia="Arial" w:hAnsi="Arial"/>
          <w:sz w:val="22"/>
          <w:szCs w:val="22"/>
          <w:color w:val="auto"/>
        </w:rPr>
      </w:pPr>
    </w:p>
    <w:p>
      <w:pPr>
        <w:ind w:left="560" w:right="819" w:hanging="219"/>
        <w:spacing w:after="0" w:line="232" w:lineRule="auto"/>
        <w:tabs>
          <w:tab w:leader="none" w:pos="572"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94"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listing of our ordinary shares on the NASDAQ Global Market, our nominating and governance</w:t>
      </w:r>
    </w:p>
    <w:p>
      <w:pPr>
        <w:spacing w:after="0" w:line="23" w:lineRule="exact"/>
        <w:rPr>
          <w:sz w:val="20"/>
          <w:szCs w:val="20"/>
          <w:color w:val="auto"/>
        </w:rPr>
      </w:pPr>
    </w:p>
    <w:p>
      <w:pPr>
        <w:ind w:left="120" w:right="199"/>
        <w:spacing w:after="0" w:line="255" w:lineRule="auto"/>
        <w:rPr>
          <w:sz w:val="20"/>
          <w:szCs w:val="20"/>
          <w:color w:val="auto"/>
        </w:rPr>
      </w:pPr>
      <w:r>
        <w:rPr>
          <w:rFonts w:ascii="Arial" w:cs="Arial" w:eastAsia="Arial" w:hAnsi="Arial"/>
          <w:sz w:val="18"/>
          <w:szCs w:val="18"/>
          <w:color w:val="auto"/>
        </w:rPr>
        <w:t>committee will consist of (Chairman), and . Our board of directors will adopt a nominating and governance committee charter to be effective upon the listing of our shares on the NASDAQ Global Market setting forth the responsibilities of the nominating and governance committee, which include:</w:t>
      </w:r>
    </w:p>
    <w:p>
      <w:pPr>
        <w:spacing w:after="0" w:line="168" w:lineRule="exact"/>
        <w:rPr>
          <w:sz w:val="20"/>
          <w:szCs w:val="20"/>
          <w:color w:val="auto"/>
        </w:rPr>
      </w:pPr>
    </w:p>
    <w:p>
      <w:pPr>
        <w:ind w:left="560" w:hanging="219"/>
        <w:spacing w:after="0"/>
        <w:tabs>
          <w:tab w:leader="none" w:pos="5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overseeing and assisting our board in reviewing and recommending nominees for election as directors;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assessing the performance of the members of our board; and</w:t>
      </w:r>
    </w:p>
    <w:p>
      <w:pPr>
        <w:spacing w:after="0" w:line="215" w:lineRule="exact"/>
        <w:rPr>
          <w:rFonts w:ascii="Arial" w:cs="Arial" w:eastAsia="Arial" w:hAnsi="Arial"/>
          <w:sz w:val="22"/>
          <w:szCs w:val="22"/>
          <w:color w:val="auto"/>
        </w:rPr>
      </w:pPr>
    </w:p>
    <w:p>
      <w:pPr>
        <w:ind w:left="560" w:right="119" w:hanging="219"/>
        <w:spacing w:after="0" w:line="297" w:lineRule="auto"/>
        <w:tabs>
          <w:tab w:leader="none" w:pos="613" w:val="left"/>
        </w:tabs>
        <w:numPr>
          <w:ilvl w:val="0"/>
          <w:numId w:val="53"/>
        </w:numPr>
        <w:rPr>
          <w:rFonts w:ascii="Arial" w:cs="Arial" w:eastAsia="Arial" w:hAnsi="Arial"/>
          <w:sz w:val="19"/>
          <w:szCs w:val="19"/>
          <w:color w:val="auto"/>
        </w:rPr>
      </w:pPr>
      <w:r>
        <w:rPr>
          <w:rFonts w:ascii="Arial" w:cs="Arial" w:eastAsia="Arial" w:hAnsi="Arial"/>
          <w:sz w:val="16"/>
          <w:szCs w:val="16"/>
          <w:color w:val="auto"/>
        </w:rPr>
        <w:t>establishing and maintaining effective corporate governance policies and practices, including, but not limited to, developing and recommending to our board a set of corporate governance guidelines applicable to our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1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12" w:lineRule="exact"/>
        <w:rPr>
          <w:sz w:val="20"/>
          <w:szCs w:val="20"/>
          <w:color w:val="auto"/>
        </w:rPr>
      </w:pPr>
    </w:p>
    <w:p>
      <w:pPr>
        <w:ind w:left="120" w:right="339" w:firstLine="216"/>
        <w:spacing w:after="0" w:line="297" w:lineRule="auto"/>
        <w:rPr>
          <w:sz w:val="20"/>
          <w:szCs w:val="20"/>
          <w:color w:val="auto"/>
        </w:rPr>
      </w:pPr>
      <w:r>
        <w:rPr>
          <w:rFonts w:ascii="Arial" w:cs="Arial" w:eastAsia="Arial" w:hAnsi="Arial"/>
          <w:sz w:val="16"/>
          <w:szCs w:val="16"/>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45" w:lineRule="exact"/>
        <w:rPr>
          <w:sz w:val="20"/>
          <w:szCs w:val="20"/>
          <w:color w:val="auto"/>
        </w:rPr>
      </w:pPr>
    </w:p>
    <w:p>
      <w:pPr>
        <w:ind w:left="120" w:right="199" w:firstLine="216"/>
        <w:spacing w:after="0" w:line="26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81"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 xml:space="preserve">Under the Israeli Companies Law, the board of directors of an Israeli public company must appoint an internal auditor </w:t>
      </w:r>
      <w:r>
        <w:rPr>
          <w:rFonts w:ascii="Arial" w:cs="Arial" w:eastAsia="Arial" w:hAnsi="Arial"/>
          <w:sz w:val="18"/>
          <w:szCs w:val="18"/>
          <w:color w:val="231F20"/>
        </w:rPr>
        <w:t xml:space="preserve">recommended </w:t>
      </w:r>
      <w:r>
        <w:rPr>
          <w:rFonts w:ascii="Arial" w:cs="Arial" w:eastAsia="Arial" w:hAnsi="Arial"/>
          <w:sz w:val="18"/>
          <w:szCs w:val="18"/>
          <w:color w:val="000000"/>
        </w:rPr>
        <w:t>by the audit committee. An internal auditor may not be:</w:t>
      </w:r>
    </w:p>
    <w:p>
      <w:pPr>
        <w:spacing w:after="0" w:line="184" w:lineRule="exact"/>
        <w:rPr>
          <w:sz w:val="20"/>
          <w:szCs w:val="20"/>
          <w:color w:val="auto"/>
        </w:rPr>
      </w:pPr>
    </w:p>
    <w:p>
      <w:pPr>
        <w:ind w:left="560" w:hanging="219"/>
        <w:spacing w:after="0"/>
        <w:tabs>
          <w:tab w:leader="none" w:pos="560" w:val="left"/>
        </w:tabs>
        <w:numPr>
          <w:ilvl w:val="0"/>
          <w:numId w:val="54"/>
        </w:numPr>
        <w:rPr>
          <w:rFonts w:ascii="Arial" w:cs="Arial" w:eastAsia="Arial" w:hAnsi="Arial"/>
          <w:sz w:val="19"/>
          <w:szCs w:val="19"/>
          <w:color w:val="auto"/>
        </w:rPr>
      </w:pPr>
      <w:r>
        <w:rPr>
          <w:rFonts w:ascii="Arial" w:cs="Arial" w:eastAsia="Arial" w:hAnsi="Arial"/>
          <w:sz w:val="16"/>
          <w:szCs w:val="16"/>
          <w:color w:val="auto"/>
        </w:rPr>
        <w:t>a person (or a relative of a person) who holds 5% or more of the company’s outstanding shares or voting rights;</w:t>
      </w:r>
    </w:p>
    <w:p>
      <w:pPr>
        <w:spacing w:after="0" w:line="227" w:lineRule="exact"/>
        <w:rPr>
          <w:rFonts w:ascii="Arial" w:cs="Arial" w:eastAsia="Arial" w:hAnsi="Arial"/>
          <w:sz w:val="19"/>
          <w:szCs w:val="19"/>
          <w:color w:val="auto"/>
        </w:rPr>
      </w:pPr>
    </w:p>
    <w:p>
      <w:pPr>
        <w:ind w:left="560" w:hanging="219"/>
        <w:spacing w:after="0"/>
        <w:tabs>
          <w:tab w:leader="none" w:pos="560" w:val="left"/>
        </w:tabs>
        <w:numPr>
          <w:ilvl w:val="0"/>
          <w:numId w:val="54"/>
        </w:numPr>
        <w:rPr>
          <w:rFonts w:ascii="Arial" w:cs="Arial" w:eastAsia="Arial" w:hAnsi="Arial"/>
          <w:sz w:val="19"/>
          <w:szCs w:val="19"/>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an office holder (including a director) of the company (or a relative thereof);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202" w:lineRule="exact"/>
        <w:rPr>
          <w:sz w:val="20"/>
          <w:szCs w:val="20"/>
          <w:color w:val="auto"/>
        </w:rPr>
      </w:pPr>
    </w:p>
    <w:p>
      <w:pPr>
        <w:ind w:left="120" w:right="319" w:firstLine="21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left="120" w:right="319" w:firstLine="216"/>
        <w:spacing w:after="0" w:line="342"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120" w:right="159" w:firstLine="216"/>
        <w:spacing w:after="0" w:line="259"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color w:val="231F20"/>
        </w:rPr>
        <w:t>office</w:t>
      </w:r>
      <w:r>
        <w:rPr>
          <w:rFonts w:ascii="Arial" w:cs="Arial" w:eastAsia="Arial" w:hAnsi="Arial"/>
          <w:sz w:val="18"/>
          <w:szCs w:val="18"/>
          <w:color w:val="auto"/>
        </w:rPr>
        <w:t xml:space="preserv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duty of care </w:t>
      </w:r>
      <w:r>
        <w:rPr>
          <w:rFonts w:ascii="Arial" w:cs="Arial" w:eastAsia="Arial" w:hAnsi="Arial"/>
          <w:sz w:val="18"/>
          <w:szCs w:val="18"/>
          <w:color w:val="231F20"/>
        </w:rPr>
        <w:t>includes</w:t>
      </w:r>
      <w:r>
        <w:rPr>
          <w:rFonts w:ascii="Arial" w:cs="Arial" w:eastAsia="Arial" w:hAnsi="Arial"/>
          <w:sz w:val="18"/>
          <w:szCs w:val="18"/>
          <w:color w:val="auto"/>
        </w:rPr>
        <w:t xml:space="preserve"> a duty to use reasonable means to obtain:</w:t>
      </w:r>
    </w:p>
    <w:p>
      <w:pPr>
        <w:spacing w:after="0" w:line="239" w:lineRule="exact"/>
        <w:rPr>
          <w:sz w:val="20"/>
          <w:szCs w:val="20"/>
          <w:color w:val="auto"/>
        </w:rPr>
      </w:pPr>
    </w:p>
    <w:p>
      <w:pPr>
        <w:ind w:left="560" w:right="119" w:hanging="219"/>
        <w:spacing w:after="0" w:line="232" w:lineRule="auto"/>
        <w:tabs>
          <w:tab w:leader="none" w:pos="572" w:val="left"/>
        </w:tabs>
        <w:numPr>
          <w:ilvl w:val="0"/>
          <w:numId w:val="55"/>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5"/>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459" w:hanging="219"/>
        <w:spacing w:after="0" w:line="232" w:lineRule="auto"/>
        <w:tabs>
          <w:tab w:leader="none" w:pos="572" w:val="left"/>
        </w:tabs>
        <w:numPr>
          <w:ilvl w:val="0"/>
          <w:numId w:val="56"/>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215" w:lineRule="exact"/>
        <w:rPr>
          <w:rFonts w:ascii="Arial" w:cs="Arial" w:eastAsia="Arial" w:hAnsi="Arial"/>
          <w:sz w:val="22"/>
          <w:szCs w:val="22"/>
          <w:color w:val="auto"/>
        </w:rPr>
      </w:pPr>
    </w:p>
    <w:p>
      <w:pPr>
        <w:ind w:left="560" w:right="139" w:hanging="219"/>
        <w:spacing w:after="0" w:line="232" w:lineRule="auto"/>
        <w:tabs>
          <w:tab w:leader="none" w:pos="572" w:val="left"/>
        </w:tabs>
        <w:numPr>
          <w:ilvl w:val="0"/>
          <w:numId w:val="56"/>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13" w:val="left"/>
        </w:tabs>
        <w:numPr>
          <w:ilvl w:val="0"/>
          <w:numId w:val="56"/>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 xml:space="preserve">The Israeli Companies Law requires that an office holder promptly disclose to the board of directors any personal interest that he or she may be aware of and all related material information or documents concerning any existing or proposed </w:t>
      </w:r>
      <w:r>
        <w:rPr>
          <w:rFonts w:ascii="Arial" w:cs="Arial" w:eastAsia="Arial" w:hAnsi="Arial"/>
          <w:sz w:val="17"/>
          <w:szCs w:val="17"/>
          <w:color w:val="231F20"/>
        </w:rPr>
        <w:t>transaction</w:t>
      </w:r>
      <w:r>
        <w:rPr>
          <w:rFonts w:ascii="Arial" w:cs="Arial" w:eastAsia="Arial" w:hAnsi="Arial"/>
          <w:sz w:val="17"/>
          <w:szCs w:val="17"/>
          <w:color w:val="auto"/>
        </w:rPr>
        <w:t xml:space="preserve">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84" w:lineRule="exact"/>
        <w:rPr>
          <w:sz w:val="20"/>
          <w:szCs w:val="20"/>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pacing w:after="0" w:line="20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 xml:space="preserve">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w:t>
      </w:r>
      <w:r>
        <w:rPr>
          <w:rFonts w:ascii="Arial" w:cs="Arial" w:eastAsia="Arial" w:hAnsi="Arial"/>
          <w:sz w:val="17"/>
          <w:szCs w:val="17"/>
          <w:color w:val="231F20"/>
        </w:rPr>
        <w:t>company’s</w:t>
      </w:r>
      <w:r>
        <w:rPr>
          <w:rFonts w:ascii="Arial" w:cs="Arial" w:eastAsia="Arial" w:hAnsi="Arial"/>
          <w:sz w:val="17"/>
          <w:szCs w:val="17"/>
          <w:color w:val="auto"/>
        </w:rPr>
        <w:t xml:space="preserve"> compensation committee, then by the company’s board of directors. If such compensation arrangement or an undertaking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120" w:right="319"/>
        <w:spacing w:after="0" w:line="276" w:lineRule="auto"/>
        <w:rPr>
          <w:sz w:val="20"/>
          <w:szCs w:val="20"/>
          <w:color w:val="auto"/>
        </w:rPr>
      </w:pPr>
      <w:r>
        <w:rPr>
          <w:rFonts w:ascii="Arial" w:cs="Arial" w:eastAsia="Arial" w:hAnsi="Arial"/>
          <w:sz w:val="17"/>
          <w:szCs w:val="17"/>
          <w:color w:val="auto"/>
        </w:rPr>
        <w:t>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 xml:space="preserve">Generally, a person who has a personal interest in a matter which is considered at a meeting of the board of directors or the audit committee may not be present at such a meeting or vote on that matter unless the chairman of the relevant </w:t>
      </w:r>
      <w:r>
        <w:rPr>
          <w:rFonts w:ascii="Arial" w:cs="Arial" w:eastAsia="Arial" w:hAnsi="Arial"/>
          <w:sz w:val="17"/>
          <w:szCs w:val="17"/>
          <w:color w:val="231F20"/>
        </w:rPr>
        <w:t xml:space="preserve">committee </w:t>
      </w:r>
      <w:r>
        <w:rPr>
          <w:rFonts w:ascii="Arial" w:cs="Arial" w:eastAsia="Arial" w:hAnsi="Arial"/>
          <w:sz w:val="17"/>
          <w:szCs w:val="17"/>
          <w:color w:val="000000"/>
        </w:rPr>
        <w:t>or board of directors (as applicable) determines that he or she should be present in order to present the</w:t>
      </w:r>
      <w:r>
        <w:rPr>
          <w:rFonts w:ascii="Arial" w:cs="Arial" w:eastAsia="Arial" w:hAnsi="Arial"/>
          <w:sz w:val="17"/>
          <w:szCs w:val="17"/>
          <w:color w:val="231F20"/>
        </w:rPr>
        <w:t xml:space="preserve"> </w:t>
      </w:r>
      <w:r>
        <w:rPr>
          <w:rFonts w:ascii="Arial" w:cs="Arial" w:eastAsia="Arial" w:hAnsi="Arial"/>
          <w:sz w:val="17"/>
          <w:szCs w:val="17"/>
          <w:color w:val="000000"/>
        </w:rPr>
        <w:t>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left="120" w:right="199" w:firstLine="216"/>
        <w:spacing w:after="0" w:line="283" w:lineRule="auto"/>
        <w:rPr>
          <w:sz w:val="20"/>
          <w:szCs w:val="20"/>
          <w:color w:val="auto"/>
        </w:rPr>
      </w:pPr>
      <w:r>
        <w:rPr>
          <w:rFonts w:ascii="Arial" w:cs="Arial" w:eastAsia="Arial" w:hAnsi="Arial"/>
          <w:sz w:val="16"/>
          <w:szCs w:val="16"/>
          <w:color w:val="auto"/>
        </w:rPr>
        <w:t xml:space="preserve">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w:t>
      </w:r>
      <w:r>
        <w:rPr>
          <w:rFonts w:ascii="Arial" w:cs="Arial" w:eastAsia="Arial" w:hAnsi="Arial"/>
          <w:sz w:val="16"/>
          <w:szCs w:val="16"/>
          <w:color w:val="231F20"/>
        </w:rPr>
        <w:t>holdings</w:t>
      </w:r>
      <w:r>
        <w:rPr>
          <w:rFonts w:ascii="Arial" w:cs="Arial" w:eastAsia="Arial" w:hAnsi="Arial"/>
          <w:sz w:val="16"/>
          <w:szCs w:val="16"/>
          <w:color w:val="auto"/>
        </w:rPr>
        <w:t xml:space="preserve">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7" w:lineRule="exact"/>
        <w:rPr>
          <w:sz w:val="20"/>
          <w:szCs w:val="20"/>
          <w:color w:val="auto"/>
        </w:rPr>
      </w:pPr>
    </w:p>
    <w:p>
      <w:pPr>
        <w:ind w:left="120" w:right="139" w:firstLine="5"/>
        <w:spacing w:after="0" w:line="302" w:lineRule="auto"/>
        <w:tabs>
          <w:tab w:leader="none" w:pos="3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8" w:lineRule="exact"/>
        <w:rPr>
          <w:rFonts w:ascii="Arial" w:cs="Arial" w:eastAsia="Arial" w:hAnsi="Arial"/>
          <w:sz w:val="16"/>
          <w:szCs w:val="16"/>
          <w:color w:val="auto"/>
        </w:rPr>
      </w:pPr>
    </w:p>
    <w:p>
      <w:pPr>
        <w:ind w:left="560" w:right="259" w:hanging="219"/>
        <w:spacing w:after="0" w:line="297" w:lineRule="auto"/>
        <w:tabs>
          <w:tab w:leader="none" w:pos="572" w:val="left"/>
        </w:tabs>
        <w:numPr>
          <w:ilvl w:val="1"/>
          <w:numId w:val="58"/>
        </w:numPr>
        <w:rPr>
          <w:rFonts w:ascii="Arial" w:cs="Arial" w:eastAsia="Arial" w:hAnsi="Arial"/>
          <w:sz w:val="19"/>
          <w:szCs w:val="19"/>
          <w:color w:val="auto"/>
        </w:rPr>
      </w:pPr>
      <w:r>
        <w:rPr>
          <w:rFonts w:ascii="Arial" w:cs="Arial" w:eastAsia="Arial" w:hAnsi="Arial"/>
          <w:sz w:val="16"/>
          <w:szCs w:val="16"/>
          <w:color w:val="auto"/>
        </w:rPr>
        <w:t>at least a majority of the shares held by all shareholders who do not have a personal interest in the transaction and who are present and voting at the meeting approves the transaction, excluding abstentions; or</w:t>
      </w:r>
    </w:p>
    <w:p>
      <w:pPr>
        <w:spacing w:after="0" w:line="163" w:lineRule="exact"/>
        <w:rPr>
          <w:rFonts w:ascii="Arial" w:cs="Arial" w:eastAsia="Arial" w:hAnsi="Arial"/>
          <w:sz w:val="19"/>
          <w:szCs w:val="19"/>
          <w:color w:val="auto"/>
        </w:rPr>
      </w:pPr>
    </w:p>
    <w:p>
      <w:pPr>
        <w:ind w:left="560" w:right="119" w:hanging="219"/>
        <w:spacing w:after="0" w:line="251" w:lineRule="auto"/>
        <w:tabs>
          <w:tab w:leader="none" w:pos="586" w:val="left"/>
        </w:tabs>
        <w:numPr>
          <w:ilvl w:val="1"/>
          <w:numId w:val="58"/>
        </w:numPr>
        <w:rPr>
          <w:rFonts w:ascii="Arial" w:cs="Arial" w:eastAsia="Arial" w:hAnsi="Arial"/>
          <w:sz w:val="21"/>
          <w:szCs w:val="21"/>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voting rights in the company.</w:t>
      </w:r>
    </w:p>
    <w:p>
      <w:pPr>
        <w:spacing w:after="0" w:line="191" w:lineRule="exact"/>
        <w:rPr>
          <w:sz w:val="20"/>
          <w:szCs w:val="20"/>
          <w:color w:val="auto"/>
        </w:rPr>
      </w:pPr>
    </w:p>
    <w:p>
      <w:pPr>
        <w:ind w:left="120" w:right="319" w:firstLine="216"/>
        <w:spacing w:after="0" w:line="286" w:lineRule="auto"/>
        <w:rPr>
          <w:sz w:val="20"/>
          <w:szCs w:val="20"/>
          <w:color w:val="auto"/>
        </w:rPr>
      </w:pPr>
      <w:r>
        <w:rPr>
          <w:rFonts w:ascii="Arial" w:cs="Arial" w:eastAsia="Arial" w:hAnsi="Arial"/>
          <w:sz w:val="17"/>
          <w:szCs w:val="17"/>
          <w:color w:val="auto"/>
        </w:rPr>
        <w:t xml:space="preserve">To the extent that any such transaction with a controlling shareholder is for a period extending beyond three years, approval is </w:t>
      </w:r>
      <w:r>
        <w:rPr>
          <w:rFonts w:ascii="Arial" w:cs="Arial" w:eastAsia="Arial" w:hAnsi="Arial"/>
          <w:sz w:val="17"/>
          <w:szCs w:val="17"/>
          <w:color w:val="231F20"/>
        </w:rPr>
        <w:t>required</w:t>
      </w:r>
      <w:r>
        <w:rPr>
          <w:rFonts w:ascii="Arial" w:cs="Arial" w:eastAsia="Arial" w:hAnsi="Arial"/>
          <w:sz w:val="17"/>
          <w:szCs w:val="17"/>
          <w:color w:val="auto"/>
        </w:rPr>
        <w:t xml:space="preserve"> once every three years, unless, with respect to certain transactions, the audit committee determines that the duration of the transaction is reasonable given the circumstances related thereto.</w:t>
      </w:r>
    </w:p>
    <w:p>
      <w:pPr>
        <w:spacing w:after="0" w:line="166"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7"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color w:val="231F20"/>
        </w:rPr>
        <w:t>regulations</w:t>
      </w:r>
      <w:r>
        <w:rPr>
          <w:rFonts w:ascii="Arial" w:cs="Arial" w:eastAsia="Arial" w:hAnsi="Arial"/>
          <w:sz w:val="18"/>
          <w:szCs w:val="18"/>
          <w:color w:val="auto"/>
        </w:rPr>
        <w:t xml:space="preserve"> promulgated under the Israeli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w:t>
      </w:r>
      <w:r>
        <w:rPr>
          <w:rFonts w:ascii="Arial" w:cs="Arial" w:eastAsia="Arial" w:hAnsi="Arial"/>
          <w:sz w:val="18"/>
          <w:szCs w:val="18"/>
          <w:color w:val="231F20"/>
        </w:rPr>
        <w:t xml:space="preserve">company </w:t>
      </w:r>
      <w:r>
        <w:rPr>
          <w:rFonts w:ascii="Arial" w:cs="Arial" w:eastAsia="Arial" w:hAnsi="Arial"/>
          <w:sz w:val="18"/>
          <w:szCs w:val="18"/>
          <w:color w:val="000000"/>
        </w:rPr>
        <w:t>may require, within 14 days of the publication of such determinations, that despite such determinations by</w:t>
      </w:r>
      <w:r>
        <w:rPr>
          <w:rFonts w:ascii="Arial" w:cs="Arial" w:eastAsia="Arial" w:hAnsi="Arial"/>
          <w:sz w:val="18"/>
          <w:szCs w:val="18"/>
          <w:color w:val="231F20"/>
        </w:rPr>
        <w:t xml:space="preserve"> </w:t>
      </w:r>
      <w:r>
        <w:rPr>
          <w:rFonts w:ascii="Arial" w:cs="Arial" w:eastAsia="Arial" w:hAnsi="Arial"/>
          <w:sz w:val="18"/>
          <w:szCs w:val="18"/>
          <w:color w:val="000000"/>
        </w:rPr>
        <w:t>the audit committee and the board of directors, such transaction will require shareholder approval under the same majority requirements that would otherwise apply to such transactions.</w:t>
      </w:r>
    </w:p>
    <w:p>
      <w:pPr>
        <w:spacing w:after="0" w:line="189" w:lineRule="exact"/>
        <w:rPr>
          <w:sz w:val="20"/>
          <w:szCs w:val="20"/>
          <w:color w:val="auto"/>
        </w:rPr>
      </w:pPr>
    </w:p>
    <w:p>
      <w:pPr>
        <w:ind w:left="120" w:right="359" w:firstLine="216"/>
        <w:spacing w:after="0" w:line="308" w:lineRule="auto"/>
        <w:rPr>
          <w:sz w:val="20"/>
          <w:szCs w:val="20"/>
          <w:color w:val="auto"/>
        </w:rPr>
      </w:pPr>
      <w:r>
        <w:rPr>
          <w:rFonts w:ascii="Arial" w:cs="Arial" w:eastAsia="Arial" w:hAnsi="Arial"/>
          <w:sz w:val="17"/>
          <w:szCs w:val="17"/>
          <w:color w:val="auto"/>
        </w:rPr>
        <w:t>We expect that following this offering, Fortissimo Capital, which prior to this offering beneficially owned 69.6% of our ordinary shares, will be a controlling shareholder, although this status may change in the future.</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1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8" w:lineRule="exact"/>
        <w:rPr>
          <w:sz w:val="20"/>
          <w:szCs w:val="20"/>
          <w:color w:val="auto"/>
        </w:rPr>
      </w:pPr>
    </w:p>
    <w:p>
      <w:pPr>
        <w:ind w:left="560" w:hanging="219"/>
        <w:spacing w:after="0"/>
        <w:tabs>
          <w:tab w:leader="none" w:pos="5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215" w:lineRule="exact"/>
        <w:rPr>
          <w:rFonts w:ascii="Arial" w:cs="Arial" w:eastAsia="Arial" w:hAnsi="Arial"/>
          <w:sz w:val="22"/>
          <w:szCs w:val="22"/>
          <w:color w:val="auto"/>
        </w:rPr>
      </w:pPr>
    </w:p>
    <w:p>
      <w:pPr>
        <w:ind w:left="340" w:right="1179" w:firstLine="1"/>
        <w:spacing w:after="0" w:line="515" w:lineRule="auto"/>
        <w:tabs>
          <w:tab w:leader="none" w:pos="569" w:val="left"/>
        </w:tabs>
        <w:numPr>
          <w:ilvl w:val="0"/>
          <w:numId w:val="59"/>
        </w:numPr>
        <w:rPr>
          <w:rFonts w:ascii="Arial" w:cs="Arial" w:eastAsia="Arial" w:hAnsi="Arial"/>
          <w:sz w:val="19"/>
          <w:szCs w:val="19"/>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 xml:space="preserve">In addition, certain shareholders have a duty of fairness toward the company. These shareholders include any controlling shareholder, any shareholder who knows that he or she has the power to determine the outcome of a shareholder vote </w:t>
      </w:r>
      <w:r>
        <w:rPr>
          <w:rFonts w:ascii="Arial" w:cs="Arial" w:eastAsia="Arial" w:hAnsi="Arial"/>
          <w:sz w:val="18"/>
          <w:szCs w:val="18"/>
          <w:color w:val="231F20"/>
        </w:rPr>
        <w:t>and</w:t>
      </w:r>
      <w:r>
        <w:rPr>
          <w:rFonts w:ascii="Arial" w:cs="Arial" w:eastAsia="Arial" w:hAnsi="Arial"/>
          <w:sz w:val="18"/>
          <w:szCs w:val="18"/>
          <w:color w:val="auto"/>
        </w:rPr>
        <w:t xml:space="preserve">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02"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72" w:val="left"/>
        </w:tabs>
        <w:numPr>
          <w:ilvl w:val="0"/>
          <w:numId w:val="60"/>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5" w:lineRule="auto"/>
        <w:tabs>
          <w:tab w:leader="none" w:pos="572" w:val="left"/>
        </w:tabs>
        <w:numPr>
          <w:ilvl w:val="0"/>
          <w:numId w:val="60"/>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13" w:val="left"/>
        </w:tabs>
        <w:numPr>
          <w:ilvl w:val="0"/>
          <w:numId w:val="60"/>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39" w:hanging="219"/>
        <w:spacing w:after="0" w:line="232" w:lineRule="auto"/>
        <w:tabs>
          <w:tab w:leader="none" w:pos="572"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399" w:hanging="219"/>
        <w:spacing w:after="0" w:line="232" w:lineRule="auto"/>
        <w:tabs>
          <w:tab w:leader="none" w:pos="572"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39" w:hanging="219"/>
        <w:spacing w:after="0" w:line="238" w:lineRule="auto"/>
        <w:tabs>
          <w:tab w:leader="none" w:pos="572"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599" w:hanging="219"/>
        <w:spacing w:after="0" w:line="232" w:lineRule="auto"/>
        <w:tabs>
          <w:tab w:leader="none" w:pos="572"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19" w:firstLine="216"/>
        <w:spacing w:after="0" w:line="31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4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 Upon the effectiveness of the registration statement of which this prospectus forms a part, the full text of the Code of Business Conduct and Ethics will be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120" w:right="479"/>
        <w:spacing w:after="0" w:line="277" w:lineRule="auto"/>
        <w:rPr>
          <w:sz w:val="20"/>
          <w:szCs w:val="20"/>
          <w:color w:val="auto"/>
        </w:rPr>
      </w:pPr>
      <w:r>
        <w:rPr>
          <w:rFonts w:ascii="Arial" w:cs="Arial" w:eastAsia="Arial" w:hAnsi="Arial"/>
          <w:sz w:val="18"/>
          <w:szCs w:val="18"/>
          <w:color w:val="auto"/>
        </w:rPr>
        <w:t>in Item 16B(b) of Form 20-F, we are required to disclose such waiver or amendment on our website in accordance with the requirements of Instruction 4 to such Item 16B.</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aggregate compensation paid and equity-based compensation and other payments expensed by us and our subsidiaries to our directors and executive officers with respect to the year ended December 31, 2013 was $1.1 million. This amount includes approximately $0.2 million set aside or accrued to provide pension, severance, retirement or similar benefits or expenses. As of September 30, 2014, options to purchase 177,683 ordinary shares granted to our directors and executive officers were outstanding under our share option plan at a weighted average exercise price of $11.60 per share. Certain of our officers and directors receive a severance payment of up to six months of their base salary upon termination of their employment.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52"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not granting options under the 2004 Plan anymore because it was superceded by the 2012 Plan, athough previously granted awards remain outstanding. As of September 30, 2014, a total of 179,350 ordinary shares remain outstanding under the 2004 Plan.</w:t>
      </w:r>
    </w:p>
    <w:p>
      <w:pPr>
        <w:spacing w:after="0" w:line="17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jc w:val="both"/>
        <w:ind w:left="120" w:right="279" w:firstLine="216"/>
        <w:spacing w:after="0" w:line="297" w:lineRule="auto"/>
        <w:rPr>
          <w:sz w:val="20"/>
          <w:szCs w:val="20"/>
          <w:color w:val="auto"/>
        </w:rPr>
      </w:pPr>
      <w:r>
        <w:rPr>
          <w:rFonts w:ascii="Arial" w:cs="Arial" w:eastAsia="Arial" w:hAnsi="Arial"/>
          <w:sz w:val="16"/>
          <w:szCs w:val="16"/>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58"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120" w:right="459"/>
        <w:spacing w:after="0" w:line="342" w:lineRule="auto"/>
        <w:rPr>
          <w:sz w:val="20"/>
          <w:szCs w:val="20"/>
          <w:color w:val="auto"/>
        </w:rPr>
      </w:pPr>
      <w:r>
        <w:rPr>
          <w:rFonts w:ascii="Arial" w:cs="Arial" w:eastAsia="Arial" w:hAnsi="Arial"/>
          <w:sz w:val="16"/>
          <w:szCs w:val="16"/>
          <w:color w:val="auto"/>
        </w:rPr>
        <w:t>the relevant grantee before 24 months from the date of grant and deposit of such securities with the trustee. However, under this track, we are not allowed to deduct an expense with respect to the issuance of the options or shares.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25"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78" w:lineRule="exact"/>
        <w:rPr>
          <w:sz w:val="20"/>
          <w:szCs w:val="20"/>
          <w:color w:val="auto"/>
        </w:rPr>
      </w:pPr>
    </w:p>
    <w:p>
      <w:pPr>
        <w:ind w:left="120" w:right="139" w:firstLine="216"/>
        <w:spacing w:after="0" w:line="277"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170" w:lineRule="exact"/>
        <w:rPr>
          <w:sz w:val="20"/>
          <w:szCs w:val="20"/>
          <w:color w:val="auto"/>
        </w:rPr>
      </w:pPr>
    </w:p>
    <w:p>
      <w:pPr>
        <w:ind w:left="120" w:right="179" w:firstLine="216"/>
        <w:spacing w:after="0" w:line="293"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ind w:left="120" w:right="239" w:firstLine="216"/>
        <w:spacing w:after="0" w:line="291"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September 30, 2014, we had available 68,217 shares for future grant and had 154,582 options to purchase ordinary shares outstanding under the 2012 Plan.</w:t>
      </w:r>
    </w:p>
    <w:p>
      <w:pPr>
        <w:spacing w:after="0" w:line="167"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78"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8"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7" w:lineRule="exact"/>
        <w:rPr>
          <w:sz w:val="20"/>
          <w:szCs w:val="20"/>
          <w:color w:val="auto"/>
        </w:rPr>
      </w:pPr>
    </w:p>
    <w:p>
      <w:pPr>
        <w:ind w:left="120" w:right="259" w:firstLine="216"/>
        <w:spacing w:after="0" w:line="277"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120" w:right="199" w:firstLine="216"/>
        <w:spacing w:after="0" w:line="276" w:lineRule="auto"/>
        <w:rPr>
          <w:sz w:val="20"/>
          <w:szCs w:val="20"/>
          <w:color w:val="auto"/>
        </w:rPr>
      </w:pPr>
      <w:r>
        <w:rPr>
          <w:rFonts w:ascii="Arial" w:cs="Arial" w:eastAsia="Arial" w:hAnsi="Arial"/>
          <w:sz w:val="17"/>
          <w:szCs w:val="17"/>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73"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8" w:lineRule="exact"/>
        <w:rPr>
          <w:sz w:val="20"/>
          <w:szCs w:val="20"/>
          <w:color w:val="auto"/>
        </w:rPr>
      </w:pPr>
    </w:p>
    <w:p>
      <w:pPr>
        <w:ind w:left="120" w:right="179" w:firstLine="216"/>
        <w:spacing w:after="0" w:line="289"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7" w:lineRule="exact"/>
        <w:rPr>
          <w:sz w:val="20"/>
          <w:szCs w:val="20"/>
          <w:color w:val="auto"/>
        </w:rPr>
      </w:pPr>
    </w:p>
    <w:p>
      <w:pPr>
        <w:ind w:left="120" w:right="119" w:firstLine="216"/>
        <w:spacing w:after="0" w:line="273" w:lineRule="auto"/>
        <w:rPr>
          <w:sz w:val="20"/>
          <w:szCs w:val="20"/>
          <w:color w:val="auto"/>
        </w:rPr>
      </w:pPr>
      <w:r>
        <w:rPr>
          <w:rFonts w:ascii="Arial" w:cs="Arial" w:eastAsia="Arial" w:hAnsi="Arial"/>
          <w:sz w:val="17"/>
          <w:szCs w:val="17"/>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offering by:</w:t>
      </w:r>
    </w:p>
    <w:p>
      <w:pPr>
        <w:spacing w:after="0" w:line="161" w:lineRule="exact"/>
        <w:rPr>
          <w:sz w:val="20"/>
          <w:szCs w:val="20"/>
          <w:color w:val="auto"/>
        </w:rPr>
      </w:pPr>
    </w:p>
    <w:p>
      <w:pPr>
        <w:ind w:left="560" w:hanging="219"/>
        <w:spacing w:after="0"/>
        <w:tabs>
          <w:tab w:leader="none" w:pos="5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each of our directors and executive officers individually;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3"/>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20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or warrants that are currently exercisable or exercisable within 60 days of December 31,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3,296,450 ordinary shares outstanding as of December 31, 2014,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not aware of any U.S. persons that are holders of record of our shares as of December 31, 2014.</w:t>
      </w:r>
    </w:p>
    <w:p>
      <w:pPr>
        <w:spacing w:after="0" w:line="225" w:lineRule="exact"/>
        <w:rPr>
          <w:sz w:val="20"/>
          <w:szCs w:val="20"/>
          <w:color w:val="auto"/>
        </w:rPr>
      </w:pPr>
    </w:p>
    <w:p>
      <w:pPr>
        <w:ind w:left="120" w:right="639" w:firstLine="216"/>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 Ha’Ayin 4809246, Israel.</w:t>
      </w:r>
    </w:p>
    <w:p>
      <w:pPr>
        <w:spacing w:after="0" w:line="170" w:lineRule="exact"/>
        <w:rPr>
          <w:sz w:val="20"/>
          <w:szCs w:val="20"/>
          <w:color w:val="auto"/>
        </w:rPr>
      </w:pPr>
    </w:p>
    <w:p>
      <w:pPr>
        <w:ind w:left="120" w:right="239" w:firstLine="216"/>
        <w:spacing w:after="0" w:line="342" w:lineRule="auto"/>
        <w:rPr>
          <w:sz w:val="20"/>
          <w:szCs w:val="20"/>
          <w:color w:val="auto"/>
        </w:rPr>
      </w:pPr>
      <w:r>
        <w:rPr>
          <w:rFonts w:ascii="Arial" w:cs="Arial" w:eastAsia="Arial" w:hAnsi="Arial"/>
          <w:sz w:val="16"/>
          <w:szCs w:val="16"/>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Number and Percentage of</w:t>
            </w: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Ordinary Shares Beneficially</w:t>
            </w: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4"/>
              </w:rPr>
              <w:t>Owned Prior to Offering</w:t>
            </w:r>
          </w:p>
        </w:tc>
        <w:tc>
          <w:tcPr>
            <w:tcW w:w="28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Assuming No</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Assuming Full</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of the</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Exercise of the</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Over-Allotment</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Over-Allotment</w:t>
            </w:r>
          </w:p>
        </w:tc>
      </w:tr>
      <w:tr>
        <w:trPr>
          <w:trHeight w:val="213"/>
        </w:trPr>
        <w:tc>
          <w:tcPr>
            <w:tcW w:w="34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r>
      <w:tr>
        <w:trPr>
          <w:trHeight w:val="240"/>
        </w:trPr>
        <w:tc>
          <w:tcPr>
            <w:tcW w:w="20" w:type="dxa"/>
            <w:vAlign w:val="bottom"/>
          </w:tcPr>
          <w:p>
            <w:pPr>
              <w:spacing w:after="0"/>
              <w:rPr>
                <w:sz w:val="20"/>
                <w:szCs w:val="20"/>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8"/>
                <w:szCs w:val="28"/>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Gavriel Weinshtock</w:t>
            </w:r>
            <w:r>
              <w:rPr>
                <w:rFonts w:ascii="Arial" w:cs="Arial" w:eastAsia="Arial" w:hAnsi="Arial"/>
                <w:sz w:val="28"/>
                <w:szCs w:val="28"/>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18"/>
                <w:szCs w:val="18"/>
                <w:color w:val="auto"/>
              </w:rPr>
              <w:t>Yossef Nuriel</w:t>
            </w:r>
            <w:r>
              <w:rPr>
                <w:rFonts w:ascii="Arial" w:cs="Arial" w:eastAsia="Arial" w:hAnsi="Arial"/>
                <w:sz w:val="28"/>
                <w:szCs w:val="28"/>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192,890</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Yahel (Nur Group) Holdings Ltd.</w:t>
            </w:r>
            <w:r>
              <w:rPr>
                <w:rFonts w:ascii="Arial" w:cs="Arial" w:eastAsia="Arial" w:hAnsi="Arial"/>
                <w:sz w:val="28"/>
                <w:szCs w:val="28"/>
                <w:color w:val="auto"/>
                <w:vertAlign w:val="superscript"/>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2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18"/>
                <w:szCs w:val="18"/>
                <w:color w:val="auto"/>
              </w:rPr>
              <w:t>Yuval Cohen</w:t>
            </w:r>
            <w:r>
              <w:rPr>
                <w:rFonts w:ascii="Arial" w:cs="Arial" w:eastAsia="Arial" w:hAnsi="Arial"/>
                <w:sz w:val="28"/>
                <w:szCs w:val="28"/>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 Zur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18"/>
                <w:szCs w:val="18"/>
                <w:color w:val="auto"/>
              </w:rPr>
              <w:t>Eli Blatt</w:t>
            </w:r>
            <w:r>
              <w:rPr>
                <w:rFonts w:ascii="Arial" w:cs="Arial" w:eastAsia="Arial" w:hAnsi="Arial"/>
                <w:sz w:val="28"/>
                <w:szCs w:val="28"/>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Yoav Hineman</w:t>
            </w:r>
            <w:r>
              <w:rPr>
                <w:rFonts w:ascii="Arial" w:cs="Arial" w:eastAsia="Arial" w:hAnsi="Arial"/>
                <w:sz w:val="28"/>
                <w:szCs w:val="28"/>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line="243" w:lineRule="exact"/>
              <w:rPr>
                <w:sz w:val="20"/>
                <w:szCs w:val="20"/>
                <w:color w:val="auto"/>
              </w:rPr>
            </w:pPr>
            <w:r>
              <w:rPr>
                <w:rFonts w:ascii="Arial" w:cs="Arial" w:eastAsia="Arial" w:hAnsi="Arial"/>
                <w:sz w:val="18"/>
                <w:szCs w:val="18"/>
                <w:color w:val="auto"/>
              </w:rPr>
              <w:t>Marc Lesnick</w:t>
            </w:r>
            <w:r>
              <w:rPr>
                <w:rFonts w:ascii="Arial" w:cs="Arial" w:eastAsia="Arial" w:hAnsi="Arial"/>
                <w:sz w:val="28"/>
                <w:szCs w:val="28"/>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Moshe Nur</w:t>
            </w:r>
            <w:r>
              <w:rPr>
                <w:rFonts w:ascii="Arial" w:cs="Arial" w:eastAsia="Arial" w:hAnsi="Arial"/>
                <w:sz w:val="28"/>
                <w:szCs w:val="28"/>
                <w:color w:val="auto"/>
                <w:vertAlign w:val="superscript"/>
              </w:rPr>
              <w:t>(4)(5)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r>
              <w:rPr>
                <w:rFonts w:ascii="Arial" w:cs="Arial" w:eastAsia="Arial" w:hAnsi="Arial"/>
                <w:sz w:val="21"/>
                <w:szCs w:val="21"/>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Joshua Maor</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Sarel Ashkenazy</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86</w:t>
            </w: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89" w:name="page90"/>
    <w:bookmarkEnd w:id="8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3"/>
          </w:tcPr>
          <w:p>
            <w:pPr>
              <w:jc w:val="center"/>
              <w:ind w:left="74"/>
              <w:spacing w:after="0"/>
              <w:rPr>
                <w:sz w:val="20"/>
                <w:szCs w:val="20"/>
                <w:color w:val="auto"/>
              </w:rPr>
            </w:pPr>
            <w:r>
              <w:rPr>
                <w:rFonts w:ascii="Arial" w:cs="Arial" w:eastAsia="Arial" w:hAnsi="Arial"/>
                <w:sz w:val="16"/>
                <w:szCs w:val="16"/>
                <w:b w:val="1"/>
                <w:bCs w:val="1"/>
                <w:color w:val="auto"/>
                <w:w w:val="91"/>
              </w:rPr>
              <w:t>Number and Percentage of</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Percentage of Ordinary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Ordinary Shares Beneficially</w:t>
            </w:r>
          </w:p>
        </w:tc>
        <w:tc>
          <w:tcPr>
            <w:tcW w:w="28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Shares 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center"/>
              <w:ind w:left="94"/>
              <w:spacing w:after="0"/>
              <w:rPr>
                <w:sz w:val="20"/>
                <w:szCs w:val="20"/>
                <w:color w:val="auto"/>
              </w:rPr>
            </w:pPr>
            <w:r>
              <w:rPr>
                <w:rFonts w:ascii="Arial" w:cs="Arial" w:eastAsia="Arial" w:hAnsi="Arial"/>
                <w:sz w:val="16"/>
                <w:szCs w:val="16"/>
                <w:b w:val="1"/>
                <w:bCs w:val="1"/>
                <w:color w:val="auto"/>
                <w:w w:val="94"/>
              </w:rPr>
              <w:t>Owned Prior to Offering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5"/>
              </w:rPr>
              <w:t>After the Offering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Assuming No</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Assuming Full</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Exercise of the</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Exercise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Over-Allotment</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Over-Allotment</w:t>
            </w:r>
          </w:p>
        </w:tc>
        <w:tc>
          <w:tcPr>
            <w:tcW w:w="0" w:type="dxa"/>
            <w:vAlign w:val="bottom"/>
          </w:tcPr>
          <w:p>
            <w:pPr>
              <w:spacing w:after="0"/>
              <w:rPr>
                <w:sz w:val="1"/>
                <w:szCs w:val="1"/>
                <w:color w:val="auto"/>
              </w:rPr>
            </w:pPr>
          </w:p>
        </w:tc>
      </w:tr>
      <w:tr>
        <w:trPr>
          <w:trHeight w:val="213"/>
        </w:trPr>
        <w:tc>
          <w:tcPr>
            <w:tcW w:w="34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760" w:type="dxa"/>
            <w:vAlign w:val="bottom"/>
          </w:tcPr>
          <w:p>
            <w:pPr>
              <w:ind w:left="200"/>
              <w:spacing w:after="0"/>
              <w:rPr>
                <w:sz w:val="20"/>
                <w:szCs w:val="20"/>
                <w:color w:val="auto"/>
              </w:rPr>
            </w:pPr>
            <w:r>
              <w:rPr>
                <w:rFonts w:ascii="Arial" w:cs="Arial" w:eastAsia="Arial" w:hAnsi="Arial"/>
                <w:sz w:val="16"/>
                <w:szCs w:val="16"/>
                <w:b w:val="1"/>
                <w:bCs w:val="1"/>
                <w:color w:val="auto"/>
                <w:w w:val="91"/>
              </w:rPr>
              <w:t>Percent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Oded Kraft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7"/>
              </w:rPr>
              <w:t>All Directors and Executive Officers as a</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81.8</w:t>
            </w:r>
            <w:r>
              <w:rPr>
                <w:rFonts w:ascii="Arial" w:cs="Arial" w:eastAsia="Arial" w:hAnsi="Arial"/>
                <w:sz w:val="21"/>
                <w:szCs w:val="21"/>
                <w:color w:val="auto"/>
              </w:rPr>
              <w:t>%</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Group (13 persons)</w:t>
            </w:r>
            <w:r>
              <w:rPr>
                <w:rFonts w:ascii="Arial" w:cs="Arial" w:eastAsia="Arial" w:hAnsi="Arial"/>
                <w:sz w:val="23"/>
                <w:szCs w:val="23"/>
                <w:b w:val="1"/>
                <w:bCs w:val="1"/>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2,723,818</w:t>
            </w:r>
          </w:p>
        </w:tc>
        <w:tc>
          <w:tcPr>
            <w:tcW w:w="30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40" w:hanging="315"/>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ind w:left="440" w:right="139" w:hanging="315"/>
        <w:spacing w:after="0" w:line="265" w:lineRule="auto"/>
        <w:tabs>
          <w:tab w:leader="none" w:pos="506"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367,573 ordinary shares and 1,927,140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Yoav Hineman and Marc Lesnick are members of the investment committee of Fortissimo Capital and share voting and dispositive power with respect to such shares. The principal address of Fortissimo Capital is 14 Hamelacha St., Park Afek, Rosh Ha’Ayin 48091, Israel.</w:t>
      </w:r>
    </w:p>
    <w:p>
      <w:pPr>
        <w:spacing w:after="0" w:line="1" w:lineRule="exact"/>
        <w:rPr>
          <w:rFonts w:ascii="Arial" w:cs="Arial" w:eastAsia="Arial" w:hAnsi="Arial"/>
          <w:sz w:val="17"/>
          <w:szCs w:val="17"/>
          <w:color w:val="auto"/>
        </w:rPr>
      </w:pPr>
    </w:p>
    <w:p>
      <w:pPr>
        <w:ind w:left="420" w:hanging="295"/>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address of Mr. Weinshtock is 10 Bertonov, Petach Tikva, Israel.</w:t>
      </w:r>
    </w:p>
    <w:p>
      <w:pPr>
        <w:spacing w:after="0" w:line="9" w:lineRule="exact"/>
        <w:rPr>
          <w:rFonts w:ascii="Arial" w:cs="Arial" w:eastAsia="Arial" w:hAnsi="Arial"/>
          <w:sz w:val="18"/>
          <w:szCs w:val="18"/>
          <w:color w:val="auto"/>
        </w:rPr>
      </w:pPr>
    </w:p>
    <w:p>
      <w:pPr>
        <w:ind w:left="420" w:hanging="295"/>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address of Mr. Nuriel is 10 Ein Gedi St., Ganei Tikva, Israel.</w:t>
      </w:r>
    </w:p>
    <w:p>
      <w:pPr>
        <w:spacing w:after="0" w:line="9" w:lineRule="exact"/>
        <w:rPr>
          <w:rFonts w:ascii="Arial" w:cs="Arial" w:eastAsia="Arial" w:hAnsi="Arial"/>
          <w:sz w:val="18"/>
          <w:szCs w:val="18"/>
          <w:color w:val="auto"/>
        </w:rPr>
      </w:pPr>
    </w:p>
    <w:p>
      <w:pPr>
        <w:ind w:left="440" w:right="239" w:hanging="315"/>
        <w:spacing w:after="0" w:line="265" w:lineRule="auto"/>
        <w:tabs>
          <w:tab w:leader="none" w:pos="4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principal address of Yahel (Nur Group) Holdings Ltd., or Yahel, is 5 David Navon St., Magshimim, Israel. Substantially all of the shares of Yahel are held by Zevik Nur. Moshe Nur, the father of Zevik Nur and a director of our company, is the sole director of Yahel. The address of Yahel is Moshav Magshimim 56910, Israel.</w:t>
      </w:r>
    </w:p>
    <w:p>
      <w:pPr>
        <w:ind w:left="440" w:right="179" w:hanging="315"/>
        <w:spacing w:after="0" w:line="250" w:lineRule="auto"/>
        <w:tabs>
          <w:tab w:leader="none" w:pos="4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167,217 ordinary shares held directly by Yahel and options to purchase 6,000 ordinary shares exercisable within 60 days of December 31, 2014. Mr. Nur is the sole director of Yahel.</w:t>
      </w:r>
    </w:p>
    <w:p>
      <w:pPr>
        <w:ind w:left="440" w:right="279" w:hanging="315"/>
        <w:spacing w:after="0" w:line="261" w:lineRule="auto"/>
        <w:tabs>
          <w:tab w:leader="none" w:pos="4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2,691,468 ordinary shares and options to purchase 32,350 ordinary shares exercisable within 60 days of December 31, 2014.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99" w:firstLine="216"/>
        <w:spacing w:after="0" w:line="272"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12"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i w:val="1"/>
          <w:iCs w:val="1"/>
          <w:color w:val="auto"/>
        </w:rPr>
        <w:t xml:space="preserve">Original Rounds of Financing. </w:t>
      </w:r>
      <w:r>
        <w:rPr>
          <w:rFonts w:ascii="Arial" w:cs="Arial" w:eastAsia="Arial" w:hAnsi="Arial"/>
          <w:sz w:val="17"/>
          <w:szCs w:val="17"/>
          <w:color w:val="auto"/>
        </w:rPr>
        <w:t>Since our founding, we have raised capital through equity financings. Between 2002</w:t>
      </w:r>
      <w:r>
        <w:rPr>
          <w:rFonts w:ascii="Arial" w:cs="Arial" w:eastAsia="Arial" w:hAnsi="Arial"/>
          <w:sz w:val="17"/>
          <w:szCs w:val="17"/>
          <w:i w:val="1"/>
          <w:iCs w:val="1"/>
          <w:color w:val="auto"/>
        </w:rPr>
        <w:t xml:space="preserve"> </w:t>
      </w:r>
      <w:r>
        <w:rPr>
          <w:rFonts w:ascii="Arial" w:cs="Arial" w:eastAsia="Arial" w:hAnsi="Arial"/>
          <w:sz w:val="17"/>
          <w:szCs w:val="17"/>
          <w:color w:val="auto"/>
        </w:rPr>
        <w:t>and 2011, we raised capital through sales of our ordinary shares and Series A and A-1 preferred shares.</w:t>
      </w:r>
    </w:p>
    <w:p>
      <w:pPr>
        <w:spacing w:after="0" w:line="133" w:lineRule="exact"/>
        <w:rPr>
          <w:sz w:val="20"/>
          <w:szCs w:val="20"/>
          <w:color w:val="auto"/>
        </w:rPr>
      </w:pPr>
    </w:p>
    <w:p>
      <w:pPr>
        <w:ind w:left="120" w:right="219" w:firstLine="216"/>
        <w:spacing w:after="0" w:line="290" w:lineRule="auto"/>
        <w:rPr>
          <w:sz w:val="20"/>
          <w:szCs w:val="20"/>
          <w:color w:val="auto"/>
        </w:rPr>
      </w:pPr>
      <w:r>
        <w:rPr>
          <w:rFonts w:ascii="Arial" w:cs="Arial" w:eastAsia="Arial" w:hAnsi="Arial"/>
          <w:sz w:val="16"/>
          <w:szCs w:val="16"/>
          <w:i w:val="1"/>
          <w:iCs w:val="1"/>
          <w:color w:val="auto"/>
        </w:rPr>
        <w:t xml:space="preserve">Series A-1 Financing. </w:t>
      </w:r>
      <w:r>
        <w:rPr>
          <w:rFonts w:ascii="Arial" w:cs="Arial" w:eastAsia="Arial" w:hAnsi="Arial"/>
          <w:sz w:val="16"/>
          <w:szCs w:val="16"/>
          <w:color w:val="auto"/>
        </w:rPr>
        <w:t>In 2011, we sold Series A-1 preferred shares convertible into 602,230 ordinary shares at a price</w:t>
      </w:r>
      <w:r>
        <w:rPr>
          <w:rFonts w:ascii="Arial" w:cs="Arial" w:eastAsia="Arial" w:hAnsi="Arial"/>
          <w:sz w:val="16"/>
          <w:szCs w:val="16"/>
          <w:i w:val="1"/>
          <w:iCs w:val="1"/>
          <w:color w:val="auto"/>
        </w:rPr>
        <w:t xml:space="preserve"> </w:t>
      </w:r>
      <w:r>
        <w:rPr>
          <w:rFonts w:ascii="Arial" w:cs="Arial" w:eastAsia="Arial" w:hAnsi="Arial"/>
          <w:sz w:val="16"/>
          <w:szCs w:val="16"/>
          <w:color w:val="auto"/>
        </w:rPr>
        <w:t>per underlying preferred share of $8.30243 for an aggregate purchase price of approximately $5 million. Concurrently with this transaction, Fortissimo Capital purchased Series A-1 preferred shares convertible into 1,324,910 ordinary shares from certain of our shareholders at a price per underlying preferred share of $8.30243 for an aggregate purchase price of approximately $11 million (these shares were reclassified as Series A-1 preferred shares immediately prior to this transaction). Each Series A-1 preferred share will convert into one ordinary share upon the closing of this offering. The following table sets forth the number of ordinary shares resulting from conversion upon the closing of this offering of the Series A-1 preferred shares purchased by Fortissimo Capital:</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 Ordinary</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 Resulting from</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the Conversion</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of Series A-1 Preferred</w:t>
            </w: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Aggregate Purchase Price</w:t>
            </w:r>
          </w:p>
        </w:tc>
        <w:tc>
          <w:tcPr>
            <w:tcW w:w="44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1,927,140</w:t>
            </w:r>
          </w:p>
        </w:tc>
        <w:tc>
          <w:tcPr>
            <w:tcW w:w="16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We are party to an investors’ rights agreement, dated July 18, 2011,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12"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the nine months ended September 30, 2014, we recorded expenses for management fees paid to Fortissimo of $175,000, $120,000 and $139,000, respectively. The agreement may be terminated when our board of directors includes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ind w:left="120" w:right="279"/>
        <w:spacing w:after="0" w:line="277" w:lineRule="auto"/>
        <w:rPr>
          <w:sz w:val="20"/>
          <w:szCs w:val="20"/>
          <w:color w:val="auto"/>
        </w:rPr>
      </w:pPr>
      <w:r>
        <w:rPr>
          <w:rFonts w:ascii="Arial" w:cs="Arial" w:eastAsia="Arial" w:hAnsi="Arial"/>
          <w:sz w:val="18"/>
          <w:szCs w:val="18"/>
          <w:color w:val="auto"/>
        </w:rPr>
        <w:t>less than two directors appointed by Fortissimo Capital, and the agreement terminates automatically in the event that Fortissimo Capital holds less than 15% of our issued share capital.</w:t>
      </w:r>
    </w:p>
    <w:p>
      <w:pPr>
        <w:spacing w:after="0" w:line="157"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We and Fortissimo Capital have agreed to terminate the management services agreement upon the consummation of this offering. As consideration for Fortissimo Capital’s agreement to terminate the management services agreement, we</w:t>
      </w:r>
    </w:p>
    <w:p>
      <w:pPr>
        <w:ind w:left="120" w:right="459"/>
        <w:spacing w:after="0" w:line="290" w:lineRule="auto"/>
        <w:rPr>
          <w:sz w:val="20"/>
          <w:szCs w:val="20"/>
          <w:color w:val="auto"/>
        </w:rPr>
      </w:pPr>
      <w:r>
        <w:rPr>
          <w:rFonts w:ascii="Arial" w:cs="Arial" w:eastAsia="Arial" w:hAnsi="Arial"/>
          <w:sz w:val="17"/>
          <w:szCs w:val="17"/>
          <w:color w:val="auto"/>
        </w:rPr>
        <w:t>will make a one-time payment of $ to Fortissimo Capital. Fortissimo Capital will receive no other compensation from us in connection with this offering or in connection with the management services agreement.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of</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Members</w:t>
            </w: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Members</w:t>
            </w:r>
          </w:p>
        </w:tc>
      </w:tr>
      <w:tr>
        <w:trPr>
          <w:trHeight w:val="216"/>
        </w:trPr>
        <w:tc>
          <w:tcPr>
            <w:tcW w:w="6640" w:type="dxa"/>
            <w:vAlign w:val="bottom"/>
            <w:gridSpan w:val="2"/>
          </w:tcPr>
          <w:p>
            <w:pPr>
              <w:ind w:left="2600"/>
              <w:spacing w:after="0"/>
              <w:rPr>
                <w:sz w:val="20"/>
                <w:szCs w:val="20"/>
                <w:color w:val="auto"/>
              </w:rPr>
            </w:pPr>
            <w:r>
              <w:rPr>
                <w:rFonts w:ascii="Arial" w:cs="Arial" w:eastAsia="Arial" w:hAnsi="Arial"/>
                <w:sz w:val="16"/>
                <w:szCs w:val="16"/>
                <w:b w:val="1"/>
                <w:bCs w:val="1"/>
                <w:color w:val="auto"/>
              </w:rPr>
              <w:t>Appointing Party</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Appointed</w:t>
            </w:r>
          </w:p>
        </w:tc>
        <w:tc>
          <w:tcPr>
            <w:tcW w:w="1000" w:type="dxa"/>
            <w:vAlign w:val="bottom"/>
          </w:tcPr>
          <w:p>
            <w:pPr>
              <w:ind w:left="140"/>
              <w:spacing w:after="0"/>
              <w:rPr>
                <w:sz w:val="20"/>
                <w:szCs w:val="20"/>
                <w:color w:val="auto"/>
              </w:rPr>
            </w:pPr>
            <w:r>
              <w:rPr>
                <w:rFonts w:ascii="Arial" w:cs="Arial" w:eastAsia="Arial" w:hAnsi="Arial"/>
                <w:sz w:val="16"/>
                <w:szCs w:val="16"/>
                <w:b w:val="1"/>
                <w:bCs w:val="1"/>
                <w:color w:val="auto"/>
              </w:rPr>
              <w:t>Appointed</w:t>
            </w:r>
          </w:p>
        </w:tc>
      </w:tr>
      <w:tr>
        <w:trPr>
          <w:trHeight w:val="60"/>
        </w:trPr>
        <w:tc>
          <w:tcPr>
            <w:tcW w:w="6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Fortissimo Capital</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Four</w:t>
            </w:r>
          </w:p>
        </w:tc>
        <w:tc>
          <w:tcPr>
            <w:tcW w:w="1000" w:type="dxa"/>
            <w:vAlign w:val="bottom"/>
          </w:tcPr>
          <w:p>
            <w:pPr>
              <w:ind w:left="40"/>
              <w:spacing w:after="0"/>
              <w:rPr>
                <w:sz w:val="20"/>
                <w:szCs w:val="20"/>
                <w:color w:val="auto"/>
              </w:rPr>
            </w:pPr>
            <w:r>
              <w:rPr>
                <w:rFonts w:ascii="Arial" w:cs="Arial" w:eastAsia="Arial" w:hAnsi="Arial"/>
                <w:sz w:val="18"/>
                <w:szCs w:val="18"/>
                <w:color w:val="auto"/>
              </w:rPr>
              <w:t>Yuval</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Cohen, Eli</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Blatt, Yoav</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Hineman</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and Marc</w:t>
            </w:r>
          </w:p>
        </w:tc>
      </w:tr>
      <w:tr>
        <w:trPr>
          <w:trHeight w:val="230"/>
        </w:trPr>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Lesnick</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8"/>
              </w:rPr>
              <w:t>Ofer Ben-Zur, together with other shareholders who are not directors, officers or 5%</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Ofer Ben-</w:t>
            </w: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shareholders provided such group holds 9% of our 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Zur</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Gavriel Weinshtock, Yossef Nuriel and Yahel (Nur Group) Holdings Ltd. (formerly</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Moshe Nur</w:t>
            </w: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6"/>
              </w:rPr>
              <w:t>Yahel Productions K.D.M. and Events Ltd.), together with other shareholders who are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not directors, officers or 5% shareholders provided such group holds 9% of our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In addition, our former shareholder, Delek Investments and Properties Ltd. was entitled to appoint one member and elected to appoint Joshua Maor who continues to serve on our board of directors.</w:t>
      </w:r>
    </w:p>
    <w:p>
      <w:pPr>
        <w:spacing w:after="0" w:line="170"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offering, although the existing board members will continue to serve until our next annual meeting absent their earlier resignation or removal.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left="120" w:right="459" w:firstLine="216"/>
        <w:spacing w:after="0" w:line="297"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599" w:firstLine="216"/>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79" w:firstLine="216"/>
        <w:spacing w:after="0" w:line="274" w:lineRule="auto"/>
        <w:rPr>
          <w:sz w:val="20"/>
          <w:szCs w:val="20"/>
          <w:color w:val="auto"/>
        </w:rPr>
      </w:pPr>
      <w:r>
        <w:rPr>
          <w:rFonts w:ascii="Arial" w:cs="Arial" w:eastAsia="Arial" w:hAnsi="Arial"/>
          <w:sz w:val="17"/>
          <w:szCs w:val="17"/>
          <w:color w:val="auto"/>
        </w:rPr>
        <w:t>Upon the closing of this offering, our authorized share capital will consist of ordinary shares, par value NIS 0.01 per share, of which shares will be issued and outstanding (assuming that the underwriters do not exercise their</w:t>
      </w:r>
    </w:p>
    <w:p>
      <w:pPr>
        <w:ind w:left="12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120" w:right="759" w:firstLine="216"/>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ind w:left="120" w:right="119"/>
        <w:spacing w:after="0" w:line="266" w:lineRule="auto"/>
        <w:rPr>
          <w:sz w:val="20"/>
          <w:szCs w:val="20"/>
          <w:color w:val="auto"/>
        </w:rPr>
      </w:pPr>
      <w:r>
        <w:rPr>
          <w:rFonts w:ascii="Arial" w:cs="Arial" w:eastAsia="Arial" w:hAnsi="Arial"/>
          <w:sz w:val="17"/>
          <w:szCs w:val="17"/>
          <w:color w:val="auto"/>
        </w:rPr>
        <w:t>directors must consist of not less than but no more than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6"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6"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6"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2" w:lineRule="exact"/>
        <w:rPr>
          <w:sz w:val="20"/>
          <w:szCs w:val="20"/>
          <w:color w:val="auto"/>
        </w:rPr>
      </w:pPr>
    </w:p>
    <w:p>
      <w:pPr>
        <w:ind w:left="120" w:right="239" w:firstLine="216"/>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55" w:lineRule="exact"/>
        <w:rPr>
          <w:sz w:val="20"/>
          <w:szCs w:val="20"/>
          <w:color w:val="auto"/>
        </w:rPr>
      </w:pPr>
    </w:p>
    <w:p>
      <w:pPr>
        <w:ind w:left="120" w:right="239" w:firstLine="216"/>
        <w:spacing w:after="0" w:line="297"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49" w:lineRule="exact"/>
        <w:rPr>
          <w:sz w:val="20"/>
          <w:szCs w:val="20"/>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 merger; and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ind w:left="560" w:right="119" w:hanging="219"/>
        <w:spacing w:after="0" w:line="232" w:lineRule="auto"/>
        <w:tabs>
          <w:tab w:leader="none" w:pos="586" w:val="left"/>
        </w:tabs>
        <w:numPr>
          <w:ilvl w:val="0"/>
          <w:numId w:val="67"/>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4"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7"/>
          <w:szCs w:val="17"/>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98"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12"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6" w:lineRule="exact"/>
        <w:rPr>
          <w:sz w:val="20"/>
          <w:szCs w:val="20"/>
          <w:color w:val="auto"/>
        </w:rPr>
      </w:pPr>
    </w:p>
    <w:p>
      <w:pPr>
        <w:ind w:left="120" w:right="159" w:firstLine="216"/>
        <w:spacing w:after="0" w:line="342"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 such as voting, liquidation and dividend rights, may be amended by adoption of a resolution by the holders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6" w:name="page97"/>
    <w:bookmarkEnd w:id="96"/>
    <w:p>
      <w:pPr>
        <w:ind w:left="120" w:right="159"/>
        <w:spacing w:after="0" w:line="277"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left="120" w:right="299" w:firstLine="216"/>
        <w:spacing w:after="0" w:line="257"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holders of a total of 3,176,744 shares of our ordinary shares as of September 30, 2014,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7"/>
          <w:szCs w:val="17"/>
          <w:color w:val="auto"/>
        </w:rPr>
        <w:t>At any time after six months after the closing of this offering or such earlier date as is agreed by the underwriters of this offering, Fortissimo Capital may request that we file a registration statement. Upon receipt of such registration request, we are obligated to use best commercial efforts to file the registration statement, unless in the good faith judgment of our board of directors, such registration would be seriously detrimental to the company and its shareholders, in which event we shall have the right to defer such filing for a period of not more than 60 days after receipt of the request of Fortissimo Capital; provided that such right to delay a request shall be exercised by us no more than once in any 12-month period. In addition, we have the right not to effect or take any action to effect a registration statement during the period that is 90 days before the actual date of filing of a registration statement or during 180-day period following the effective date of a registration statement (other than the registration statement for this offering). We are not obligated to file a registration statement after we have filed two effective registration statements pursuant to these demand provisions. Any other holder of registrable securities has the right to include its registrable securities in an underwritten registration pursuant to a demand registration.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59" w:firstLine="262"/>
        <w:spacing w:after="0" w:line="259" w:lineRule="auto"/>
        <w:rPr>
          <w:sz w:val="20"/>
          <w:szCs w:val="20"/>
          <w:color w:val="auto"/>
        </w:rPr>
      </w:pPr>
      <w:r>
        <w:rPr>
          <w:rFonts w:ascii="Arial" w:cs="Arial" w:eastAsia="Arial" w:hAnsi="Arial"/>
          <w:sz w:val="18"/>
          <w:szCs w:val="18"/>
          <w:color w:val="auto"/>
        </w:rPr>
        <w:t>If we register any of our ordinary shares in connection with the public offering of such securities, the holders of all registrable securities are entitled to at least 20 days’ notice of the registration and to include all or a portion of their shares in the registration if Fortissimo Capital has included in such registration statement all or part of the registrable securities it holds.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In addition, if we become eligible to register any of our shares on Form F-3, Fortissimo Capital may request that we file a registration statement for an offering to be made on a delayed or continuous basis pursuant to Rule 415 under the Securities Act registering the resale from time to time by Fortissimo Capital of registrable shares with a sale price, based on a recent average closing price of the ordinary shares, of at least $500,000, or the Shelf Registration Statement, then we are required, within 30 days of the delivery thereof, to give written notice of such request to all holders of registrable securities, who may elect to join in such request. We are required to use our reasonable efforts to cause the Shelf Registration Statement to be declared effective under the Securities Act within three months after Fortissimo Capital’s initial request and to keep such Shelf Registration Statement continuously effective under the Securities Act until the earliest of (i) two years following the date such registration was declared effective; (ii) the disposition of all registrable securities included in such Shelf Registration Statement; and (iii) the time all registrable securities included in the Shelf Registration Statement may be sold without restriction pursuant to Rule 144. We shall not be required to effect a registration pursuant to a shelf registration if (i) within 10 days of receipt of a written request from Fortissimo Capital, we give notice of our good faith intention to file a registration statement for a public offering within 30 days, provided that we actually file such registration statement within such 30 days and makes reasonable good faith efforts to cause such registration statement to become effective; or (ii) in the good faith judgment of the board of directors, it would be seriously detrimental to us and our shareholders for such registration statement to be effected at such time, in which event we shall have the right to defer such filing for a period of not more than 60 days after receipt of the request of Fortissimo Capital, provided that such right to delay a request shall be exercised by us not more than once in any 12-month period.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12"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piggyback or shelf registration.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12"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73"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93"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67"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left="120" w:right="159" w:firstLine="216"/>
        <w:spacing w:after="0" w:line="312"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shareholder vote, unless a court rules otherwise, the merger will not be deemed approved if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majority of the votes of shares represented at the meeting of shareholders that are held by parties other than the other</w:t>
      </w:r>
    </w:p>
    <w:p>
      <w:pPr>
        <w:spacing w:after="0" w:line="32" w:lineRule="exact"/>
        <w:rPr>
          <w:sz w:val="20"/>
          <w:szCs w:val="20"/>
          <w:color w:val="auto"/>
        </w:rPr>
      </w:pPr>
    </w:p>
    <w:p>
      <w:pPr>
        <w:ind w:left="120" w:right="199"/>
        <w:spacing w:after="0" w:line="252" w:lineRule="auto"/>
        <w:rPr>
          <w:sz w:val="20"/>
          <w:szCs w:val="20"/>
          <w:color w:val="auto"/>
        </w:rPr>
      </w:pPr>
      <w:r>
        <w:rPr>
          <w:rFonts w:ascii="Arial" w:cs="Arial" w:eastAsia="Arial" w:hAnsi="Arial"/>
          <w:sz w:val="18"/>
          <w:szCs w:val="18"/>
          <w:color w:val="auto"/>
        </w:rPr>
        <w:t>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93"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8" w:lineRule="exact"/>
        <w:rPr>
          <w:sz w:val="20"/>
          <w:szCs w:val="20"/>
          <w:color w:val="auto"/>
        </w:rPr>
      </w:pPr>
    </w:p>
    <w:p>
      <w:pPr>
        <w:jc w:val="both"/>
        <w:ind w:left="120" w:right="319" w:firstLine="216"/>
        <w:spacing w:after="0" w:line="312"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7" w:lineRule="exact"/>
        <w:rPr>
          <w:sz w:val="20"/>
          <w:szCs w:val="20"/>
          <w:color w:val="auto"/>
        </w:rPr>
      </w:pPr>
    </w:p>
    <w:p>
      <w:pPr>
        <w:jc w:val="both"/>
        <w:ind w:left="120" w:right="219" w:firstLine="216"/>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left="120" w:right="179" w:firstLine="216"/>
        <w:spacing w:after="0" w:line="312"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120" w:right="339"/>
        <w:spacing w:after="0" w:line="277" w:lineRule="auto"/>
        <w:rPr>
          <w:sz w:val="20"/>
          <w:szCs w:val="20"/>
          <w:color w:val="auto"/>
        </w:rPr>
      </w:pPr>
      <w:r>
        <w:rPr>
          <w:rFonts w:ascii="Arial" w:cs="Arial" w:eastAsia="Arial" w:hAnsi="Arial"/>
          <w:sz w:val="18"/>
          <w:szCs w:val="18"/>
          <w:color w:val="auto"/>
        </w:rPr>
        <w:t>payment of dividends in the absence of sufficient retained earnings or profits, require the approval of both our board of directors and an Israeli court.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ordinary shares is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Its address 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and its telephone number</w:t>
      </w:r>
    </w:p>
    <w:p>
      <w:pPr>
        <w:spacing w:after="0" w:line="453" w:lineRule="exact"/>
        <w:rPr>
          <w:sz w:val="20"/>
          <w:szCs w:val="20"/>
          <w:color w:val="auto"/>
        </w:rPr>
      </w:pPr>
    </w:p>
    <w:p>
      <w:pPr>
        <w:sectPr>
          <w:pgSz w:w="11900" w:h="16838" w:orient="portrait"/>
          <w:cols w:equalWidth="0" w:num="4">
            <w:col w:w="240" w:space="100"/>
            <w:col w:w="4120" w:space="440"/>
            <w:col w:w="1020" w:space="460"/>
            <w:col w:w="2639"/>
          </w:cols>
          <w:pgMar w:left="1440" w:top="125" w:right="1440"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apply to have our ordinary shares listed on the NASDAQ Global Market under the symbol “KRNT”.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w:t>
      </w:r>
    </w:p>
    <w:p>
      <w:pPr>
        <w:spacing w:after="0" w:line="2" w:lineRule="exact"/>
        <w:rPr>
          <w:sz w:val="20"/>
          <w:szCs w:val="20"/>
          <w:color w:val="auto"/>
        </w:rPr>
      </w:pPr>
    </w:p>
    <w:p>
      <w:pPr>
        <w:ind w:left="120" w:right="319"/>
        <w:spacing w:after="0" w:line="265" w:lineRule="auto"/>
        <w:rPr>
          <w:sz w:val="20"/>
          <w:szCs w:val="20"/>
          <w:color w:val="auto"/>
        </w:rPr>
      </w:pPr>
      <w:r>
        <w:rPr>
          <w:rFonts w:ascii="Arial" w:cs="Arial" w:eastAsia="Arial" w:hAnsi="Arial"/>
          <w:sz w:val="17"/>
          <w:szCs w:val="17"/>
          <w:color w:val="auto"/>
        </w:rPr>
        <w:t>of options or warrants outstanding following this offering, we will have an aggregate of ordinary shares outstanding upon the completion of this offering. Of these shares, the ordinary shares sold in this offering will be</w:t>
      </w:r>
    </w:p>
    <w:p>
      <w:pPr>
        <w:ind w:left="120" w:right="179"/>
        <w:spacing w:after="0" w:line="255" w:lineRule="auto"/>
        <w:rPr>
          <w:sz w:val="20"/>
          <w:szCs w:val="20"/>
          <w:color w:val="auto"/>
        </w:rPr>
      </w:pPr>
      <w:r>
        <w:rPr>
          <w:rFonts w:ascii="Arial" w:cs="Arial" w:eastAsia="Arial" w:hAnsi="Arial"/>
          <w:sz w:val="18"/>
          <w:szCs w:val="18"/>
          <w:color w:val="auto"/>
        </w:rPr>
        <w:t>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ind w:left="120" w:right="259" w:firstLine="216"/>
        <w:spacing w:after="0" w:line="297" w:lineRule="auto"/>
        <w:rPr>
          <w:sz w:val="20"/>
          <w:szCs w:val="20"/>
          <w:color w:val="auto"/>
        </w:rPr>
      </w:pPr>
      <w:r>
        <w:rPr>
          <w:rFonts w:ascii="Arial" w:cs="Arial" w:eastAsia="Arial" w:hAnsi="Arial"/>
          <w:sz w:val="16"/>
          <w:szCs w:val="16"/>
          <w:color w:val="auto"/>
        </w:rPr>
        <w:t>The remaining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58" w:lineRule="exact"/>
        <w:rPr>
          <w:sz w:val="20"/>
          <w:szCs w:val="20"/>
          <w:color w:val="auto"/>
        </w:rPr>
      </w:pPr>
    </w:p>
    <w:p>
      <w:pPr>
        <w:ind w:left="120" w:right="339" w:firstLine="216"/>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Number of Shares</w:t>
      </w:r>
    </w:p>
    <w:p>
      <w:pPr>
        <w:spacing w:after="0" w:line="4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Eligible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50165</wp:posOffset>
            </wp:positionV>
            <wp:extent cx="557403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23177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6720" w:space="720"/>
            <w:col w:w="1579"/>
          </w:cols>
          <w:pgMar w:left="1440" w:top="337" w:right="1440"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At the date of this prospectus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 to 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48895</wp:posOffset>
            </wp:positionV>
            <wp:extent cx="557403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22288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180 days after the date of this prospectus</w:t>
      </w:r>
    </w:p>
    <w:p>
      <w:pPr>
        <w:spacing w:after="0" w:line="239"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shares issuable upon the exercise of warrants and vested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left="120" w:right="359" w:firstLine="216"/>
        <w:spacing w:after="0" w:line="286" w:lineRule="auto"/>
        <w:rPr>
          <w:sz w:val="20"/>
          <w:szCs w:val="20"/>
          <w:color w:val="auto"/>
        </w:rPr>
      </w:pPr>
      <w:r>
        <w:rPr>
          <w:rFonts w:ascii="Arial" w:cs="Arial" w:eastAsia="Arial" w:hAnsi="Arial"/>
          <w:sz w:val="17"/>
          <w:szCs w:val="17"/>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1" w:name="page102"/>
    <w:bookmarkEnd w:id="101"/>
    <w:p>
      <w:pPr>
        <w:ind w:left="120" w:right="279" w:firstLine="216"/>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9" w:lineRule="exact"/>
        <w:rPr>
          <w:sz w:val="20"/>
          <w:szCs w:val="20"/>
          <w:color w:val="auto"/>
        </w:rPr>
      </w:pPr>
    </w:p>
    <w:p>
      <w:pPr>
        <w:ind w:left="560" w:hanging="219"/>
        <w:spacing w:after="0"/>
        <w:tabs>
          <w:tab w:leader="none" w:pos="560" w:val="left"/>
        </w:tabs>
        <w:numPr>
          <w:ilvl w:val="0"/>
          <w:numId w:val="68"/>
        </w:numPr>
        <w:rPr>
          <w:rFonts w:ascii="Arial" w:cs="Arial" w:eastAsia="Arial" w:hAnsi="Arial"/>
          <w:sz w:val="22"/>
          <w:szCs w:val="22"/>
          <w:color w:val="auto"/>
        </w:rPr>
      </w:pPr>
      <w:r>
        <w:rPr>
          <w:rFonts w:ascii="Arial" w:cs="Arial" w:eastAsia="Arial" w:hAnsi="Arial"/>
          <w:sz w:val="18"/>
          <w:szCs w:val="18"/>
          <w:color w:val="auto"/>
        </w:rPr>
        <w:t>persons other than affiliates, without restriction; and</w:t>
      </w:r>
    </w:p>
    <w:p>
      <w:pPr>
        <w:spacing w:after="0" w:line="215" w:lineRule="exact"/>
        <w:rPr>
          <w:rFonts w:ascii="Arial" w:cs="Arial" w:eastAsia="Arial" w:hAnsi="Arial"/>
          <w:sz w:val="22"/>
          <w:szCs w:val="22"/>
          <w:color w:val="auto"/>
        </w:rPr>
      </w:pPr>
    </w:p>
    <w:p>
      <w:pPr>
        <w:ind w:left="340" w:right="979" w:firstLine="1"/>
        <w:spacing w:after="0" w:line="472" w:lineRule="auto"/>
        <w:tabs>
          <w:tab w:leader="none" w:pos="569" w:val="left"/>
        </w:tabs>
        <w:numPr>
          <w:ilvl w:val="0"/>
          <w:numId w:val="68"/>
        </w:numPr>
        <w:rPr>
          <w:rFonts w:ascii="Arial" w:cs="Arial" w:eastAsia="Arial" w:hAnsi="Arial"/>
          <w:sz w:val="21"/>
          <w:szCs w:val="21"/>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w:t>
      </w:r>
    </w:p>
    <w:p>
      <w:pPr>
        <w:spacing w:after="0" w:line="46" w:lineRule="exact"/>
        <w:rPr>
          <w:sz w:val="20"/>
          <w:szCs w:val="20"/>
          <w:color w:val="auto"/>
        </w:rPr>
      </w:pPr>
    </w:p>
    <w:p>
      <w:pPr>
        <w:ind w:left="120" w:right="659"/>
        <w:spacing w:after="0" w:line="261" w:lineRule="auto"/>
        <w:rPr>
          <w:sz w:val="20"/>
          <w:szCs w:val="20"/>
          <w:color w:val="auto"/>
        </w:rPr>
      </w:pPr>
      <w:r>
        <w:rPr>
          <w:rFonts w:ascii="Arial" w:cs="Arial" w:eastAsia="Arial" w:hAnsi="Arial"/>
          <w:sz w:val="18"/>
          <w:szCs w:val="18"/>
          <w:color w:val="auto"/>
        </w:rPr>
        <w:t>Act to register up to ordinary shares issued or reserved for issuance under the 2004 Plan and 2012 Plan. The registration statement on Form S-8 will become effective automatically upon filing.</w:t>
      </w:r>
    </w:p>
    <w:p>
      <w:pPr>
        <w:spacing w:after="0" w:line="184"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Following the completion of this offering, the holders of up to 3,176,744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74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ind w:left="120" w:right="539" w:firstLine="216"/>
        <w:spacing w:after="0" w:line="277" w:lineRule="auto"/>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left="120" w:right="199" w:firstLine="216"/>
        <w:spacing w:after="0" w:line="264"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81"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399" w:hanging="219"/>
        <w:spacing w:after="0" w:line="232" w:lineRule="auto"/>
        <w:tabs>
          <w:tab w:leader="none" w:pos="572" w:val="left"/>
        </w:tabs>
        <w:numPr>
          <w:ilvl w:val="0"/>
          <w:numId w:val="69"/>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69"/>
        </w:numPr>
        <w:rPr>
          <w:rFonts w:ascii="Arial" w:cs="Arial" w:eastAsia="Arial" w:hAnsi="Arial"/>
          <w:sz w:val="19"/>
          <w:szCs w:val="19"/>
          <w:color w:val="auto"/>
        </w:rPr>
      </w:pPr>
      <w:r>
        <w:rPr>
          <w:rFonts w:ascii="Arial" w:cs="Arial" w:eastAsia="Arial" w:hAnsi="Arial"/>
          <w:sz w:val="16"/>
          <w:szCs w:val="16"/>
          <w:color w:val="auto"/>
        </w:rPr>
        <w:t>under limited conditions, an election to file consolidated tax returns with related Israeli Industrial Companies; and</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02"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81"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79"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8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72"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w:t>
      </w:r>
    </w:p>
    <w:p>
      <w:pPr>
        <w:ind w:left="120" w:right="139"/>
        <w:spacing w:after="0" w:line="267" w:lineRule="auto"/>
        <w:rPr>
          <w:sz w:val="20"/>
          <w:szCs w:val="20"/>
          <w:color w:val="auto"/>
        </w:rPr>
      </w:pPr>
      <w:r>
        <w:rPr>
          <w:rFonts w:ascii="Arial" w:cs="Arial" w:eastAsia="Arial" w:hAnsi="Arial"/>
          <w:sz w:val="17"/>
          <w:szCs w:val="17"/>
          <w:color w:val="auto"/>
        </w:rPr>
        <w:t>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187"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w:t>
      </w:r>
    </w:p>
    <w:p>
      <w:pPr>
        <w:sectPr>
          <w:pgSz w:w="11900" w:h="16838" w:orient="portrait"/>
          <w:cols w:equalWidth="0" w:num="1">
            <w:col w:w="9019"/>
          </w:cols>
          <w:pgMar w:left="1440" w:top="125" w:right="1440" w:bottom="1093"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093" w:gutter="0" w:footer="0" w:header="0"/>
          <w:type w:val="continuous"/>
        </w:sectPr>
      </w:pPr>
    </w:p>
    <w:bookmarkStart w:id="104" w:name="page105"/>
    <w:bookmarkEnd w:id="104"/>
    <w:p>
      <w:pPr>
        <w:ind w:left="120" w:right="539"/>
        <w:spacing w:after="0" w:line="277" w:lineRule="auto"/>
        <w:rPr>
          <w:sz w:val="20"/>
          <w:szCs w:val="20"/>
          <w:color w:val="auto"/>
        </w:rPr>
      </w:pPr>
      <w:r>
        <w:rPr>
          <w:rFonts w:ascii="Arial" w:cs="Arial" w:eastAsia="Arial" w:hAnsi="Arial"/>
          <w:sz w:val="18"/>
          <w:szCs w:val="18"/>
          <w:color w:val="auto"/>
        </w:rPr>
        <w:t>Law) would be entitled, during a benefits period of 10 years, to further reduced tax rates of 8%, or 5% if the Special Preferred Enterprise is located in a certain development zone.</w:t>
      </w:r>
    </w:p>
    <w:p>
      <w:pPr>
        <w:spacing w:after="0" w:line="170" w:lineRule="exact"/>
        <w:rPr>
          <w:sz w:val="20"/>
          <w:szCs w:val="20"/>
          <w:color w:val="auto"/>
        </w:rPr>
      </w:pPr>
    </w:p>
    <w:p>
      <w:pPr>
        <w:jc w:val="both"/>
        <w:ind w:left="120" w:right="179" w:firstLine="216"/>
        <w:spacing w:after="0" w:line="302" w:lineRule="auto"/>
        <w:rPr>
          <w:sz w:val="20"/>
          <w:szCs w:val="20"/>
          <w:color w:val="auto"/>
        </w:rPr>
      </w:pPr>
      <w:r>
        <w:rPr>
          <w:rFonts w:ascii="Arial" w:cs="Arial" w:eastAsia="Arial" w:hAnsi="Arial"/>
          <w:sz w:val="16"/>
          <w:szCs w:val="16"/>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73"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w:t>
      </w:r>
    </w:p>
    <w:p>
      <w:pPr>
        <w:spacing w:after="0" w:line="229"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ind w:left="120" w:right="159" w:firstLine="216"/>
        <w:spacing w:after="0" w:line="304" w:lineRule="auto"/>
        <w:rPr>
          <w:sz w:val="20"/>
          <w:szCs w:val="20"/>
          <w:color w:val="auto"/>
        </w:rPr>
      </w:pPr>
      <w:r>
        <w:rPr>
          <w:rFonts w:ascii="Arial" w:cs="Arial" w:eastAsia="Arial" w:hAnsi="Arial"/>
          <w:sz w:val="15"/>
          <w:szCs w:val="15"/>
          <w:i w:val="1"/>
          <w:iCs w:val="1"/>
          <w:color w:val="auto"/>
        </w:rPr>
        <w:t xml:space="preserve">Capital Gains Taxes Applicable to Non-Israeli Resident Shareholders. </w:t>
      </w:r>
      <w:r>
        <w:rPr>
          <w:rFonts w:ascii="Arial" w:cs="Arial" w:eastAsia="Arial" w:hAnsi="Arial"/>
          <w:sz w:val="15"/>
          <w:szCs w:val="15"/>
          <w:color w:val="auto"/>
        </w:rPr>
        <w:t>Generally, a non-Israeli resident who derives</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w:t>
      </w:r>
    </w:p>
    <w:p>
      <w:pPr>
        <w:spacing w:after="0" w:line="2" w:lineRule="exact"/>
        <w:rPr>
          <w:sz w:val="20"/>
          <w:szCs w:val="20"/>
          <w:color w:val="auto"/>
        </w:rPr>
      </w:pPr>
    </w:p>
    <w:p>
      <w:pPr>
        <w:ind w:left="120" w:right="179" w:firstLine="5"/>
        <w:spacing w:after="0" w:line="255" w:lineRule="auto"/>
        <w:tabs>
          <w:tab w:leader="none" w:pos="3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90"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92" w:lineRule="exact"/>
        <w:rPr>
          <w:sz w:val="20"/>
          <w:szCs w:val="20"/>
          <w:color w:val="auto"/>
        </w:rPr>
      </w:pPr>
    </w:p>
    <w:p>
      <w:pPr>
        <w:ind w:left="340"/>
        <w:spacing w:after="0"/>
        <w:tabs>
          <w:tab w:leader="none" w:pos="5000" w:val="left"/>
        </w:tabs>
        <w:rPr>
          <w:sz w:val="20"/>
          <w:szCs w:val="20"/>
          <w:color w:val="auto"/>
        </w:rPr>
      </w:pPr>
      <w:r>
        <w:rPr>
          <w:rFonts w:ascii="Arial" w:cs="Arial" w:eastAsia="Arial" w:hAnsi="Arial"/>
          <w:sz w:val="18"/>
          <w:szCs w:val="18"/>
          <w:i w:val="1"/>
          <w:iCs w:val="1"/>
          <w:color w:val="auto"/>
        </w:rPr>
        <w:t>Taxation of Non-Israeli Shareholders on Receipt of Dividends.</w:t>
      </w:r>
      <w:r>
        <w:rPr>
          <w:sz w:val="20"/>
          <w:szCs w:val="20"/>
          <w:color w:val="auto"/>
        </w:rPr>
        <w:tab/>
      </w:r>
      <w:r>
        <w:rPr>
          <w:rFonts w:ascii="Arial" w:cs="Arial" w:eastAsia="Arial" w:hAnsi="Arial"/>
          <w:sz w:val="16"/>
          <w:szCs w:val="16"/>
          <w:color w:val="auto"/>
        </w:rPr>
        <w:t>Non-Israeli residents are generally subject to Israeli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income tax on the receipt of dividends paid on our ordinary shares at the rate of 25%, unless relief is provided in a treaty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between Israel and the shareholder’s country of residence. With respect to a person who is a “substantial shareholder”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time of receiving the dividend or on any time during the preceding twelve months, the applicable tax rate is 30%.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ind w:left="120" w:right="119"/>
        <w:spacing w:after="0" w:line="268" w:lineRule="auto"/>
        <w:rPr>
          <w:sz w:val="20"/>
          <w:szCs w:val="20"/>
          <w:color w:val="auto"/>
        </w:rPr>
      </w:pPr>
      <w:r>
        <w:rPr>
          <w:rFonts w:ascii="Arial" w:cs="Arial" w:eastAsia="Arial" w:hAnsi="Arial"/>
          <w:sz w:val="17"/>
          <w:szCs w:val="17"/>
          <w:color w:val="auto"/>
        </w:rPr>
        <w:t>“substantial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88" w:lineRule="exact"/>
        <w:rPr>
          <w:sz w:val="20"/>
          <w:szCs w:val="20"/>
          <w:color w:val="auto"/>
        </w:rPr>
      </w:pPr>
    </w:p>
    <w:p>
      <w:pPr>
        <w:ind w:left="120" w:right="239" w:firstLine="216"/>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78"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18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ind w:left="120" w:right="499" w:firstLine="216"/>
        <w:spacing w:after="0" w:line="312" w:lineRule="auto"/>
        <w:rPr>
          <w:sz w:val="20"/>
          <w:szCs w:val="20"/>
          <w:color w:val="auto"/>
        </w:rPr>
      </w:pPr>
      <w:r>
        <w:rPr>
          <w:rFonts w:ascii="Arial" w:cs="Arial" w:eastAsia="Arial" w:hAnsi="Arial"/>
          <w:sz w:val="16"/>
          <w:szCs w:val="16"/>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63" w:lineRule="exact"/>
        <w:rPr>
          <w:sz w:val="20"/>
          <w:szCs w:val="20"/>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real estate investment trusts, regulated investment companies or grantor trusts;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215" w:lineRule="exact"/>
        <w:rPr>
          <w:rFonts w:ascii="Arial" w:cs="Arial" w:eastAsia="Arial" w:hAnsi="Arial"/>
          <w:sz w:val="22"/>
          <w:szCs w:val="22"/>
          <w:color w:val="auto"/>
        </w:rPr>
      </w:pPr>
    </w:p>
    <w:p>
      <w:pPr>
        <w:ind w:left="560" w:right="499" w:hanging="219"/>
        <w:spacing w:after="0" w:line="232"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215" w:lineRule="exact"/>
        <w:rPr>
          <w:rFonts w:ascii="Arial" w:cs="Arial" w:eastAsia="Arial" w:hAnsi="Arial"/>
          <w:sz w:val="22"/>
          <w:szCs w:val="22"/>
          <w:color w:val="auto"/>
        </w:rPr>
      </w:pPr>
    </w:p>
    <w:p>
      <w:pPr>
        <w:ind w:left="560" w:right="179" w:hanging="219"/>
        <w:spacing w:after="0" w:line="232"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17" w:lineRule="exact"/>
        <w:rPr>
          <w:rFonts w:ascii="Arial" w:cs="Arial" w:eastAsia="Arial" w:hAnsi="Arial"/>
          <w:sz w:val="22"/>
          <w:szCs w:val="22"/>
          <w:color w:val="auto"/>
        </w:rPr>
      </w:pPr>
    </w:p>
    <w:p>
      <w:pPr>
        <w:ind w:left="560" w:right="439" w:hanging="219"/>
        <w:spacing w:after="0" w:line="232"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72"/>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04"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24"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67"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161" w:lineRule="exact"/>
        <w:rPr>
          <w:sz w:val="20"/>
          <w:szCs w:val="20"/>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215" w:lineRule="exact"/>
        <w:rPr>
          <w:rFonts w:ascii="Arial" w:cs="Arial" w:eastAsia="Arial" w:hAnsi="Arial"/>
          <w:sz w:val="22"/>
          <w:szCs w:val="22"/>
          <w:color w:val="auto"/>
        </w:rPr>
      </w:pPr>
    </w:p>
    <w:p>
      <w:pPr>
        <w:ind w:left="560" w:right="579" w:hanging="219"/>
        <w:spacing w:after="0" w:line="232" w:lineRule="auto"/>
        <w:tabs>
          <w:tab w:leader="none" w:pos="572" w:val="left"/>
        </w:tabs>
        <w:numPr>
          <w:ilvl w:val="0"/>
          <w:numId w:val="73"/>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73"/>
        </w:numPr>
        <w:rPr>
          <w:rFonts w:ascii="Arial" w:cs="Arial" w:eastAsia="Arial" w:hAnsi="Arial"/>
          <w:sz w:val="21"/>
          <w:szCs w:val="21"/>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5" w:lineRule="exact"/>
        <w:rPr>
          <w:rFonts w:ascii="Arial" w:cs="Arial" w:eastAsia="Arial" w:hAnsi="Arial"/>
          <w:sz w:val="21"/>
          <w:szCs w:val="21"/>
          <w:color w:val="auto"/>
        </w:rPr>
      </w:pPr>
    </w:p>
    <w:p>
      <w:pPr>
        <w:jc w:val="both"/>
        <w:ind w:left="560" w:right="119" w:hanging="219"/>
        <w:spacing w:after="0" w:line="285" w:lineRule="auto"/>
        <w:tabs>
          <w:tab w:leader="none" w:pos="572" w:val="left"/>
        </w:tabs>
        <w:numPr>
          <w:ilvl w:val="0"/>
          <w:numId w:val="73"/>
        </w:numPr>
        <w:rPr>
          <w:rFonts w:ascii="Arial" w:cs="Arial" w:eastAsia="Arial" w:hAnsi="Arial"/>
          <w:sz w:val="19"/>
          <w:szCs w:val="19"/>
          <w:color w:val="auto"/>
        </w:rPr>
      </w:pPr>
      <w:r>
        <w:rPr>
          <w:rFonts w:ascii="Arial" w:cs="Arial" w:eastAsia="Arial" w:hAnsi="Arial"/>
          <w:sz w:val="16"/>
          <w:szCs w:val="16"/>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68" w:lineRule="exact"/>
        <w:rPr>
          <w:sz w:val="20"/>
          <w:szCs w:val="20"/>
          <w:color w:val="auto"/>
        </w:rPr>
      </w:pPr>
    </w:p>
    <w:p>
      <w:pPr>
        <w:ind w:left="120" w:right="319" w:firstLine="216"/>
        <w:spacing w:after="0" w:line="302" w:lineRule="auto"/>
        <w:rPr>
          <w:sz w:val="20"/>
          <w:szCs w:val="20"/>
          <w:color w:val="auto"/>
        </w:rPr>
      </w:pPr>
      <w:r>
        <w:rPr>
          <w:rFonts w:ascii="Arial" w:cs="Arial" w:eastAsia="Arial" w:hAnsi="Arial"/>
          <w:sz w:val="16"/>
          <w:szCs w:val="16"/>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08" w:name="page109"/>
    <w:bookmarkEnd w:id="108"/>
    <w:p>
      <w:pPr>
        <w:ind w:left="120" w:right="3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66"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93"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69"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82"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left="120" w:right="739" w:firstLine="216"/>
        <w:spacing w:after="0" w:line="264"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generally will recognize gain or loss, for U.S. federal income tax purposes, on the sale, exchange or other taxable disposition of our</w:t>
      </w:r>
    </w:p>
    <w:p>
      <w:pPr>
        <w:sectPr>
          <w:pgSz w:w="11900" w:h="16838" w:orient="portrait"/>
          <w:cols w:equalWidth="0" w:num="1">
            <w:col w:w="9019"/>
          </w:cols>
          <w:pgMar w:left="1440" w:top="121"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09" w:name="page110"/>
    <w:bookmarkEnd w:id="109"/>
    <w:p>
      <w:pPr>
        <w:ind w:left="120" w:right="159"/>
        <w:spacing w:after="0" w:line="270" w:lineRule="auto"/>
        <w:rPr>
          <w:sz w:val="20"/>
          <w:szCs w:val="20"/>
          <w:color w:val="auto"/>
        </w:rPr>
      </w:pPr>
      <w:r>
        <w:rPr>
          <w:rFonts w:ascii="Arial" w:cs="Arial" w:eastAsia="Arial" w:hAnsi="Arial"/>
          <w:sz w:val="17"/>
          <w:szCs w:val="17"/>
          <w:color w:val="auto"/>
        </w:rPr>
        <w:t>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82"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7" w:lineRule="exact"/>
        <w:rPr>
          <w:sz w:val="20"/>
          <w:szCs w:val="20"/>
          <w:color w:val="auto"/>
        </w:rPr>
      </w:pPr>
    </w:p>
    <w:p>
      <w:pPr>
        <w:jc w:val="both"/>
        <w:ind w:left="120" w:right="499" w:firstLine="216"/>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2" w:lineRule="exact"/>
        <w:rPr>
          <w:sz w:val="20"/>
          <w:szCs w:val="20"/>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215" w:lineRule="exact"/>
        <w:rPr>
          <w:rFonts w:ascii="Arial" w:cs="Arial" w:eastAsia="Arial" w:hAnsi="Arial"/>
          <w:sz w:val="22"/>
          <w:szCs w:val="22"/>
          <w:color w:val="auto"/>
        </w:rPr>
      </w:pPr>
    </w:p>
    <w:p>
      <w:pPr>
        <w:jc w:val="both"/>
        <w:ind w:left="560" w:right="119" w:hanging="219"/>
        <w:spacing w:after="0" w:line="243" w:lineRule="auto"/>
        <w:tabs>
          <w:tab w:leader="none" w:pos="572" w:val="left"/>
        </w:tabs>
        <w:numPr>
          <w:ilvl w:val="0"/>
          <w:numId w:val="74"/>
        </w:numPr>
        <w:rPr>
          <w:rFonts w:ascii="Arial" w:cs="Arial" w:eastAsia="Arial" w:hAnsi="Arial"/>
          <w:sz w:val="22"/>
          <w:szCs w:val="22"/>
          <w:color w:val="auto"/>
        </w:rPr>
      </w:pPr>
      <w:r>
        <w:rPr>
          <w:rFonts w:ascii="Arial" w:cs="Arial" w:eastAsia="Arial" w:hAnsi="Arial"/>
          <w:sz w:val="18"/>
          <w:szCs w:val="18"/>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20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8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Based on certain estimates of our gross income and gross assets, our intended use of the proceeds of this offering,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120" w:right="219" w:firstLine="216"/>
        <w:spacing w:after="0" w:line="302"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4"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75"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9"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75"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120" w:right="399" w:firstLine="216"/>
        <w:spacing w:after="0" w:line="277"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left="120" w:right="379" w:firstLine="216"/>
        <w:spacing w:after="0" w:line="302"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-121920</wp:posOffset>
            </wp:positionV>
            <wp:extent cx="55740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Needham &amp; Company, LLC</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4030" cy="30861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84" w:lineRule="exact"/>
        <w:rPr>
          <w:sz w:val="20"/>
          <w:szCs w:val="20"/>
          <w:color w:val="auto"/>
        </w:rPr>
      </w:pPr>
    </w:p>
    <w:p>
      <w:pPr>
        <w:ind w:left="560" w:right="419" w:hanging="219"/>
        <w:spacing w:after="0" w:line="297" w:lineRule="auto"/>
        <w:tabs>
          <w:tab w:leader="none" w:pos="572" w:val="left"/>
        </w:tabs>
        <w:numPr>
          <w:ilvl w:val="0"/>
          <w:numId w:val="75"/>
        </w:numPr>
        <w:rPr>
          <w:rFonts w:ascii="Arial" w:cs="Arial" w:eastAsia="Arial" w:hAnsi="Arial"/>
          <w:sz w:val="19"/>
          <w:szCs w:val="19"/>
          <w:color w:val="auto"/>
        </w:rPr>
      </w:pPr>
      <w:r>
        <w:rPr>
          <w:rFonts w:ascii="Arial" w:cs="Arial" w:eastAsia="Arial" w:hAnsi="Arial"/>
          <w:sz w:val="16"/>
          <w:szCs w:val="16"/>
          <w:color w:val="auto"/>
        </w:rPr>
        <w:t>the obligation to purchase all of the ordinary shares offered hereby (other than those ordinary shares covered by their option to purchase additional shares as described below), if any of the shares are purchased;</w:t>
      </w:r>
    </w:p>
    <w:p>
      <w:pPr>
        <w:spacing w:after="0" w:line="141" w:lineRule="exact"/>
        <w:rPr>
          <w:rFonts w:ascii="Arial" w:cs="Arial" w:eastAsia="Arial" w:hAnsi="Arial"/>
          <w:sz w:val="19"/>
          <w:szCs w:val="19"/>
          <w:color w:val="auto"/>
        </w:rPr>
      </w:pPr>
    </w:p>
    <w:p>
      <w:pPr>
        <w:ind w:left="560" w:hanging="219"/>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No Exercise</w:t>
            </w:r>
          </w:p>
        </w:tc>
        <w:tc>
          <w:tcPr>
            <w:tcW w:w="34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Full Exercise</w:t>
            </w: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bl>
    <w:p>
      <w:pPr>
        <w:spacing w:after="0" w:line="16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ordinary shares directly to the public at the public offering price set forth on the cover of this prospectus and to selected dealers, which may include the underwriters, at such offering price less a selling concession not in excess of $ per share. After the offering, the representatives may change the offering price and other selling terms.</w:t>
      </w:r>
    </w:p>
    <w:p>
      <w:pPr>
        <w:sectPr>
          <w:pgSz w:w="11900" w:h="16838" w:orient="portrait"/>
          <w:cols w:equalWidth="0" w:num="1">
            <w:col w:w="9019"/>
          </w:cols>
          <w:pgMar w:left="1440" w:top="337" w:right="1440" w:bottom="1440" w:gutter="0" w:footer="0" w:header="0"/>
        </w:sectPr>
      </w:pPr>
    </w:p>
    <w:p>
      <w:pPr>
        <w:spacing w:after="0" w:line="187" w:lineRule="exact"/>
        <w:rPr>
          <w:sz w:val="20"/>
          <w:szCs w:val="20"/>
          <w:color w:val="auto"/>
        </w:rPr>
      </w:pPr>
    </w:p>
    <w:p>
      <w:pPr>
        <w:ind w:left="120" w:firstLine="216"/>
        <w:spacing w:after="0" w:line="277" w:lineRule="auto"/>
        <w:rPr>
          <w:sz w:val="20"/>
          <w:szCs w:val="20"/>
          <w:color w:val="auto"/>
        </w:rPr>
      </w:pPr>
      <w:r>
        <w:rPr>
          <w:rFonts w:ascii="Arial" w:cs="Arial" w:eastAsia="Arial" w:hAnsi="Arial"/>
          <w:sz w:val="18"/>
          <w:szCs w:val="18"/>
          <w:color w:val="auto"/>
        </w:rPr>
        <w:t>The expenses of the offering that are payable by us are estimated to be approximately $ discounts and commissions).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(excluding underwriting</w:t>
      </w:r>
    </w:p>
    <w:p>
      <w:pPr>
        <w:spacing w:after="0" w:line="459" w:lineRule="exact"/>
        <w:rPr>
          <w:sz w:val="20"/>
          <w:szCs w:val="20"/>
          <w:color w:val="auto"/>
        </w:rPr>
      </w:pPr>
    </w:p>
    <w:p>
      <w:pPr>
        <w:sectPr>
          <w:pgSz w:w="11900" w:h="16838" w:orient="portrait"/>
          <w:cols w:equalWidth="0" w:num="2">
            <w:col w:w="6640" w:space="300"/>
            <w:col w:w="2079"/>
          </w:cols>
          <w:pgMar w:left="1440" w:top="337" w:right="1440"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w:t>
      </w:r>
    </w:p>
    <w:p>
      <w:pPr>
        <w:spacing w:after="0" w:line="46" w:lineRule="exact"/>
        <w:rPr>
          <w:sz w:val="20"/>
          <w:szCs w:val="20"/>
          <w:color w:val="auto"/>
        </w:rPr>
      </w:pPr>
    </w:p>
    <w:p>
      <w:pPr>
        <w:ind w:left="120" w:right="199"/>
        <w:spacing w:after="0" w:line="295" w:lineRule="auto"/>
        <w:rPr>
          <w:sz w:val="20"/>
          <w:szCs w:val="20"/>
          <w:color w:val="auto"/>
        </w:rPr>
      </w:pPr>
      <w:r>
        <w:rPr>
          <w:rFonts w:ascii="Arial" w:cs="Arial" w:eastAsia="Arial" w:hAnsi="Arial"/>
          <w:sz w:val="16"/>
          <w:szCs w:val="16"/>
          <w:color w:val="auto"/>
        </w:rPr>
        <w:t>time to time, in whole or in part, up to an aggregate of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3" w:name="page114"/>
    <w:bookmarkEnd w:id="113"/>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shares issuable upon the exercise of warrants and vested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warrants)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(other than, with respect to us, the grant of options pursuant to option plans existing on the date of this prospectus),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Price Determination</w:t>
      </w:r>
    </w:p>
    <w:p>
      <w:pPr>
        <w:spacing w:after="0" w:line="229"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72" w:lineRule="exact"/>
        <w:rPr>
          <w:sz w:val="20"/>
          <w:szCs w:val="20"/>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offering; and</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76"/>
        </w:numPr>
        <w:rPr>
          <w:rFonts w:ascii="Arial" w:cs="Arial" w:eastAsia="Arial" w:hAnsi="Arial"/>
          <w:sz w:val="21"/>
          <w:szCs w:val="21"/>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239" w:firstLine="216"/>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95" w:lineRule="exact"/>
        <w:rPr>
          <w:sz w:val="20"/>
          <w:szCs w:val="20"/>
          <w:color w:val="auto"/>
        </w:rPr>
      </w:pPr>
    </w:p>
    <w:p>
      <w:pPr>
        <w:ind w:left="560" w:right="119" w:hanging="219"/>
        <w:spacing w:after="0" w:line="232" w:lineRule="auto"/>
        <w:tabs>
          <w:tab w:leader="none" w:pos="572" w:val="left"/>
        </w:tabs>
        <w:numPr>
          <w:ilvl w:val="0"/>
          <w:numId w:val="77"/>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217" w:lineRule="exact"/>
        <w:rPr>
          <w:rFonts w:ascii="Arial" w:cs="Arial" w:eastAsia="Arial" w:hAnsi="Arial"/>
          <w:sz w:val="22"/>
          <w:szCs w:val="22"/>
          <w:color w:val="auto"/>
        </w:rPr>
      </w:pPr>
    </w:p>
    <w:p>
      <w:pPr>
        <w:ind w:left="560" w:right="119" w:hanging="219"/>
        <w:spacing w:after="0" w:line="282" w:lineRule="auto"/>
        <w:tabs>
          <w:tab w:leader="none" w:pos="572" w:val="left"/>
        </w:tabs>
        <w:numPr>
          <w:ilvl w:val="0"/>
          <w:numId w:val="77"/>
        </w:numPr>
        <w:rPr>
          <w:rFonts w:ascii="Arial" w:cs="Arial" w:eastAsia="Arial" w:hAnsi="Arial"/>
          <w:sz w:val="19"/>
          <w:szCs w:val="19"/>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rFonts w:ascii="Arial" w:cs="Arial" w:eastAsia="Arial" w:hAnsi="Arial"/>
          <w:sz w:val="19"/>
          <w:szCs w:val="19"/>
          <w:color w:val="auto"/>
        </w:rPr>
      </w:pPr>
    </w:p>
    <w:p>
      <w:pPr>
        <w:ind w:left="560" w:right="299" w:hanging="219"/>
        <w:spacing w:after="0" w:line="232" w:lineRule="auto"/>
        <w:tabs>
          <w:tab w:leader="none" w:pos="572" w:val="left"/>
        </w:tabs>
        <w:numPr>
          <w:ilvl w:val="0"/>
          <w:numId w:val="77"/>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72" w:val="left"/>
        </w:tabs>
        <w:numPr>
          <w:ilvl w:val="0"/>
          <w:numId w:val="77"/>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20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88" w:lineRule="exact"/>
        <w:rPr>
          <w:sz w:val="20"/>
          <w:szCs w:val="20"/>
          <w:color w:val="auto"/>
        </w:rPr>
      </w:pPr>
    </w:p>
    <w:p>
      <w:pPr>
        <w:jc w:val="both"/>
        <w:ind w:left="120" w:right="239" w:firstLine="216"/>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have the ordinary shares listed on the NASDAQ Global Market under the symbol “KRNT.”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left="120" w:right="159" w:firstLine="216"/>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ind w:left="120" w:right="119"/>
        <w:spacing w:after="0" w:line="264"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81" w:lineRule="exact"/>
        <w:rPr>
          <w:sz w:val="20"/>
          <w:szCs w:val="20"/>
          <w:color w:val="auto"/>
        </w:rPr>
      </w:pPr>
    </w:p>
    <w:p>
      <w:pPr>
        <w:ind w:left="120" w:right="259" w:firstLine="216"/>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120" w:right="299" w:firstLine="216"/>
        <w:spacing w:after="0" w:line="27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63" w:lineRule="exact"/>
        <w:rPr>
          <w:sz w:val="20"/>
          <w:szCs w:val="20"/>
          <w:color w:val="auto"/>
        </w:rPr>
      </w:pPr>
    </w:p>
    <w:p>
      <w:pPr>
        <w:ind w:left="560" w:hanging="219"/>
        <w:spacing w:after="0"/>
        <w:tabs>
          <w:tab w:leader="none" w:pos="5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215" w:lineRule="exact"/>
        <w:rPr>
          <w:rFonts w:ascii="Arial" w:cs="Arial" w:eastAsia="Arial" w:hAnsi="Arial"/>
          <w:sz w:val="22"/>
          <w:szCs w:val="22"/>
          <w:color w:val="auto"/>
        </w:rPr>
      </w:pPr>
    </w:p>
    <w:p>
      <w:pPr>
        <w:ind w:left="560" w:right="159" w:hanging="219"/>
        <w:spacing w:after="0" w:line="241" w:lineRule="auto"/>
        <w:tabs>
          <w:tab w:leader="none" w:pos="572" w:val="left"/>
        </w:tabs>
        <w:numPr>
          <w:ilvl w:val="0"/>
          <w:numId w:val="78"/>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202"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jc w:val="both"/>
        <w:ind w:left="120" w:right="139" w:firstLine="216"/>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72" w:lineRule="exact"/>
        <w:rPr>
          <w:sz w:val="20"/>
          <w:szCs w:val="20"/>
          <w:color w:val="auto"/>
        </w:rPr>
      </w:pPr>
    </w:p>
    <w:p>
      <w:pPr>
        <w:ind w:left="560" w:hanging="219"/>
        <w:spacing w:after="0"/>
        <w:tabs>
          <w:tab w:leader="none" w:pos="5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215" w:lineRule="exact"/>
        <w:rPr>
          <w:rFonts w:ascii="Arial" w:cs="Arial" w:eastAsia="Arial" w:hAnsi="Arial"/>
          <w:sz w:val="22"/>
          <w:szCs w:val="22"/>
          <w:color w:val="auto"/>
        </w:rPr>
      </w:pPr>
    </w:p>
    <w:p>
      <w:pPr>
        <w:jc w:val="both"/>
        <w:ind w:left="560" w:right="119" w:hanging="219"/>
        <w:spacing w:after="0" w:line="246" w:lineRule="auto"/>
        <w:tabs>
          <w:tab w:leader="none" w:pos="586" w:val="left"/>
        </w:tabs>
        <w:numPr>
          <w:ilvl w:val="0"/>
          <w:numId w:val="79"/>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200" w:lineRule="exact"/>
        <w:rPr>
          <w:sz w:val="20"/>
          <w:szCs w:val="20"/>
          <w:color w:val="auto"/>
        </w:rPr>
      </w:pPr>
    </w:p>
    <w:p>
      <w:pPr>
        <w:ind w:left="120" w:right="239" w:firstLine="216"/>
        <w:spacing w:after="0" w:line="290"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following table sets forth all expenses to be paid by us, other than estimated underwriting discounts and commissions, in connection with this offering. All amounts shown are estimates except for the Securities and Exchange Commission registration fee, NASDAQ listing fee and FINRA filing fee: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Accounting fees and expenses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Printing and engraving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Transfer Agent and Registrar fees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Miscellaneous fees and expenses</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left="-1679"/>
        <w:spacing w:after="0"/>
        <w:rPr>
          <w:sz w:val="20"/>
          <w:szCs w:val="20"/>
          <w:color w:val="auto"/>
        </w:rPr>
      </w:pPr>
      <w:r>
        <w:rPr>
          <w:rFonts w:ascii="Arial" w:cs="Arial" w:eastAsia="Arial" w:hAnsi="Arial"/>
          <w:sz w:val="16"/>
          <w:szCs w:val="16"/>
          <w:b w:val="1"/>
          <w:bCs w:val="1"/>
          <w:color w:val="auto"/>
        </w:rPr>
        <w:t>Amount to</w:t>
      </w:r>
    </w:p>
    <w:p>
      <w:pPr>
        <w:spacing w:after="0" w:line="50" w:lineRule="exact"/>
        <w:rPr>
          <w:sz w:val="20"/>
          <w:szCs w:val="20"/>
          <w:color w:val="auto"/>
        </w:rPr>
      </w:pPr>
    </w:p>
    <w:p>
      <w:pPr>
        <w:jc w:val="center"/>
        <w:ind w:left="-1679"/>
        <w:spacing w:after="0"/>
        <w:rPr>
          <w:sz w:val="20"/>
          <w:szCs w:val="20"/>
          <w:color w:val="auto"/>
        </w:rPr>
      </w:pPr>
      <w:r>
        <w:rPr>
          <w:rFonts w:ascii="Arial" w:cs="Arial" w:eastAsia="Arial" w:hAnsi="Arial"/>
          <w:sz w:val="18"/>
          <w:szCs w:val="18"/>
          <w:b w:val="1"/>
          <w:bCs w:val="1"/>
          <w:color w:val="auto"/>
        </w:rPr>
        <w:t>be Paid</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151765</wp:posOffset>
            </wp:positionV>
            <wp:extent cx="557403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426085</wp:posOffset>
            </wp:positionV>
            <wp:extent cx="557403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700405</wp:posOffset>
            </wp:positionV>
            <wp:extent cx="557403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983615</wp:posOffset>
            </wp:positionV>
            <wp:extent cx="557403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4030" cy="16319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-130810</wp:posOffset>
            </wp:positionV>
            <wp:extent cx="557403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40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31750</wp:posOffset>
            </wp:positionV>
            <wp:extent cx="892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ectPr>
          <w:pgSz w:w="11900" w:h="16838" w:orient="portrait"/>
          <w:cols w:equalWidth="0" w:num="2">
            <w:col w:w="3380" w:space="720"/>
            <w:col w:w="4919"/>
          </w:cols>
          <w:pgMar w:left="1440" w:top="121" w:right="1440" w:bottom="1440" w:gutter="0" w:footer="0" w:header="0"/>
          <w:type w:val="continuous"/>
        </w:sectPr>
      </w:pPr>
    </w:p>
    <w:p>
      <w:pPr>
        <w:spacing w:after="0" w:line="29"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consolidated financial statements of Kornit Digital Ltd. at December 31, 2012 and 2013, and for each of the two years in the period ended December 31, 2013,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173" w:lineRule="exact"/>
        <w:rPr>
          <w:sz w:val="20"/>
          <w:szCs w:val="20"/>
          <w:color w:val="auto"/>
        </w:rPr>
      </w:pPr>
    </w:p>
    <w:p>
      <w:pPr>
        <w:ind w:left="120" w:right="199" w:firstLine="216"/>
        <w:spacing w:after="0" w:line="293" w:lineRule="auto"/>
        <w:rPr>
          <w:sz w:val="20"/>
          <w:szCs w:val="20"/>
          <w:color w:val="auto"/>
        </w:rPr>
      </w:pPr>
      <w:r>
        <w:rPr>
          <w:rFonts w:ascii="Arial" w:cs="Arial" w:eastAsia="Arial" w:hAnsi="Arial"/>
          <w:sz w:val="16"/>
          <w:szCs w:val="16"/>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65"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92" w:lineRule="exact"/>
        <w:rPr>
          <w:sz w:val="20"/>
          <w:szCs w:val="20"/>
          <w:color w:val="auto"/>
        </w:rPr>
      </w:pPr>
    </w:p>
    <w:p>
      <w:pPr>
        <w:ind w:left="560" w:right="259" w:hanging="219"/>
        <w:spacing w:after="0" w:line="297" w:lineRule="auto"/>
        <w:tabs>
          <w:tab w:leader="none" w:pos="572" w:val="left"/>
        </w:tabs>
        <w:numPr>
          <w:ilvl w:val="0"/>
          <w:numId w:val="80"/>
        </w:numPr>
        <w:rPr>
          <w:rFonts w:ascii="Arial" w:cs="Arial" w:eastAsia="Arial" w:hAnsi="Arial"/>
          <w:sz w:val="19"/>
          <w:szCs w:val="19"/>
          <w:color w:val="auto"/>
        </w:rPr>
      </w:pPr>
      <w:r>
        <w:rPr>
          <w:rFonts w:ascii="Arial" w:cs="Arial" w:eastAsia="Arial" w:hAnsi="Arial"/>
          <w:sz w:val="16"/>
          <w:szCs w:val="16"/>
          <w:color w:val="auto"/>
        </w:rPr>
        <w:t>the judgment was obtained after due process before a court of competent jurisdiction, according to the laws of the state in which the judgment was given and the rules of private international law currently prevailing in Israel;</w:t>
      </w:r>
    </w:p>
    <w:p>
      <w:pPr>
        <w:sectPr>
          <w:pgSz w:w="11900" w:h="16838" w:orient="portrait"/>
          <w:cols w:equalWidth="0" w:num="1">
            <w:col w:w="9019"/>
          </w:cols>
          <w:pgMar w:left="1440" w:top="121" w:right="1440"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8" w:name="page119"/>
    <w:bookmarkEnd w:id="118"/>
    <w:p>
      <w:pPr>
        <w:ind w:left="560" w:hanging="219"/>
        <w:spacing w:after="0"/>
        <w:tabs>
          <w:tab w:leader="none" w:pos="560" w:val="left"/>
        </w:tabs>
        <w:numPr>
          <w:ilvl w:val="0"/>
          <w:numId w:val="81"/>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81"/>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17" w:lineRule="exact"/>
        <w:rPr>
          <w:rFonts w:ascii="Arial" w:cs="Arial" w:eastAsia="Arial" w:hAnsi="Arial"/>
          <w:sz w:val="22"/>
          <w:szCs w:val="22"/>
          <w:color w:val="auto"/>
        </w:rPr>
      </w:pPr>
    </w:p>
    <w:p>
      <w:pPr>
        <w:ind w:left="560" w:right="299" w:hanging="219"/>
        <w:spacing w:after="0" w:line="232" w:lineRule="auto"/>
        <w:tabs>
          <w:tab w:leader="none" w:pos="572" w:val="left"/>
        </w:tabs>
        <w:numPr>
          <w:ilvl w:val="0"/>
          <w:numId w:val="81"/>
        </w:numPr>
        <w:rPr>
          <w:rFonts w:ascii="Arial" w:cs="Arial" w:eastAsia="Arial" w:hAnsi="Arial"/>
          <w:sz w:val="22"/>
          <w:szCs w:val="22"/>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217" w:lineRule="exact"/>
        <w:rPr>
          <w:rFonts w:ascii="Arial" w:cs="Arial" w:eastAsia="Arial" w:hAnsi="Arial"/>
          <w:sz w:val="22"/>
          <w:szCs w:val="22"/>
          <w:color w:val="auto"/>
        </w:rPr>
      </w:pPr>
    </w:p>
    <w:p>
      <w:pPr>
        <w:ind w:left="560" w:right="419" w:hanging="219"/>
        <w:spacing w:after="0" w:line="232" w:lineRule="auto"/>
        <w:tabs>
          <w:tab w:leader="none" w:pos="572" w:val="left"/>
        </w:tabs>
        <w:numPr>
          <w:ilvl w:val="0"/>
          <w:numId w:val="81"/>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217" w:lineRule="exact"/>
        <w:rPr>
          <w:rFonts w:ascii="Arial" w:cs="Arial" w:eastAsia="Arial" w:hAnsi="Arial"/>
          <w:sz w:val="22"/>
          <w:szCs w:val="22"/>
          <w:color w:val="auto"/>
        </w:rPr>
      </w:pPr>
    </w:p>
    <w:p>
      <w:pPr>
        <w:ind w:left="560" w:right="539" w:hanging="219"/>
        <w:spacing w:after="0" w:line="232" w:lineRule="auto"/>
        <w:tabs>
          <w:tab w:leader="none" w:pos="572" w:val="left"/>
        </w:tabs>
        <w:numPr>
          <w:ilvl w:val="0"/>
          <w:numId w:val="81"/>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217" w:lineRule="exact"/>
        <w:rPr>
          <w:rFonts w:ascii="Arial" w:cs="Arial" w:eastAsia="Arial" w:hAnsi="Arial"/>
          <w:sz w:val="22"/>
          <w:szCs w:val="22"/>
          <w:color w:val="auto"/>
        </w:rPr>
      </w:pPr>
    </w:p>
    <w:p>
      <w:pPr>
        <w:ind w:left="560" w:right="319" w:hanging="219"/>
        <w:spacing w:after="0" w:line="232" w:lineRule="auto"/>
        <w:tabs>
          <w:tab w:leader="none" w:pos="572" w:val="left"/>
        </w:tabs>
        <w:numPr>
          <w:ilvl w:val="0"/>
          <w:numId w:val="81"/>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81"/>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204"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78" w:lineRule="exact"/>
        <w:rPr>
          <w:sz w:val="20"/>
          <w:szCs w:val="20"/>
          <w:color w:val="auto"/>
        </w:rPr>
      </w:pPr>
    </w:p>
    <w:p>
      <w:pPr>
        <w:ind w:left="120" w:right="219" w:firstLine="216"/>
        <w:spacing w:after="0" w:line="254"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92"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ectPr>
          <w:pgSz w:w="11900" w:h="16838" w:orient="portrait"/>
          <w:cols w:equalWidth="0" w:num="1">
            <w:col w:w="9019"/>
          </w:cols>
          <w:pgMar w:left="1440" w:top="332"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tcBorders>
            <w:gridSpan w:val="13"/>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REPORT OF INDEPENDENT REGISTERED PUBLIC ACCOUNTING FIRM</w:t>
              </w:r>
            </w:hyperlink>
          </w:p>
        </w:tc>
        <w:tc>
          <w:tcPr>
            <w:tcW w:w="12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tcPr>
          <w:p>
            <w:pPr>
              <w:spacing w:after="0"/>
              <w:rPr>
                <w:sz w:val="21"/>
                <w:szCs w:val="21"/>
                <w:color w:val="auto"/>
              </w:rPr>
            </w:pPr>
          </w:p>
        </w:tc>
        <w:tc>
          <w:tcPr>
            <w:tcW w:w="17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94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Consolidated Balance Sheets as of December 31, 2012 and 2013 (audited) and as of September 30,</w:t>
              </w:r>
            </w:hyperlink>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2014 (unaudited)</w:t>
              </w:r>
            </w:hyperlink>
          </w:p>
        </w:tc>
        <w:tc>
          <w:tcPr>
            <w:tcW w:w="566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14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Income for the years ended December 31, 2012 and 2013 (audited) and</w:t>
              </w:r>
            </w:hyperlink>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13"/>
          </w:tcPr>
          <w:p>
            <w:pPr>
              <w:ind w:left="20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the nine months ended September 30, 2013 and 2014 (unaudited)</w:t>
              </w:r>
            </w:hyperlink>
          </w:p>
        </w:tc>
        <w:tc>
          <w:tcPr>
            <w:tcW w:w="140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125">
              <w:r>
                <w:rPr>
                  <w:rFonts w:ascii="Arial" w:cs="Arial" w:eastAsia="Arial" w:hAnsi="Arial"/>
                  <w:sz w:val="18"/>
                  <w:szCs w:val="18"/>
                  <w:color w:val="0000EE"/>
                  <w:w w:val="94"/>
                </w:rPr>
                <w:t>Consolidated Statements of Comprehensive Income for the years ended December 31, 2012 and</w:t>
              </w:r>
            </w:hyperlink>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360" w:type="dxa"/>
            <w:vAlign w:val="bottom"/>
            <w:tcBorders>
              <w:top w:val="single" w:sz="8" w:color="0000EE"/>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2013 (audited) and for the nine months ended September 30, 2013 and 2014 (unaudited)</w:t>
              </w:r>
            </w:hyperlink>
          </w:p>
        </w:tc>
        <w:tc>
          <w:tcPr>
            <w:tcW w:w="3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860" w:type="dxa"/>
            <w:vAlign w:val="bottom"/>
            <w:tcBorders>
              <w:bottom w:val="single" w:sz="8" w:color="0000EE"/>
            </w:tcBorders>
            <w:gridSpan w:val="8"/>
          </w:tcPr>
          <w:p>
            <w:pPr>
              <w:spacing w:after="0" w:line="17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Consolidated Statements of Changes in Shareholders’ Equity for the years ended December 31,</w:t>
              </w:r>
            </w:hyperlink>
          </w:p>
        </w:tc>
        <w:tc>
          <w:tcPr>
            <w:tcW w:w="500" w:type="dxa"/>
            <w:vAlign w:val="bottom"/>
            <w:gridSpan w:val="5"/>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13"/>
          </w:tcPr>
          <w:p>
            <w:pPr>
              <w:ind w:left="200"/>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2012 and 2013 (audited) and the nine months ended September 30, 2013 and 2014 (unaudited)</w:t>
              </w:r>
            </w:hyperlink>
          </w:p>
        </w:tc>
        <w:tc>
          <w:tcPr>
            <w:tcW w:w="140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1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Cash Flows for the years ended December 31, 2012 and 2013 (audited)</w:t>
              </w:r>
            </w:hyperlink>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160" w:type="dxa"/>
            <w:vAlign w:val="bottom"/>
            <w:gridSpan w:val="12"/>
            <w:shd w:val="clear" w:color="auto" w:fill="CCEEFF"/>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and the nine months ended September 30, 2013 and 2014 (unaudited)</w:t>
              </w:r>
            </w:hyperlink>
          </w:p>
        </w:tc>
        <w:tc>
          <w:tcPr>
            <w:tcW w:w="1400" w:type="dxa"/>
            <w:vAlign w:val="bottom"/>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60" w:type="dxa"/>
            <w:vAlign w:val="bottom"/>
            <w:gridSpan w:val="13"/>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Notes to Consolidated Financial Statements</w:t>
              </w:r>
            </w:hyperlink>
          </w:p>
        </w:tc>
        <w:tc>
          <w:tcPr>
            <w:tcW w:w="140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04"/>
        </w:trPr>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1700" w:type="dxa"/>
            <w:vAlign w:val="bottom"/>
            <w:tcBorders>
              <w:top w:val="single" w:sz="8" w:color="0000EE"/>
              <w:bottom w:val="single" w:sz="8" w:color="auto"/>
            </w:tcBorders>
          </w:tcPr>
          <w:p>
            <w:pPr>
              <w:spacing w:after="0"/>
              <w:rPr>
                <w:sz w:val="24"/>
                <w:szCs w:val="24"/>
                <w:color w:val="auto"/>
              </w:rPr>
            </w:pPr>
          </w:p>
        </w:tc>
        <w:tc>
          <w:tcPr>
            <w:tcW w:w="4220" w:type="dxa"/>
            <w:vAlign w:val="bottom"/>
            <w:tcBorders>
              <w:bottom w:val="single" w:sz="8" w:color="auto"/>
            </w:tcBorders>
            <w:gridSpan w:val="10"/>
          </w:tcPr>
          <w:p>
            <w:pPr>
              <w:ind w:left="116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200660</wp:posOffset>
            </wp:positionV>
            <wp:extent cx="788670" cy="909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88670" cy="90932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2012 and 2013, and the related consolidated statements of income, comprehensive income, shareholders’ equity and cash flows for each of the two years in the period ended December 31, 2013.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2012 and 2013, and the consolidated results of their operations and their cash flows for each of the two years in the period ended December 31, 2013, in conformity with U.S. generally accepted accounting principles.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960" w:type="dxa"/>
            <w:vAlign w:val="bottom"/>
          </w:tcPr>
          <w:p>
            <w:pPr>
              <w:jc w:val="center"/>
              <w:ind w:left="1294"/>
              <w:spacing w:after="0"/>
              <w:rPr>
                <w:sz w:val="20"/>
                <w:szCs w:val="20"/>
                <w:color w:val="auto"/>
              </w:rPr>
            </w:pPr>
            <w:r>
              <w:rPr>
                <w:rFonts w:ascii="Arial" w:cs="Arial" w:eastAsia="Arial" w:hAnsi="Arial"/>
                <w:sz w:val="18"/>
                <w:szCs w:val="18"/>
                <w:color w:val="auto"/>
                <w:w w:val="91"/>
              </w:rPr>
              <w:t>/s/ Kost Forer Gabbay &amp; Kasierer</w:t>
            </w:r>
          </w:p>
        </w:tc>
      </w:tr>
      <w:tr>
        <w:trPr>
          <w:trHeight w:val="220"/>
        </w:trPr>
        <w:tc>
          <w:tcPr>
            <w:tcW w:w="282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5960" w:type="dxa"/>
            <w:vAlign w:val="bottom"/>
          </w:tcPr>
          <w:p>
            <w:pPr>
              <w:jc w:val="center"/>
              <w:ind w:left="1294"/>
              <w:spacing w:after="0"/>
              <w:rPr>
                <w:sz w:val="20"/>
                <w:szCs w:val="20"/>
                <w:color w:val="auto"/>
              </w:rPr>
            </w:pPr>
            <w:r>
              <w:rPr>
                <w:rFonts w:ascii="Arial" w:cs="Arial" w:eastAsia="Arial" w:hAnsi="Arial"/>
                <w:sz w:val="18"/>
                <w:szCs w:val="18"/>
                <w:b w:val="1"/>
                <w:bCs w:val="1"/>
                <w:color w:val="auto"/>
                <w:w w:val="99"/>
              </w:rPr>
              <w:t>KOST FORER GABBAY &amp; KASIERER</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December 9, 2014</w:t>
            </w:r>
          </w:p>
        </w:tc>
        <w:tc>
          <w:tcPr>
            <w:tcW w:w="5960" w:type="dxa"/>
            <w:vAlign w:val="bottom"/>
          </w:tcPr>
          <w:p>
            <w:pPr>
              <w:jc w:val="center"/>
              <w:ind w:left="1274"/>
              <w:spacing w:after="0"/>
              <w:rPr>
                <w:sz w:val="20"/>
                <w:szCs w:val="20"/>
                <w:color w:val="auto"/>
              </w:rPr>
            </w:pPr>
            <w:r>
              <w:rPr>
                <w:rFonts w:ascii="Arial" w:cs="Arial" w:eastAsia="Arial" w:hAnsi="Arial"/>
                <w:sz w:val="18"/>
                <w:szCs w:val="18"/>
                <w:color w:val="auto"/>
                <w:w w:val="93"/>
              </w:rPr>
              <w:t>A Member of Ernst &amp; Young Global</w:t>
            </w:r>
          </w:p>
        </w:tc>
      </w:tr>
      <w:tr>
        <w:trPr>
          <w:trHeight w:val="284"/>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1" w:name="page122"/>
    <w:bookmarkEnd w:id="12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gridSpan w:val="2"/>
          </w:tcPr>
          <w:p>
            <w:pPr>
              <w:spacing w:after="0"/>
              <w:rPr>
                <w:sz w:val="21"/>
                <w:szCs w:val="21"/>
                <w:color w:val="auto"/>
              </w:rPr>
            </w:pPr>
          </w:p>
        </w:tc>
        <w:tc>
          <w:tcPr>
            <w:tcW w:w="3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accounts receivable and prepaid expenses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20,917</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27,283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27,118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long-term assets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3,490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6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F-3</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2" w:name="page123"/>
    <w:bookmarkEnd w:id="12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3"/>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LIABILITIES AND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Trade payables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4,379</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7,225</w:t>
            </w:r>
          </w:p>
        </w:tc>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w w:val="92"/>
              </w:rPr>
              <w:t>Deferred revenues and advances from customers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Accrued severance pay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Ordinary shares of NIS 0.01 par value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3"/>
              </w:rPr>
              <w:t>Authorized: 4,020,280 shares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1,366,310, 1,366,310 and 1,369,310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at December 31, 2012 and 2013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September 30, 2014 (unaudited); 3,296,450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8"/>
              </w:rPr>
              <w:t>shares issued and outstanding pro forma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at September 30, 2014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A-1 shares of NIS 0.01 par value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Authorized: 1,927,220 shares at December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1,927,140 shares at December 31, 2012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 0 shares Issued and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Outstanding pro forma (unaudited)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200"/>
              <w:spacing w:after="0" w:line="176" w:lineRule="exact"/>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14,311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15,608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ind w:left="200"/>
              <w:spacing w:after="0" w:line="189" w:lineRule="exact"/>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24,407</w:t>
            </w:r>
          </w:p>
        </w:tc>
        <w:tc>
          <w:tcPr>
            <w:tcW w:w="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31,627</w:t>
            </w:r>
          </w:p>
        </w:tc>
        <w:tc>
          <w:tcPr>
            <w:tcW w:w="520" w:type="dxa"/>
            <w:vAlign w:val="bottom"/>
            <w:gridSpan w:val="2"/>
          </w:tcPr>
          <w:p>
            <w:pPr>
              <w:jc w:val="right"/>
              <w:ind w:right="59"/>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3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3" w:name="page124"/>
    <w:bookmarkEnd w:id="12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Taxes on income</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8"/>
              </w:rPr>
              <w:t>Basic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5"/>
              </w:rPr>
              <w:t>Diluted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4" w:name="page125"/>
    <w:bookmarkEnd w:id="12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2"/>
              </w:rPr>
              <w:t>Net change in accumulated comprehensive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F-6</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5" w:name="page126"/>
    <w:bookmarkEnd w:id="12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859"/>
        <w:spacing w:after="0" w:line="298" w:lineRule="auto"/>
        <w:rPr>
          <w:sz w:val="20"/>
          <w:szCs w:val="20"/>
          <w:color w:val="auto"/>
        </w:rPr>
      </w:pPr>
      <w:r>
        <w:rPr>
          <w:rFonts w:ascii="Arial" w:cs="Arial" w:eastAsia="Arial" w:hAnsi="Arial"/>
          <w:sz w:val="18"/>
          <w:szCs w:val="18"/>
          <w:b w:val="1"/>
          <w:bCs w:val="1"/>
          <w:color w:val="auto"/>
        </w:rPr>
        <w:t>STATEMENTS OF CHANGES IN SHAREHOLDERS’ EQUITY U.S.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Preferred A-1 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Ordinary shares</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Other</w:t>
            </w:r>
          </w:p>
        </w:tc>
        <w:tc>
          <w:tcPr>
            <w:tcW w:w="1040" w:type="dxa"/>
            <w:vAlign w:val="bottom"/>
            <w:gridSpan w:val="4"/>
          </w:tcPr>
          <w:p>
            <w:pPr>
              <w:jc w:val="center"/>
              <w:ind w:right="300"/>
              <w:spacing w:after="0" w:line="110" w:lineRule="exact"/>
              <w:rPr>
                <w:sz w:val="20"/>
                <w:szCs w:val="20"/>
                <w:color w:val="auto"/>
              </w:rPr>
            </w:pPr>
            <w:r>
              <w:rPr>
                <w:rFonts w:ascii="Arial" w:cs="Arial" w:eastAsia="Arial" w:hAnsi="Arial"/>
                <w:sz w:val="12"/>
                <w:szCs w:val="12"/>
                <w:b w:val="1"/>
                <w:bCs w:val="1"/>
                <w:color w:val="auto"/>
                <w:w w:val="96"/>
              </w:rPr>
              <w:t>Number of</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4"/>
          </w:tcPr>
          <w:p>
            <w:pPr>
              <w:jc w:val="center"/>
              <w:ind w:right="280"/>
              <w:spacing w:after="0" w:line="110"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center"/>
              <w:ind w:right="420"/>
              <w:spacing w:after="0" w:line="110" w:lineRule="exact"/>
              <w:rPr>
                <w:sz w:val="20"/>
                <w:szCs w:val="20"/>
                <w:color w:val="auto"/>
              </w:rPr>
            </w:pPr>
            <w:r>
              <w:rPr>
                <w:rFonts w:ascii="Arial" w:cs="Arial" w:eastAsia="Arial" w:hAnsi="Arial"/>
                <w:sz w:val="12"/>
                <w:szCs w:val="12"/>
                <w:b w:val="1"/>
                <w:bCs w:val="1"/>
                <w:color w:val="auto"/>
                <w:w w:val="93"/>
              </w:rPr>
              <w:t>other</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 in</w:t>
            </w:r>
          </w:p>
        </w:tc>
        <w:tc>
          <w:tcPr>
            <w:tcW w:w="220" w:type="dxa"/>
            <w:vAlign w:val="bottom"/>
          </w:tcPr>
          <w:p>
            <w:pPr>
              <w:spacing w:after="0"/>
              <w:rPr>
                <w:sz w:val="11"/>
                <w:szCs w:val="11"/>
                <w:color w:val="auto"/>
              </w:rPr>
            </w:pPr>
          </w:p>
        </w:tc>
        <w:tc>
          <w:tcPr>
            <w:tcW w:w="116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comprehensive</w:t>
            </w: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shareholders’</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0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3"/>
              </w:rPr>
              <w:t>outstanding</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3"/>
                <w:szCs w:val="13"/>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5"/>
              </w:rPr>
              <w:t>outstanding</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3"/>
              </w:rPr>
              <w:t>income</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earnings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11,787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2,516</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14,311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11,913</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3,650</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15,608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1,829</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options</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September 30,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(Unaudited)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1,369,310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12,432</w:t>
            </w:r>
          </w:p>
        </w:tc>
        <w:tc>
          <w:tcPr>
            <w:tcW w:w="1300" w:type="dxa"/>
            <w:vAlign w:val="bottom"/>
            <w:gridSpan w:val="4"/>
            <w:shd w:val="clear" w:color="auto" w:fill="CCEEFF"/>
          </w:tcPr>
          <w:p>
            <w:pPr>
              <w:jc w:val="right"/>
              <w:ind w:right="180"/>
              <w:spacing w:after="0" w:line="176" w:lineRule="exact"/>
              <w:rPr>
                <w:sz w:val="20"/>
                <w:szCs w:val="20"/>
                <w:color w:val="auto"/>
              </w:rPr>
            </w:pPr>
            <w:r>
              <w:rPr>
                <w:rFonts w:ascii="Arial" w:cs="Arial" w:eastAsia="Arial" w:hAnsi="Arial"/>
                <w:sz w:val="11"/>
                <w:szCs w:val="11"/>
                <w:color w:val="auto"/>
              </w:rPr>
              <w:t>(120</w:t>
            </w:r>
            <w:r>
              <w:rPr>
                <w:rFonts w:ascii="Arial" w:cs="Arial" w:eastAsia="Arial" w:hAnsi="Arial"/>
                <w:sz w:val="20"/>
                <w:szCs w:val="20"/>
                <w:color w:val="auto"/>
                <w:vertAlign w:val="superscript"/>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17,799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90"/>
              </w:rPr>
              <w:t>Year ended</w:t>
            </w: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r>
      <w:tr>
        <w:trPr>
          <w:trHeight w:val="223"/>
        </w:trPr>
        <w:tc>
          <w:tcPr>
            <w:tcW w:w="4020" w:type="dxa"/>
            <w:vAlign w:val="bottom"/>
            <w:gridSpan w:val="3"/>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4"/>
              </w:rPr>
              <w:t>Unaudited</w:t>
            </w:r>
          </w:p>
        </w:tc>
      </w:tr>
      <w:tr>
        <w:trPr>
          <w:trHeight w:val="199"/>
        </w:trPr>
        <w:tc>
          <w:tcPr>
            <w:tcW w:w="2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jc w:val="right"/>
              <w:ind w:right="2039"/>
              <w:spacing w:after="0"/>
              <w:rPr>
                <w:sz w:val="20"/>
                <w:szCs w:val="20"/>
                <w:color w:val="auto"/>
              </w:rPr>
            </w:pPr>
            <w:r>
              <w:rPr>
                <w:rFonts w:ascii="Arial" w:cs="Arial" w:eastAsia="Arial" w:hAnsi="Arial"/>
                <w:sz w:val="16"/>
                <w:szCs w:val="16"/>
                <w:color w:val="auto"/>
                <w:w w:val="91"/>
              </w:rPr>
              <w:t>Cash flows used in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tcPr>
          <w:p>
            <w:pPr>
              <w:spacing w:after="0"/>
              <w:rPr>
                <w:sz w:val="20"/>
                <w:szCs w:val="20"/>
                <w:color w:val="auto"/>
              </w:rPr>
            </w:pPr>
            <w:r>
              <w:rPr>
                <w:rFonts w:ascii="Arial" w:cs="Arial" w:eastAsia="Arial" w:hAnsi="Arial"/>
                <w:sz w:val="16"/>
                <w:szCs w:val="16"/>
                <w:color w:val="auto"/>
                <w:w w:val="95"/>
              </w:rPr>
              <w:t>Adjustments to reconcile net income to net cash provided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gridSpan w:val="4"/>
          </w:tcPr>
          <w:p>
            <w:pPr>
              <w:ind w:left="200"/>
              <w:spacing w:after="0"/>
              <w:rPr>
                <w:sz w:val="20"/>
                <w:szCs w:val="20"/>
                <w:color w:val="auto"/>
              </w:rPr>
            </w:pPr>
            <w:r>
              <w:rPr>
                <w:rFonts w:ascii="Arial" w:cs="Arial" w:eastAsia="Arial" w:hAnsi="Arial"/>
                <w:sz w:val="16"/>
                <w:szCs w:val="16"/>
                <w:color w:val="auto"/>
              </w:rPr>
              <w:t>by (used in)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Changes in deferred income taxes,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trade receivables,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Decrease (increase) in other 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inventories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trade payables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Increase (decrease) in deferred revenues and advances</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from customers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in employees and payroll accruals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Decrease (increase) in other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w w:val="89"/>
              </w:rPr>
              <w:t>Increase (decrease) in other payables and 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on short-term bank deposit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Gain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Foreign currency re-measurement gain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flows used in investing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Purchase of intangible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(investment in) bank deposits,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rPr>
                <w:sz w:val="20"/>
                <w:szCs w:val="20"/>
                <w:color w:val="auto"/>
              </w:rPr>
            </w:pPr>
            <w:r>
              <w:rPr>
                <w:rFonts w:ascii="Arial" w:cs="Arial" w:eastAsia="Arial" w:hAnsi="Arial"/>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Payment of deferred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2"/>
              </w:rPr>
              <w:t>Foreign currency translation adjustments on cash and cash</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cash and cash equivalents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Cash and cash equivalents at the beginning of the year</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7" w:name="page128"/>
    <w:bookmarkEnd w:id="12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2"/>
              </w:rPr>
              <w:t>Year ended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4"/>
          </w:tcPr>
          <w:p>
            <w:pPr>
              <w:jc w:val="center"/>
              <w:ind w:left="395"/>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  Non-cash investing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6"/>
              </w:rPr>
              <w:t>Purchase of property and equipment on credit</w:t>
            </w:r>
          </w:p>
        </w:tc>
        <w:tc>
          <w:tcPr>
            <w:tcW w:w="74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Non-cash issuance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bottom w:val="single" w:sz="8" w:color="CCEEFF"/>
            </w:tcBorders>
            <w:gridSpan w:val="3"/>
            <w:vMerge w:val="restart"/>
          </w:tcPr>
          <w:p>
            <w:pPr>
              <w:ind w:left="360"/>
              <w:spacing w:after="0" w:line="195" w:lineRule="exact"/>
              <w:rPr>
                <w:sz w:val="20"/>
                <w:szCs w:val="20"/>
                <w:color w:val="auto"/>
              </w:rPr>
            </w:pPr>
            <w:r>
              <w:rPr>
                <w:rFonts w:ascii="Arial" w:cs="Arial" w:eastAsia="Arial" w:hAnsi="Arial"/>
                <w:sz w:val="18"/>
                <w:szCs w:val="18"/>
                <w:color w:val="auto"/>
                <w:w w:val="91"/>
              </w:rPr>
              <w:t>Inventory transferred to be used as property and</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gridSpan w:val="3"/>
            <w:vMerge w:val="continue"/>
          </w:tcPr>
          <w:p>
            <w:pPr>
              <w:spacing w:after="0"/>
              <w:rPr>
                <w:sz w:val="13"/>
                <w:szCs w:val="13"/>
                <w:color w:val="auto"/>
              </w:rPr>
            </w:pPr>
          </w:p>
        </w:tc>
        <w:tc>
          <w:tcPr>
            <w:tcW w:w="74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6"/>
              </w:rPr>
              <w:t>380</w:t>
            </w: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6"/>
              </w:rPr>
              <w:t>208</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3"/>
                <w:szCs w:val="13"/>
                <w:color w:val="auto"/>
              </w:rPr>
            </w:pP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3"/>
          </w:tcPr>
          <w:p>
            <w:pPr>
              <w:ind w:left="360"/>
              <w:spacing w:after="0"/>
              <w:rPr>
                <w:sz w:val="20"/>
                <w:szCs w:val="20"/>
                <w:color w:val="auto"/>
              </w:rPr>
            </w:pPr>
            <w:r>
              <w:rPr>
                <w:rFonts w:ascii="Arial" w:cs="Arial" w:eastAsia="Arial" w:hAnsi="Arial"/>
                <w:sz w:val="18"/>
                <w:szCs w:val="18"/>
                <w:color w:val="auto"/>
              </w:rPr>
              <w:t>equipment</w:t>
            </w:r>
          </w:p>
        </w:tc>
        <w:tc>
          <w:tcPr>
            <w:tcW w:w="7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8" w:name="page129"/>
    <w:bookmarkEnd w:id="12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520" w:right="199" w:hanging="369"/>
        <w:spacing w:after="0" w:line="257" w:lineRule="auto"/>
        <w:tabs>
          <w:tab w:leader="none" w:pos="1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ind w:left="1520" w:right="359" w:hanging="369"/>
        <w:spacing w:after="0" w:line="312" w:lineRule="auto"/>
        <w:tabs>
          <w:tab w:leader="none" w:pos="14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ind w:left="1520" w:right="199" w:hanging="369"/>
        <w:spacing w:after="0" w:line="297" w:lineRule="auto"/>
        <w:tabs>
          <w:tab w:leader="none" w:pos="14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160" w:right="9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Use of estimates:</w:t>
      </w:r>
    </w:p>
    <w:p>
      <w:pPr>
        <w:spacing w:after="0" w:line="225" w:lineRule="exact"/>
        <w:rPr>
          <w:sz w:val="20"/>
          <w:szCs w:val="20"/>
          <w:color w:val="auto"/>
        </w:rPr>
      </w:pPr>
    </w:p>
    <w:p>
      <w:pPr>
        <w:ind w:left="1520" w:right="159"/>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sz w:val="20"/>
          <w:szCs w:val="20"/>
          <w:color w:val="auto"/>
        </w:rPr>
      </w:pPr>
    </w:p>
    <w:p>
      <w:pPr>
        <w:ind w:left="1520" w:right="239"/>
        <w:spacing w:after="0" w:line="255" w:lineRule="auto"/>
        <w:rPr>
          <w:sz w:val="20"/>
          <w:szCs w:val="20"/>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statements in United States dollars:</w:t>
      </w:r>
    </w:p>
    <w:p>
      <w:pPr>
        <w:spacing w:after="0" w:line="225" w:lineRule="exact"/>
        <w:rPr>
          <w:sz w:val="20"/>
          <w:szCs w:val="20"/>
          <w:color w:val="auto"/>
        </w:rPr>
      </w:pPr>
    </w:p>
    <w:p>
      <w:pPr>
        <w:ind w:left="1520" w:right="17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5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Unaudited interim financial information:</w:t>
      </w:r>
    </w:p>
    <w:p>
      <w:pPr>
        <w:spacing w:after="0" w:line="225" w:lineRule="exact"/>
        <w:rPr>
          <w:sz w:val="20"/>
          <w:szCs w:val="20"/>
          <w:color w:val="auto"/>
        </w:rPr>
      </w:pPr>
    </w:p>
    <w:p>
      <w:pPr>
        <w:ind w:left="1520" w:right="139"/>
        <w:spacing w:after="0" w:line="269" w:lineRule="auto"/>
        <w:rPr>
          <w:sz w:val="20"/>
          <w:szCs w:val="20"/>
          <w:color w:val="auto"/>
        </w:rPr>
      </w:pPr>
      <w:r>
        <w:rPr>
          <w:rFonts w:ascii="Arial" w:cs="Arial" w:eastAsia="Arial" w:hAnsi="Arial"/>
          <w:sz w:val="17"/>
          <w:szCs w:val="17"/>
          <w:color w:val="auto"/>
        </w:rPr>
        <w:t>The accompanying consolidated balance sheet as of September 30, 2014, the consolidated statements of income and comprehensive income and cash flows for the nine months ended September 30, 2013 and 2014 and the shareholders’ equity for the nine months ended September 30, 2014 are unaudited. The unaudited interim financial statements have been prepared on the same basis as the annual consolidated statements and, in the opinion of management, reflect all adjustments, which include only normal recurring adjustments, necessary to present fairly the Company’s financial position as of September 30, 2014 and results of operations and cash flows for the nine months ended September2013 ,30 and .2014 The financial data and the other information disclosed in these notes to the consolidated financial statements related to the nine month periods are unaudited. The results of the nine months ended September 30, 2014 are not necessarily indicative of the results to be expected for the fiscal year ending December 31, 2014 or for any other interim period or for any other future year.</w:t>
      </w:r>
    </w:p>
    <w:p>
      <w:pPr>
        <w:spacing w:after="0" w:line="18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Unaudited pro forma shareholders equity:</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Company’s board of directors has authorized the filing of a Registration Statement with the</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U.S. Securities and Exchange Commission to register the Company’s ordinary shares for sale to the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public. Upon the closing of the Company’s proposed Initial Public Offering (the “IPO”), subject to</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satisfying the requirement of a Qualified IPO which is defined as an IPO that results in at least</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$30,000 of proceeds to the Company, all of the authorized, issued, and outstanding preferred shares of</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Company will be automatically converted into ordinary shares. Unaudited pro forma shareholders’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equity as of September 30, 2014, as adjusted for the assumed conversion of such shares is disclosed in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balance sheet.</w:t>
      </w:r>
    </w:p>
    <w:p>
      <w:pPr>
        <w:spacing w:after="0" w:line="21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Principles of consolidation:</w:t>
      </w:r>
    </w:p>
    <w:p>
      <w:pPr>
        <w:spacing w:after="0" w:line="225" w:lineRule="exact"/>
        <w:rPr>
          <w:sz w:val="20"/>
          <w:szCs w:val="20"/>
          <w:color w:val="auto"/>
        </w:rPr>
      </w:pPr>
    </w:p>
    <w:p>
      <w:pPr>
        <w:ind w:left="1520" w:right="37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480" w:hanging="329"/>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Short-term deposits:</w:t>
      </w:r>
    </w:p>
    <w:p>
      <w:pPr>
        <w:spacing w:after="0" w:line="225"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Inventories:</w:t>
      </w:r>
    </w:p>
    <w:p>
      <w:pPr>
        <w:spacing w:after="0" w:line="225" w:lineRule="exact"/>
        <w:rPr>
          <w:sz w:val="20"/>
          <w:szCs w:val="20"/>
          <w:color w:val="auto"/>
        </w:rPr>
      </w:pPr>
    </w:p>
    <w:p>
      <w:pPr>
        <w:ind w:left="1520" w:right="15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ind w:left="1520" w:right="579"/>
        <w:spacing w:after="0" w:line="308" w:lineRule="auto"/>
        <w:rPr>
          <w:sz w:val="20"/>
          <w:szCs w:val="20"/>
          <w:color w:val="auto"/>
        </w:rPr>
      </w:pPr>
      <w:r>
        <w:rPr>
          <w:rFonts w:ascii="Arial" w:cs="Arial" w:eastAsia="Arial" w:hAnsi="Arial"/>
          <w:sz w:val="17"/>
          <w:szCs w:val="17"/>
          <w:color w:val="auto"/>
        </w:rPr>
        <w:t>Inventory write off have been provided to cover risks arising from dead and slow moving items, technological obsolescence and excess inventories according to revenue forecasts.</w:t>
      </w:r>
    </w:p>
    <w:p>
      <w:pPr>
        <w:spacing w:after="0" w:line="147" w:lineRule="exact"/>
        <w:rPr>
          <w:sz w:val="20"/>
          <w:szCs w:val="20"/>
          <w:color w:val="auto"/>
        </w:rPr>
      </w:pPr>
    </w:p>
    <w:p>
      <w:pPr>
        <w:jc w:val="both"/>
        <w:ind w:left="1520" w:right="179"/>
        <w:spacing w:after="0" w:line="286" w:lineRule="auto"/>
        <w:rPr>
          <w:sz w:val="20"/>
          <w:szCs w:val="20"/>
          <w:color w:val="auto"/>
        </w:rPr>
      </w:pPr>
      <w:r>
        <w:rPr>
          <w:rFonts w:ascii="Arial" w:cs="Arial" w:eastAsia="Arial" w:hAnsi="Arial"/>
          <w:sz w:val="17"/>
          <w:szCs w:val="17"/>
          <w:color w:val="auto"/>
        </w:rPr>
        <w:t>During the years ended December 31, 2012 and 2013 and the nine months ended September 30, 2013 (unaudited) and 2014 (unaudited) the Company recorded in cost of revenues inventory write offs in a total amount of $129, $369, $298 (unaudited) and $53 (unaudited), respectively.</w:t>
      </w:r>
    </w:p>
    <w:p>
      <w:pPr>
        <w:spacing w:after="0" w:line="166" w:lineRule="exact"/>
        <w:rPr>
          <w:sz w:val="20"/>
          <w:szCs w:val="20"/>
          <w:color w:val="auto"/>
        </w:rPr>
      </w:pPr>
    </w:p>
    <w:p>
      <w:pPr>
        <w:ind w:left="1480" w:hanging="329"/>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left="1520" w:right="279"/>
        <w:spacing w:after="0" w:line="312" w:lineRule="auto"/>
        <w:rPr>
          <w:sz w:val="20"/>
          <w:szCs w:val="20"/>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7 –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860" w:right="179" w:hanging="331"/>
        <w:spacing w:after="0" w:line="264" w:lineRule="auto"/>
        <w:tabs>
          <w:tab w:leader="none" w:pos="19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480" w:hanging="329"/>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sz w:val="20"/>
          <w:szCs w:val="20"/>
          <w:color w:val="auto"/>
        </w:rPr>
      </w:pPr>
    </w:p>
    <w:p>
      <w:pPr>
        <w:ind w:left="1520" w:right="119"/>
        <w:spacing w:after="0" w:line="291" w:lineRule="auto"/>
        <w:rPr>
          <w:sz w:val="20"/>
          <w:szCs w:val="20"/>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79"/>
        <w:spacing w:after="0" w:line="308" w:lineRule="auto"/>
        <w:rPr>
          <w:sz w:val="20"/>
          <w:szCs w:val="20"/>
          <w:color w:val="auto"/>
        </w:rPr>
      </w:pPr>
      <w:r>
        <w:rPr>
          <w:rFonts w:ascii="Arial" w:cs="Arial" w:eastAsia="Arial" w:hAnsi="Arial"/>
          <w:sz w:val="17"/>
          <w:szCs w:val="17"/>
          <w:color w:val="auto"/>
        </w:rPr>
        <w:t>During the years ended December 31, 2012 and 2013 and the nine months ended September 30, 2013 (unaudited) and 2014 (unaudited) no impairment losses were recorded.</w:t>
      </w:r>
    </w:p>
    <w:p>
      <w:pPr>
        <w:spacing w:after="0" w:line="14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Revenue recognition:</w:t>
      </w:r>
    </w:p>
    <w:p>
      <w:pPr>
        <w:spacing w:after="0" w:line="225" w:lineRule="exact"/>
        <w:rPr>
          <w:sz w:val="20"/>
          <w:szCs w:val="20"/>
          <w:color w:val="auto"/>
        </w:rPr>
      </w:pPr>
    </w:p>
    <w:p>
      <w:pPr>
        <w:ind w:left="1520" w:right="359"/>
        <w:spacing w:after="0" w:line="264" w:lineRule="auto"/>
        <w:rPr>
          <w:sz w:val="20"/>
          <w:szCs w:val="20"/>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7" w:lineRule="exact"/>
        <w:rPr>
          <w:sz w:val="20"/>
          <w:szCs w:val="20"/>
          <w:color w:val="auto"/>
        </w:rPr>
      </w:pPr>
    </w:p>
    <w:p>
      <w:pPr>
        <w:ind w:left="1520" w:right="399"/>
        <w:spacing w:after="0" w:line="257" w:lineRule="auto"/>
        <w:rPr>
          <w:sz w:val="20"/>
          <w:szCs w:val="20"/>
          <w:color w:val="auto"/>
        </w:rPr>
      </w:pPr>
      <w:r>
        <w:rPr>
          <w:rFonts w:ascii="Arial" w:cs="Arial" w:eastAsia="Arial" w:hAnsi="Arial"/>
          <w:sz w:val="18"/>
          <w:szCs w:val="18"/>
          <w:color w:val="auto"/>
        </w:rPr>
        <w:t>Revenues from selling these products to independent distributors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88" w:lineRule="exact"/>
        <w:rPr>
          <w:sz w:val="20"/>
          <w:szCs w:val="20"/>
          <w:color w:val="auto"/>
        </w:rPr>
      </w:pPr>
    </w:p>
    <w:p>
      <w:pPr>
        <w:ind w:left="1520" w:right="199"/>
        <w:spacing w:after="0" w:line="290" w:lineRule="auto"/>
        <w:rPr>
          <w:sz w:val="20"/>
          <w:szCs w:val="20"/>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sz w:val="20"/>
          <w:szCs w:val="20"/>
          <w:color w:val="auto"/>
        </w:rPr>
      </w:pPr>
    </w:p>
    <w:p>
      <w:pPr>
        <w:ind w:left="1520" w:right="219"/>
        <w:spacing w:after="0" w:line="259" w:lineRule="auto"/>
        <w:rPr>
          <w:sz w:val="20"/>
          <w:szCs w:val="20"/>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7" w:lineRule="exact"/>
        <w:rPr>
          <w:sz w:val="20"/>
          <w:szCs w:val="20"/>
          <w:color w:val="auto"/>
        </w:rPr>
      </w:pPr>
    </w:p>
    <w:p>
      <w:pPr>
        <w:ind w:left="1520" w:right="179"/>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70" w:lineRule="exact"/>
        <w:rPr>
          <w:sz w:val="20"/>
          <w:szCs w:val="20"/>
          <w:color w:val="auto"/>
        </w:rPr>
      </w:pPr>
    </w:p>
    <w:p>
      <w:pPr>
        <w:ind w:left="1520" w:right="179"/>
        <w:spacing w:after="0" w:line="297" w:lineRule="auto"/>
        <w:rPr>
          <w:sz w:val="20"/>
          <w:szCs w:val="20"/>
          <w:color w:val="auto"/>
        </w:rPr>
      </w:pPr>
      <w:r>
        <w:rPr>
          <w:rFonts w:ascii="Arial" w:cs="Arial" w:eastAsia="Arial" w:hAnsi="Arial"/>
          <w:sz w:val="16"/>
          <w:szCs w:val="16"/>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$282, $84 and $152 (unaudited) as of December 31, 2012 and 2013, and as of September 30, 2014 (unaudited), respectively.</w:t>
      </w:r>
    </w:p>
    <w:p>
      <w:pPr>
        <w:spacing w:after="0" w:line="158" w:lineRule="exact"/>
        <w:rPr>
          <w:sz w:val="20"/>
          <w:szCs w:val="20"/>
          <w:color w:val="auto"/>
        </w:rPr>
      </w:pPr>
    </w:p>
    <w:p>
      <w:pPr>
        <w:ind w:left="1520" w:right="539"/>
        <w:spacing w:after="0" w:line="277" w:lineRule="auto"/>
        <w:rPr>
          <w:sz w:val="20"/>
          <w:szCs w:val="20"/>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ind w:left="1520" w:right="379"/>
        <w:spacing w:after="0" w:line="308" w:lineRule="auto"/>
        <w:rPr>
          <w:sz w:val="20"/>
          <w:szCs w:val="20"/>
          <w:color w:val="auto"/>
        </w:rPr>
      </w:pPr>
      <w:r>
        <w:rPr>
          <w:rFonts w:ascii="Arial" w:cs="Arial" w:eastAsia="Arial" w:hAnsi="Arial"/>
          <w:sz w:val="17"/>
          <w:szCs w:val="17"/>
          <w:color w:val="auto"/>
        </w:rPr>
        <w:t>In cases where the Company trades 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sz w:val="20"/>
          <w:szCs w:val="20"/>
          <w:color w:val="auto"/>
        </w:rPr>
      </w:pPr>
    </w:p>
    <w:p>
      <w:pPr>
        <w:ind w:left="1520" w:right="239"/>
        <w:spacing w:after="0" w:line="257" w:lineRule="auto"/>
        <w:rPr>
          <w:sz w:val="20"/>
          <w:szCs w:val="20"/>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2012 and 2013 and the nine months ended September 30, 2013 (unaudited) and 2014 (unaudited) were $617, $681, $501 (unaudited) and $690 (unaudited), respectively.</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  Cost of revenues:</w:t>
      </w:r>
    </w:p>
    <w:p>
      <w:pPr>
        <w:spacing w:after="0" w:line="225"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Warranty costs:</w:t>
      </w:r>
    </w:p>
    <w:p>
      <w:pPr>
        <w:spacing w:after="0" w:line="225" w:lineRule="exact"/>
        <w:rPr>
          <w:sz w:val="20"/>
          <w:szCs w:val="20"/>
          <w:color w:val="auto"/>
        </w:rPr>
      </w:pPr>
    </w:p>
    <w:p>
      <w:pPr>
        <w:ind w:left="1520" w:right="27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machines,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2012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2013:</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Reduction for payments and costs to satisfy claims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3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Provision for warranties issued during the nine months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 (Unaudited)</w:t>
            </w:r>
          </w:p>
        </w:tc>
        <w:tc>
          <w:tcPr>
            <w:tcW w:w="6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020" w:type="dxa"/>
            <w:vAlign w:val="bottom"/>
            <w:gridSpan w:val="2"/>
          </w:tcPr>
          <w:p>
            <w:pPr>
              <w:ind w:left="1020"/>
              <w:spacing w:after="0"/>
              <w:rPr>
                <w:sz w:val="20"/>
                <w:szCs w:val="20"/>
                <w:color w:val="auto"/>
              </w:rPr>
            </w:pPr>
            <w:r>
              <w:rPr>
                <w:rFonts w:ascii="Arial" w:cs="Arial" w:eastAsia="Arial" w:hAnsi="Arial"/>
                <w:sz w:val="18"/>
                <w:szCs w:val="18"/>
                <w:color w:val="auto"/>
              </w:rPr>
              <w:t>o.  Research and development expenses: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gridSpan w:val="2"/>
          </w:tcPr>
          <w:p>
            <w:pPr>
              <w:ind w:left="1380"/>
              <w:spacing w:after="0"/>
              <w:rPr>
                <w:sz w:val="20"/>
                <w:szCs w:val="20"/>
                <w:color w:val="auto"/>
              </w:rPr>
            </w:pPr>
            <w:r>
              <w:rPr>
                <w:rFonts w:ascii="Arial" w:cs="Arial" w:eastAsia="Arial" w:hAnsi="Arial"/>
                <w:sz w:val="18"/>
                <w:szCs w:val="18"/>
                <w:color w:val="auto"/>
                <w:w w:val="91"/>
              </w:rPr>
              <w:t>Research and development expenses are charged to the statement of income, as incurred.</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gridSpan w:val="2"/>
          </w:tcPr>
          <w:p>
            <w:pPr>
              <w:ind w:left="1020"/>
              <w:spacing w:after="0"/>
              <w:rPr>
                <w:sz w:val="20"/>
                <w:szCs w:val="20"/>
                <w:color w:val="auto"/>
              </w:rPr>
            </w:pPr>
            <w:r>
              <w:rPr>
                <w:rFonts w:ascii="Arial" w:cs="Arial" w:eastAsia="Arial" w:hAnsi="Arial"/>
                <w:sz w:val="18"/>
                <w:szCs w:val="18"/>
                <w:color w:val="auto"/>
              </w:rPr>
              <w:t>p.  Accounting for share-based compensation:</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ind w:left="1520" w:right="19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99"/>
        <w:spacing w:after="0" w:line="259"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and 2013 and nine months ended September 30, 2013 (unaudited) and 2014 (unaudited):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Year ended</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December 31,</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2013</w:t>
            </w: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3.5</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3.0 – 10.0</w:t>
            </w: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9"/>
              </w:rPr>
              <w:t>3.0 – 10.0</w:t>
            </w: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3.5 –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1.8%</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0.1% – 2.5%</w:t>
            </w: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0"/>
              </w:rPr>
              <w:t>0.1% – 2.5%</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0.1% –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8"/>
              </w:rPr>
              <w:t>55%</w:t>
            </w:r>
          </w:p>
        </w:tc>
        <w:tc>
          <w:tcPr>
            <w:tcW w:w="12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gridSpan w:val="2"/>
          </w:tcPr>
          <w:p>
            <w:pPr>
              <w:jc w:val="right"/>
              <w:ind w:right="434"/>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20" w:right="15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and 2013 and nine months ended September 30, 2013 (unaudited) and 2014 (unaudited):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ind w:left="1020"/>
              <w:spacing w:after="0"/>
              <w:rPr>
                <w:sz w:val="20"/>
                <w:szCs w:val="20"/>
                <w:color w:val="auto"/>
              </w:rPr>
            </w:pPr>
            <w:r>
              <w:rPr>
                <w:rFonts w:ascii="Arial" w:cs="Arial" w:eastAsia="Arial" w:hAnsi="Arial"/>
                <w:sz w:val="18"/>
                <w:szCs w:val="18"/>
                <w:color w:val="auto"/>
              </w:rPr>
              <w:t>q.  Advertising</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359"/>
        <w:spacing w:after="0" w:line="286" w:lineRule="auto"/>
        <w:rPr>
          <w:sz w:val="20"/>
          <w:szCs w:val="20"/>
          <w:color w:val="auto"/>
        </w:rPr>
      </w:pPr>
      <w:r>
        <w:rPr>
          <w:rFonts w:ascii="Arial" w:cs="Arial" w:eastAsia="Arial" w:hAnsi="Arial"/>
          <w:sz w:val="17"/>
          <w:szCs w:val="17"/>
          <w:color w:val="auto"/>
        </w:rPr>
        <w:t>Advertising costs are charged to operations as incurred and were $206, $501, $303 (unaudited) and $350 (unaudited), for the years ended December 31, 2012 and 2013 and for the nine months ended September 30, 2013 (unaudited) and 2014 (unaudited),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left="1520" w:right="219"/>
        <w:spacing w:after="0" w:line="291" w:lineRule="auto"/>
        <w:rPr>
          <w:sz w:val="20"/>
          <w:szCs w:val="20"/>
          <w:color w:val="auto"/>
        </w:rPr>
      </w:pPr>
      <w:r>
        <w:rPr>
          <w:rFonts w:ascii="Arial" w:cs="Arial" w:eastAsia="Arial" w:hAnsi="Arial"/>
          <w:sz w:val="16"/>
          <w:szCs w:val="16"/>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94" w:lineRule="exact"/>
        <w:rPr>
          <w:sz w:val="20"/>
          <w:szCs w:val="20"/>
          <w:color w:val="auto"/>
        </w:rPr>
      </w:pPr>
    </w:p>
    <w:p>
      <w:pPr>
        <w:jc w:val="both"/>
        <w:ind w:left="1520" w:right="19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81" w:lineRule="exact"/>
        <w:rPr>
          <w:sz w:val="20"/>
          <w:szCs w:val="20"/>
          <w:color w:val="auto"/>
        </w:rPr>
      </w:pPr>
    </w:p>
    <w:p>
      <w:pPr>
        <w:ind w:left="116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Concentrations of credit risks:</w:t>
      </w:r>
    </w:p>
    <w:p>
      <w:pPr>
        <w:spacing w:after="0" w:line="252" w:lineRule="exact"/>
        <w:rPr>
          <w:sz w:val="20"/>
          <w:szCs w:val="20"/>
          <w:color w:val="auto"/>
        </w:rPr>
      </w:pPr>
    </w:p>
    <w:p>
      <w:pPr>
        <w:ind w:left="1520" w:right="359"/>
        <w:spacing w:after="0" w:line="342" w:lineRule="auto"/>
        <w:rPr>
          <w:sz w:val="20"/>
          <w:szCs w:val="20"/>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sz w:val="20"/>
          <w:szCs w:val="20"/>
          <w:color w:val="auto"/>
        </w:rPr>
      </w:pPr>
    </w:p>
    <w:p>
      <w:pPr>
        <w:jc w:val="both"/>
        <w:ind w:left="1520" w:right="259"/>
        <w:spacing w:after="0" w:line="264" w:lineRule="auto"/>
        <w:rPr>
          <w:sz w:val="20"/>
          <w:szCs w:val="20"/>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95" w:lineRule="exact"/>
        <w:rPr>
          <w:sz w:val="20"/>
          <w:szCs w:val="20"/>
          <w:color w:val="auto"/>
        </w:rPr>
      </w:pPr>
    </w:p>
    <w:p>
      <w:pPr>
        <w:ind w:left="1520" w:right="119"/>
        <w:spacing w:after="0" w:line="271" w:lineRule="auto"/>
        <w:rPr>
          <w:sz w:val="20"/>
          <w:szCs w:val="20"/>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and 2013 and for the period of nine months periods ended September 30, 2013 (unaudited) and 2014 (unaudited), the Company has not experienced any significant write offs.</w:t>
      </w:r>
    </w:p>
    <w:p>
      <w:pPr>
        <w:spacing w:after="0" w:line="206" w:lineRule="exact"/>
        <w:rPr>
          <w:sz w:val="20"/>
          <w:szCs w:val="20"/>
          <w:color w:val="auto"/>
        </w:rPr>
      </w:pPr>
    </w:p>
    <w:p>
      <w:pPr>
        <w:ind w:left="1480" w:hanging="329"/>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ind w:left="1520" w:right="37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59"/>
        <w:spacing w:after="0" w:line="342" w:lineRule="auto"/>
        <w:rPr>
          <w:sz w:val="20"/>
          <w:szCs w:val="20"/>
          <w:color w:val="auto"/>
        </w:rPr>
      </w:pPr>
      <w:r>
        <w:rPr>
          <w:rFonts w:ascii="Arial" w:cs="Arial" w:eastAsia="Arial" w:hAnsi="Arial"/>
          <w:sz w:val="16"/>
          <w:szCs w:val="16"/>
          <w:color w:val="auto"/>
        </w:rPr>
        <w:t>severance liabilities in respect of those employees. Neither severance pay liability nor severance pay fund under Section 14 for such employees is recorded on the Company’s balance sheet.</w:t>
      </w:r>
    </w:p>
    <w:p>
      <w:pPr>
        <w:spacing w:after="0" w:line="137" w:lineRule="exact"/>
        <w:rPr>
          <w:sz w:val="20"/>
          <w:szCs w:val="20"/>
          <w:color w:val="auto"/>
        </w:rPr>
      </w:pPr>
    </w:p>
    <w:p>
      <w:pPr>
        <w:ind w:left="1520" w:right="15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205"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95" w:lineRule="exact"/>
        <w:rPr>
          <w:sz w:val="20"/>
          <w:szCs w:val="20"/>
          <w:color w:val="auto"/>
        </w:rPr>
      </w:pPr>
    </w:p>
    <w:p>
      <w:pPr>
        <w:jc w:val="both"/>
        <w:ind w:left="1520" w:right="179"/>
        <w:spacing w:after="0" w:line="264" w:lineRule="auto"/>
        <w:rPr>
          <w:sz w:val="20"/>
          <w:szCs w:val="20"/>
          <w:color w:val="auto"/>
        </w:rPr>
      </w:pPr>
      <w:r>
        <w:rPr>
          <w:rFonts w:ascii="Arial" w:cs="Arial" w:eastAsia="Arial" w:hAnsi="Arial"/>
          <w:sz w:val="18"/>
          <w:szCs w:val="18"/>
          <w:color w:val="auto"/>
        </w:rPr>
        <w:t>Severance pay expenses for the years ended December 31, 2012 and 2013 and the nine months ended September 30, 2013 (unaudited) and 2014 (unaudited) were $569, $ 620, $511 (unaudited) and $821 (unaudited), respectively.</w:t>
      </w:r>
    </w:p>
    <w:p>
      <w:pPr>
        <w:spacing w:after="0" w:line="195"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6"/>
          <w:szCs w:val="16"/>
          <w:color w:val="auto"/>
        </w:rPr>
        <w:t>Fair value of financial instruments:</w:t>
      </w:r>
    </w:p>
    <w:p>
      <w:pPr>
        <w:spacing w:after="0" w:line="252" w:lineRule="exact"/>
        <w:rPr>
          <w:sz w:val="20"/>
          <w:szCs w:val="20"/>
          <w:color w:val="auto"/>
        </w:rPr>
      </w:pPr>
    </w:p>
    <w:p>
      <w:pPr>
        <w:ind w:left="1520" w:right="239"/>
        <w:spacing w:after="0" w:line="312" w:lineRule="auto"/>
        <w:rPr>
          <w:sz w:val="20"/>
          <w:szCs w:val="20"/>
          <w:color w:val="auto"/>
        </w:rPr>
      </w:pPr>
      <w:r>
        <w:rPr>
          <w:rFonts w:ascii="Arial" w:cs="Arial" w:eastAsia="Arial" w:hAnsi="Arial"/>
          <w:sz w:val="16"/>
          <w:szCs w:val="16"/>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6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Comprehensive income:</w:t>
      </w:r>
    </w:p>
    <w:p>
      <w:pPr>
        <w:spacing w:after="0" w:line="239" w:lineRule="exact"/>
        <w:rPr>
          <w:sz w:val="20"/>
          <w:szCs w:val="20"/>
          <w:color w:val="auto"/>
        </w:rPr>
      </w:pPr>
    </w:p>
    <w:p>
      <w:pPr>
        <w:ind w:left="1520" w:right="359"/>
        <w:spacing w:after="0" w:line="255" w:lineRule="auto"/>
        <w:rPr>
          <w:sz w:val="20"/>
          <w:szCs w:val="20"/>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Basic and diluted net income per share:</w:t>
      </w:r>
    </w:p>
    <w:p>
      <w:pPr>
        <w:spacing w:after="0" w:line="232"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202" w:lineRule="exact"/>
        <w:rPr>
          <w:sz w:val="20"/>
          <w:szCs w:val="20"/>
          <w:color w:val="auto"/>
        </w:rPr>
      </w:pPr>
    </w:p>
    <w:p>
      <w:pPr>
        <w:ind w:left="1520" w:right="119"/>
        <w:spacing w:after="0" w:line="302" w:lineRule="auto"/>
        <w:rPr>
          <w:sz w:val="20"/>
          <w:szCs w:val="20"/>
          <w:color w:val="auto"/>
        </w:rPr>
      </w:pPr>
      <w:r>
        <w:rPr>
          <w:rFonts w:ascii="Arial" w:cs="Arial" w:eastAsia="Arial" w:hAnsi="Arial"/>
          <w:sz w:val="16"/>
          <w:szCs w:val="16"/>
          <w:color w:val="auto"/>
        </w:rPr>
        <w:t>For the year ended December 31, 2012, 21,000 outstanding options have been excluded from the calculation of the diluted net income per share since their effect was anti-dilutive. For the year ended December 31, 2013 and nine months ended September 30, 2013 all outstanding options have been included at the calculation of the diluted earnings per share since their effect was dilutive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79"/>
        <w:spacing w:after="0" w:line="308" w:lineRule="auto"/>
        <w:rPr>
          <w:sz w:val="20"/>
          <w:szCs w:val="20"/>
          <w:color w:val="auto"/>
        </w:rPr>
      </w:pPr>
      <w:r>
        <w:rPr>
          <w:rFonts w:ascii="Arial" w:cs="Arial" w:eastAsia="Arial" w:hAnsi="Arial"/>
          <w:sz w:val="17"/>
          <w:szCs w:val="17"/>
          <w:color w:val="auto"/>
        </w:rPr>
        <w:t>For the nine months ended September 30, 2014, 20,991 outstanding options have been excluded from the calculation of diluted net income per share since their effect was anti-dilutive.</w:t>
      </w:r>
    </w:p>
    <w:p>
      <w:pPr>
        <w:spacing w:after="0" w:line="160" w:lineRule="exact"/>
        <w:rPr>
          <w:sz w:val="20"/>
          <w:szCs w:val="20"/>
          <w:color w:val="auto"/>
        </w:rPr>
      </w:pPr>
    </w:p>
    <w:p>
      <w:pPr>
        <w:ind w:left="1520" w:right="359"/>
        <w:spacing w:after="0" w:line="312" w:lineRule="auto"/>
        <w:rPr>
          <w:sz w:val="20"/>
          <w:szCs w:val="20"/>
          <w:color w:val="auto"/>
        </w:rPr>
      </w:pPr>
      <w:r>
        <w:rPr>
          <w:rFonts w:ascii="Arial" w:cs="Arial" w:eastAsia="Arial" w:hAnsi="Arial"/>
          <w:sz w:val="16"/>
          <w:szCs w:val="16"/>
          <w:color w:val="auto"/>
        </w:rPr>
        <w:t>Basic and diluted pro forma net income per share (unaudited), as presented in the statements of income and comprehensive income, has been calculated as described above and also gives effect to the automatic conversion of all series of preferred shares that will occur upon closing of the IPO.</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Impact of recently issued accounting standard not yet adopted:</w:t>
      </w:r>
    </w:p>
    <w:p>
      <w:pPr>
        <w:spacing w:after="0" w:line="225" w:lineRule="exact"/>
        <w:rPr>
          <w:sz w:val="20"/>
          <w:szCs w:val="20"/>
          <w:color w:val="auto"/>
        </w:rPr>
      </w:pPr>
    </w:p>
    <w:p>
      <w:pPr>
        <w:ind w:left="1520" w:right="179"/>
        <w:spacing w:after="0" w:line="290" w:lineRule="auto"/>
        <w:rPr>
          <w:sz w:val="20"/>
          <w:szCs w:val="20"/>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ACCOUNTS RECEIVABLE AND PREPAID EXPENSES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Prepaid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products (*)</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11,967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299" w:hanging="369"/>
        <w:spacing w:after="0" w:line="312" w:lineRule="auto"/>
        <w:tabs>
          <w:tab w:leader="none" w:pos="15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amounts of $ 393, $ 897 and $650 (unaudited) for the years ended December 31, 2012 and 2013 and for the nine months ended September 30, 2014 (unaudited), respectively, with respect to inventory delivered to customers but for which revenue criteria have not been met yet.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5:-</w:t>
        <w:tab/>
        <w:t>PROPERTY AND EQUIPMENT, NET</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peripheral equipment and software</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4,670</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6,018</w:t>
            </w:r>
          </w:p>
        </w:tc>
        <w:tc>
          <w:tcPr>
            <w:tcW w:w="34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7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60" w:right="619"/>
        <w:spacing w:after="0" w:line="264" w:lineRule="auto"/>
        <w:rPr>
          <w:sz w:val="20"/>
          <w:szCs w:val="20"/>
          <w:color w:val="auto"/>
        </w:rPr>
      </w:pPr>
      <w:r>
        <w:rPr>
          <w:rFonts w:ascii="Arial" w:cs="Arial" w:eastAsia="Arial" w:hAnsi="Arial"/>
          <w:sz w:val="18"/>
          <w:szCs w:val="18"/>
          <w:color w:val="auto"/>
        </w:rPr>
        <w:t>Depreciation expense for the years ended December 31, 2012 and 2013 and the nine months ended September 30, 2013 (unaudited) and 2014 (unaudited) was $750, $1,071, $826 (unaudited) and $910 (unaudited), respectively.</w:t>
      </w:r>
    </w:p>
    <w:p>
      <w:pPr>
        <w:spacing w:after="0" w:line="127" w:lineRule="exact"/>
        <w:rPr>
          <w:sz w:val="20"/>
          <w:szCs w:val="20"/>
          <w:color w:val="auto"/>
        </w:rPr>
      </w:pPr>
    </w:p>
    <w:p>
      <w:pPr>
        <w:ind w:left="1160" w:right="239"/>
        <w:spacing w:after="0" w:line="264" w:lineRule="auto"/>
        <w:rPr>
          <w:sz w:val="20"/>
          <w:szCs w:val="20"/>
          <w:color w:val="auto"/>
        </w:rPr>
      </w:pPr>
      <w:r>
        <w:rPr>
          <w:rFonts w:ascii="Arial" w:cs="Arial" w:eastAsia="Arial" w:hAnsi="Arial"/>
          <w:sz w:val="18"/>
          <w:szCs w:val="18"/>
          <w:color w:val="auto"/>
        </w:rPr>
        <w:t>During the years ended 2012 and 2013 and the nine months ended September 30, 2014 (unaudited), the Company recorded a reduction of $0, $140 and $67 (unaudited), respectively, to the cost and accumulated depreciation of fully depreciated equipment no longer in use.</w:t>
      </w:r>
    </w:p>
    <w:p>
      <w:pPr>
        <w:spacing w:after="0" w:line="177"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160" w:right="159"/>
        <w:spacing w:after="0" w:line="290" w:lineRule="auto"/>
        <w:rPr>
          <w:sz w:val="20"/>
          <w:szCs w:val="20"/>
          <w:color w:val="auto"/>
        </w:rPr>
      </w:pPr>
      <w:r>
        <w:rPr>
          <w:rFonts w:ascii="Arial" w:cs="Arial" w:eastAsia="Arial" w:hAnsi="Arial"/>
          <w:sz w:val="16"/>
          <w:szCs w:val="16"/>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39" w:lineRule="exact"/>
        <w:rPr>
          <w:sz w:val="20"/>
          <w:szCs w:val="20"/>
          <w:color w:val="auto"/>
        </w:rPr>
      </w:pPr>
    </w:p>
    <w:p>
      <w:pPr>
        <w:ind w:left="1160" w:right="19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0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239</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w:t>
            </w:r>
          </w:p>
        </w:tc>
        <w:tc>
          <w:tcPr>
            <w:tcW w:w="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219"/>
              <w:spacing w:after="0"/>
              <w:rPr>
                <w:sz w:val="20"/>
                <w:szCs w:val="20"/>
                <w:color w:val="auto"/>
              </w:rPr>
            </w:pPr>
            <w:r>
              <w:rPr>
                <w:rFonts w:ascii="Arial" w:cs="Arial" w:eastAsia="Arial" w:hAnsi="Arial"/>
                <w:sz w:val="14"/>
                <w:szCs w:val="14"/>
                <w:color w:val="auto"/>
              </w:rPr>
              <w:t>F-19</w:t>
            </w: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 (Cont.)</w:t>
      </w:r>
    </w:p>
    <w:p>
      <w:pPr>
        <w:spacing w:after="0" w:line="229" w:lineRule="exact"/>
        <w:rPr>
          <w:sz w:val="20"/>
          <w:szCs w:val="20"/>
          <w:color w:val="auto"/>
        </w:rPr>
      </w:pPr>
    </w:p>
    <w:p>
      <w:pPr>
        <w:ind w:left="1160" w:right="119"/>
        <w:spacing w:after="0" w:line="264" w:lineRule="auto"/>
        <w:rPr>
          <w:sz w:val="20"/>
          <w:szCs w:val="20"/>
          <w:color w:val="auto"/>
        </w:rPr>
      </w:pPr>
      <w:r>
        <w:rPr>
          <w:rFonts w:ascii="Arial" w:cs="Arial" w:eastAsia="Arial" w:hAnsi="Arial"/>
          <w:sz w:val="18"/>
          <w:szCs w:val="18"/>
          <w:color w:val="auto"/>
        </w:rPr>
        <w:t>Amortization expenses for the years ended December 31, 2012 and 2013 and for the nine months ended September 30, 2013 (unaudited) and 2014 (unaudited) were $36, $97, $65 (unaudited) and $94 (unaudited), respectively.</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Future amortization expenses for the years ending:</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2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Warranty provision</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2,135</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Lease commitments:</w:t>
      </w:r>
    </w:p>
    <w:p>
      <w:pPr>
        <w:spacing w:after="0" w:line="225" w:lineRule="exact"/>
        <w:rPr>
          <w:sz w:val="20"/>
          <w:szCs w:val="20"/>
          <w:color w:val="auto"/>
        </w:rPr>
      </w:pPr>
    </w:p>
    <w:p>
      <w:pPr>
        <w:ind w:left="1520" w:right="259"/>
        <w:spacing w:after="0" w:line="312" w:lineRule="auto"/>
        <w:rPr>
          <w:sz w:val="20"/>
          <w:szCs w:val="20"/>
          <w:color w:val="auto"/>
        </w:rPr>
      </w:pPr>
      <w:r>
        <w:rPr>
          <w:rFonts w:ascii="Arial" w:cs="Arial" w:eastAsia="Arial" w:hAnsi="Arial"/>
          <w:sz w:val="16"/>
          <w:szCs w:val="16"/>
          <w:color w:val="auto"/>
        </w:rPr>
        <w:t>The Company leases facilities and vehicles under operating leases that expire on various dates through 2018. Aggregate minimum lease and rental payments under non-cancelable operating leases as of December 31, 2013, are (in the aggregate) and for each succeeding fiscal year below:</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2014</w:t>
            </w:r>
          </w:p>
        </w:tc>
        <w:tc>
          <w:tcPr>
            <w:tcW w:w="3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430"/>
              <w:spacing w:after="0"/>
              <w:rPr>
                <w:sz w:val="20"/>
                <w:szCs w:val="20"/>
                <w:color w:val="auto"/>
              </w:rPr>
            </w:pPr>
            <w:r>
              <w:rPr>
                <w:rFonts w:ascii="Arial" w:cs="Arial" w:eastAsia="Arial" w:hAnsi="Arial"/>
                <w:sz w:val="18"/>
                <w:szCs w:val="18"/>
                <w:color w:val="auto"/>
                <w:w w:val="79"/>
              </w:rPr>
              <w:t>2015</w:t>
            </w: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2016</w:t>
            </w:r>
          </w:p>
        </w:tc>
        <w:tc>
          <w:tcPr>
            <w:tcW w:w="3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430"/>
              <w:spacing w:after="0"/>
              <w:rPr>
                <w:sz w:val="20"/>
                <w:szCs w:val="20"/>
                <w:color w:val="auto"/>
              </w:rPr>
            </w:pPr>
            <w:r>
              <w:rPr>
                <w:rFonts w:ascii="Arial" w:cs="Arial" w:eastAsia="Arial" w:hAnsi="Arial"/>
                <w:sz w:val="18"/>
                <w:szCs w:val="18"/>
                <w:color w:val="auto"/>
                <w:w w:val="79"/>
              </w:rPr>
              <w:t>2017</w:t>
            </w: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w w:val="79"/>
              </w:rPr>
              <w:t>2018</w:t>
            </w:r>
          </w:p>
        </w:tc>
        <w:tc>
          <w:tcPr>
            <w:tcW w:w="3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Total rent expenses for the years ended December 31, 2012 and 2013 and for the nine month periods ended September 30, 2013 (unaudited) and 2014 (unaudited) were $891,$1,080, $800 (unaudited) and $1,070 (unaudited) respectively.</w:t>
      </w:r>
    </w:p>
    <w:p>
      <w:pPr>
        <w:spacing w:after="0" w:line="18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Charges:</w:t>
      </w:r>
    </w:p>
    <w:p>
      <w:pPr>
        <w:spacing w:after="0" w:line="212" w:lineRule="exact"/>
        <w:rPr>
          <w:sz w:val="20"/>
          <w:szCs w:val="20"/>
          <w:color w:val="auto"/>
        </w:rPr>
      </w:pPr>
    </w:p>
    <w:p>
      <w:pPr>
        <w:jc w:val="both"/>
        <w:ind w:left="1520" w:right="359"/>
        <w:spacing w:after="0" w:line="264" w:lineRule="auto"/>
        <w:rPr>
          <w:sz w:val="20"/>
          <w:szCs w:val="20"/>
          <w:color w:val="auto"/>
        </w:rPr>
      </w:pPr>
      <w:r>
        <w:rPr>
          <w:rFonts w:ascii="Arial" w:cs="Arial" w:eastAsia="Arial" w:hAnsi="Arial"/>
          <w:sz w:val="18"/>
          <w:szCs w:val="18"/>
          <w:color w:val="auto"/>
        </w:rPr>
        <w:t>During 2012, the Company obtained lines of credit for borrowings of up to $2,000 from two Israeli banks. The lines of credit carry interest rates varying between the Bank of Israel’s interest rate plus 1.5% (“Israeli</w:t>
      </w:r>
    </w:p>
    <w:p>
      <w:pPr>
        <w:sectPr>
          <w:pgSz w:w="11900" w:h="16838" w:orient="portrait"/>
          <w:cols w:equalWidth="0" w:num="1">
            <w:col w:w="9019"/>
          </w:cols>
          <w:pgMar w:left="1440" w:top="337" w:right="1440" w:bottom="1440" w:gutter="0" w:footer="0" w:header="0"/>
        </w:sectPr>
      </w:pP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ind w:left="1520" w:right="119"/>
        <w:spacing w:after="0" w:line="291" w:lineRule="auto"/>
        <w:rPr>
          <w:sz w:val="20"/>
          <w:szCs w:val="20"/>
          <w:color w:val="auto"/>
        </w:rPr>
      </w:pPr>
      <w:r>
        <w:rPr>
          <w:rFonts w:ascii="Arial" w:cs="Arial" w:eastAsia="Arial" w:hAnsi="Arial"/>
          <w:sz w:val="16"/>
          <w:szCs w:val="16"/>
          <w:color w:val="auto"/>
        </w:rPr>
        <w:t>Prime Rate”) plus 3% to 3.5%. Under the agreements, the Company is obligated to satisfy the following covenants for so long as any borrowings are outstanding under the credit line: (a) the Company is required to maintain a 30% equity to balance-sheet ratio on a consolidated basis; and (b) upon the end of each fiscal quarter, the Company is required to maintain a minimum of $1 million cash and cash equivalents on a consolidated basis. As of the date of these financial statements, the Company does not have any borrowings under the lines of credit. The Company is in compliance with the financial covenants. One $1.0 million line of credit was terminated in October 2014.</w:t>
      </w:r>
    </w:p>
    <w:p>
      <w:pPr>
        <w:spacing w:after="0" w:line="15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Purchase commitments:</w:t>
      </w:r>
    </w:p>
    <w:p>
      <w:pPr>
        <w:spacing w:after="0" w:line="198" w:lineRule="exact"/>
        <w:rPr>
          <w:sz w:val="20"/>
          <w:szCs w:val="20"/>
          <w:color w:val="auto"/>
        </w:rPr>
      </w:pPr>
    </w:p>
    <w:p>
      <w:pPr>
        <w:ind w:left="1520" w:right="459"/>
        <w:spacing w:after="0" w:line="277" w:lineRule="auto"/>
        <w:rPr>
          <w:sz w:val="20"/>
          <w:szCs w:val="20"/>
          <w:color w:val="auto"/>
        </w:rPr>
      </w:pPr>
      <w:r>
        <w:rPr>
          <w:rFonts w:ascii="Arial" w:cs="Arial" w:eastAsia="Arial" w:hAnsi="Arial"/>
          <w:sz w:val="18"/>
          <w:szCs w:val="18"/>
          <w:color w:val="auto"/>
        </w:rPr>
        <w:t>The Company estimates that at December 31, 2013, it had $2,932 of purchase commitments to its vendors for inventory.</w:t>
      </w:r>
    </w:p>
    <w:p>
      <w:pPr>
        <w:spacing w:after="0" w:line="1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Litigation:</w:t>
      </w:r>
    </w:p>
    <w:p>
      <w:pPr>
        <w:spacing w:after="0" w:line="212"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60" w:lineRule="exact"/>
        <w:rPr>
          <w:sz w:val="20"/>
          <w:szCs w:val="20"/>
          <w:color w:val="auto"/>
        </w:rPr>
      </w:pPr>
    </w:p>
    <w:p>
      <w:pPr>
        <w:ind w:left="1460" w:hanging="309"/>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11" w:lineRule="exact"/>
        <w:rPr>
          <w:rFonts w:ascii="Arial" w:cs="Arial" w:eastAsia="Arial" w:hAnsi="Arial"/>
          <w:sz w:val="18"/>
          <w:szCs w:val="18"/>
          <w:color w:val="auto"/>
        </w:rPr>
      </w:pPr>
    </w:p>
    <w:p>
      <w:pPr>
        <w:ind w:left="1860" w:right="219" w:hanging="385"/>
        <w:spacing w:after="0" w:line="264" w:lineRule="auto"/>
        <w:tabs>
          <w:tab w:leader="none" w:pos="1797" w:val="left"/>
        </w:tabs>
        <w:numPr>
          <w:ilvl w:val="1"/>
          <w:numId w:val="91"/>
        </w:numPr>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2014, the Company is obligated to pay royalties at a rate of 2.5% of ink revenues up to $25,000 of the Company’s annual ink revenues.</w:t>
      </w:r>
    </w:p>
    <w:p>
      <w:pPr>
        <w:spacing w:after="0" w:line="168" w:lineRule="exact"/>
        <w:rPr>
          <w:sz w:val="20"/>
          <w:szCs w:val="20"/>
          <w:color w:val="auto"/>
        </w:rPr>
      </w:pPr>
    </w:p>
    <w:p>
      <w:pPr>
        <w:ind w:left="1860" w:right="219"/>
        <w:spacing w:after="0" w:line="264" w:lineRule="auto"/>
        <w:rPr>
          <w:sz w:val="20"/>
          <w:szCs w:val="20"/>
          <w:color w:val="auto"/>
        </w:rPr>
      </w:pPr>
      <w:r>
        <w:rPr>
          <w:rFonts w:ascii="Arial" w:cs="Arial" w:eastAsia="Arial" w:hAnsi="Arial"/>
          <w:sz w:val="18"/>
          <w:szCs w:val="18"/>
          <w:color w:val="auto"/>
        </w:rPr>
        <w:t>Royalties expenses for the years ended December 31, 2012 and 2013 and for the nine months ended September 30, 2013 (unaudited) and 2014 (unaudited) were $648, $563, $444 (unaudited) and $412 (unaudited) respectively.</w:t>
      </w:r>
    </w:p>
    <w:p>
      <w:pPr>
        <w:spacing w:after="0" w:line="154" w:lineRule="exact"/>
        <w:rPr>
          <w:sz w:val="20"/>
          <w:szCs w:val="20"/>
          <w:color w:val="auto"/>
        </w:rPr>
      </w:pPr>
    </w:p>
    <w:p>
      <w:pPr>
        <w:ind w:left="1860" w:right="339" w:hanging="385"/>
        <w:spacing w:after="0" w:line="273" w:lineRule="auto"/>
        <w:tabs>
          <w:tab w:leader="none" w:pos="17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165" w:lineRule="exact"/>
        <w:rPr>
          <w:sz w:val="20"/>
          <w:szCs w:val="20"/>
          <w:color w:val="auto"/>
        </w:rPr>
      </w:pPr>
    </w:p>
    <w:p>
      <w:pPr>
        <w:jc w:val="both"/>
        <w:ind w:left="1860" w:right="279"/>
        <w:spacing w:after="0" w:line="264" w:lineRule="auto"/>
        <w:rPr>
          <w:sz w:val="20"/>
          <w:szCs w:val="20"/>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68" w:lineRule="exact"/>
        <w:rPr>
          <w:sz w:val="20"/>
          <w:szCs w:val="20"/>
          <w:color w:val="auto"/>
        </w:rPr>
      </w:pPr>
    </w:p>
    <w:p>
      <w:pPr>
        <w:ind w:left="1860" w:right="199"/>
        <w:spacing w:after="0" w:line="279" w:lineRule="auto"/>
        <w:rPr>
          <w:sz w:val="20"/>
          <w:szCs w:val="20"/>
          <w:color w:val="auto"/>
        </w:rPr>
      </w:pPr>
      <w:r>
        <w:rPr>
          <w:rFonts w:ascii="Arial" w:cs="Arial" w:eastAsia="Arial" w:hAnsi="Arial"/>
          <w:sz w:val="17"/>
          <w:szCs w:val="17"/>
          <w:color w:val="auto"/>
        </w:rPr>
        <w:t>The total research and development grants that the Company has received from the OCS as of December 31, 2013 were $ 168. The accumulated interest as of December 31, 2013 was $ 6. The Company’s total commitment with respect to royalty-bearing participation received or accrued, net of royalties paid or accrued, amounted to $ 174 as of December 31, 2013.</w:t>
      </w:r>
    </w:p>
    <w:p>
      <w:pPr>
        <w:spacing w:after="0" w:line="144" w:lineRule="exact"/>
        <w:rPr>
          <w:sz w:val="20"/>
          <w:szCs w:val="20"/>
          <w:color w:val="auto"/>
        </w:rPr>
      </w:pPr>
    </w:p>
    <w:p>
      <w:pPr>
        <w:ind w:left="1860" w:right="619"/>
        <w:spacing w:after="0" w:line="277" w:lineRule="auto"/>
        <w:rPr>
          <w:sz w:val="20"/>
          <w:szCs w:val="20"/>
          <w:color w:val="auto"/>
        </w:rPr>
      </w:pPr>
      <w:r>
        <w:rPr>
          <w:rFonts w:ascii="Arial" w:cs="Arial" w:eastAsia="Arial" w:hAnsi="Arial"/>
          <w:sz w:val="18"/>
          <w:szCs w:val="18"/>
          <w:color w:val="auto"/>
        </w:rPr>
        <w:t>As of September 30, 2014, no revenues had been generated under this project, therefore no royalties had been paid or accrued.</w:t>
      </w:r>
    </w:p>
    <w:p>
      <w:pPr>
        <w:spacing w:after="0" w:line="1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5"/>
          <w:szCs w:val="15"/>
          <w:color w:val="auto"/>
        </w:rPr>
        <w:t>Guarantees:</w:t>
      </w:r>
    </w:p>
    <w:p>
      <w:pPr>
        <w:spacing w:after="0" w:line="212" w:lineRule="exact"/>
        <w:rPr>
          <w:sz w:val="20"/>
          <w:szCs w:val="20"/>
          <w:color w:val="auto"/>
        </w:rPr>
      </w:pPr>
    </w:p>
    <w:p>
      <w:pPr>
        <w:ind w:left="1520" w:right="279"/>
        <w:spacing w:after="0" w:line="277" w:lineRule="auto"/>
        <w:rPr>
          <w:sz w:val="20"/>
          <w:szCs w:val="20"/>
          <w:color w:val="auto"/>
        </w:rPr>
      </w:pPr>
      <w:r>
        <w:rPr>
          <w:rFonts w:ascii="Arial" w:cs="Arial" w:eastAsia="Arial" w:hAnsi="Arial"/>
          <w:sz w:val="18"/>
          <w:szCs w:val="18"/>
          <w:color w:val="auto"/>
        </w:rPr>
        <w:t>As of December 31, 2013, the Company provided two bank guarantees of $ 231 in the aggregate for its rented facilities.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ind w:left="49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-130810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Company’s shares: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Ordinary shares:</w:t>
      </w:r>
    </w:p>
    <w:p>
      <w:pPr>
        <w:spacing w:after="0" w:line="225" w:lineRule="exact"/>
        <w:rPr>
          <w:sz w:val="20"/>
          <w:szCs w:val="20"/>
          <w:color w:val="auto"/>
        </w:rPr>
      </w:pPr>
    </w:p>
    <w:p>
      <w:pPr>
        <w:ind w:left="1620" w:right="259"/>
        <w:spacing w:after="0" w:line="257" w:lineRule="auto"/>
        <w:rPr>
          <w:sz w:val="20"/>
          <w:szCs w:val="20"/>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Preferred A-1 shares:</w:t>
      </w:r>
    </w:p>
    <w:p>
      <w:pPr>
        <w:spacing w:after="0" w:line="225" w:lineRule="exact"/>
        <w:rPr>
          <w:sz w:val="20"/>
          <w:szCs w:val="20"/>
          <w:color w:val="auto"/>
        </w:rPr>
      </w:pPr>
    </w:p>
    <w:p>
      <w:pPr>
        <w:ind w:left="1620" w:right="279"/>
        <w:spacing w:after="0" w:line="308" w:lineRule="auto"/>
        <w:rPr>
          <w:sz w:val="20"/>
          <w:szCs w:val="20"/>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7" w:lineRule="exact"/>
        <w:rPr>
          <w:sz w:val="20"/>
          <w:szCs w:val="20"/>
          <w:color w:val="auto"/>
        </w:rPr>
      </w:pPr>
    </w:p>
    <w:p>
      <w:pPr>
        <w:ind w:left="1620" w:right="199"/>
        <w:spacing w:after="0" w:line="259" w:lineRule="auto"/>
        <w:rPr>
          <w:sz w:val="20"/>
          <w:szCs w:val="20"/>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7"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Stock option plan: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exercise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price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40"/>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 w:type="dxa"/>
            <w:vAlign w:val="bottom"/>
            <w:vMerge w:val="continue"/>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Outstanding as of September 30, 2014</w:t>
            </w:r>
          </w:p>
        </w:tc>
        <w:tc>
          <w:tcPr>
            <w:tcW w:w="960" w:type="dxa"/>
            <w:vAlign w:val="bottom"/>
          </w:tcPr>
          <w:p>
            <w:pPr>
              <w:jc w:val="right"/>
              <w:spacing w:after="0"/>
              <w:rPr>
                <w:sz w:val="20"/>
                <w:szCs w:val="20"/>
                <w:color w:val="auto"/>
              </w:rPr>
            </w:pPr>
            <w:r>
              <w:rPr>
                <w:rFonts w:ascii="Arial" w:cs="Arial" w:eastAsia="Arial" w:hAnsi="Arial"/>
                <w:sz w:val="18"/>
                <w:szCs w:val="18"/>
                <w:color w:val="auto"/>
              </w:rPr>
              <w:t>333,932</w:t>
            </w:r>
          </w:p>
        </w:tc>
        <w:tc>
          <w:tcPr>
            <w:tcW w:w="16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Exercisable as of December 31, 2013</w:t>
            </w:r>
          </w:p>
        </w:tc>
        <w:tc>
          <w:tcPr>
            <w:tcW w:w="960" w:type="dxa"/>
            <w:vAlign w:val="bottom"/>
          </w:tcPr>
          <w:p>
            <w:pPr>
              <w:jc w:val="right"/>
              <w:spacing w:after="0"/>
              <w:rPr>
                <w:sz w:val="20"/>
                <w:szCs w:val="20"/>
                <w:color w:val="auto"/>
              </w:rPr>
            </w:pPr>
            <w:r>
              <w:rPr>
                <w:rFonts w:ascii="Arial" w:cs="Arial" w:eastAsia="Arial" w:hAnsi="Arial"/>
                <w:sz w:val="18"/>
                <w:szCs w:val="18"/>
                <w:color w:val="auto"/>
              </w:rPr>
              <w:t>123,725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December 31, 2013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174,534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September 30,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September 30, 2014</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291,874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-848360</wp:posOffset>
            </wp:positionV>
            <wp:extent cx="557403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163195"/>
                    </a:xfrm>
                    <a:prstGeom prst="rect">
                      <a:avLst/>
                    </a:prstGeom>
                    <a:noFill/>
                  </pic:spPr>
                </pic:pic>
              </a:graphicData>
            </a:graphic>
          </wp:anchor>
        </w:drawing>
      </w:r>
    </w:p>
    <w:p>
      <w:pPr>
        <w:sectPr>
          <w:pgSz w:w="11900" w:h="16838" w:orient="portrait"/>
          <w:cols w:equalWidth="0" w:num="1">
            <w:col w:w="9119"/>
          </w:cols>
          <w:pgMar w:left="1340" w:top="337" w:right="1440" w:bottom="1440" w:gutter="0" w:footer="0" w:header="0"/>
        </w:sectPr>
      </w:pPr>
    </w:p>
    <w:bookmarkStart w:id="141" w:name="page142"/>
    <w:bookmarkEnd w:id="14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299" w:hanging="369"/>
        <w:spacing w:after="0" w:line="277" w:lineRule="auto"/>
        <w:tabs>
          <w:tab w:leader="none" w:pos="14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of December 31, 2013, $244 unrecognized compensation cost related to stock options is expected to be recognized over a weighted average vesting period of 2.13 years.</w:t>
      </w:r>
    </w:p>
    <w:p>
      <w:pPr>
        <w:spacing w:after="0" w:line="170" w:lineRule="exact"/>
        <w:rPr>
          <w:sz w:val="20"/>
          <w:szCs w:val="20"/>
          <w:color w:val="auto"/>
        </w:rPr>
      </w:pPr>
    </w:p>
    <w:p>
      <w:pPr>
        <w:ind w:left="1520" w:right="659"/>
        <w:spacing w:after="0" w:line="264" w:lineRule="auto"/>
        <w:rPr>
          <w:sz w:val="20"/>
          <w:szCs w:val="20"/>
          <w:color w:val="auto"/>
        </w:rPr>
      </w:pPr>
      <w:r>
        <w:rPr>
          <w:rFonts w:ascii="Arial" w:cs="Arial" w:eastAsia="Arial" w:hAnsi="Arial"/>
          <w:sz w:val="18"/>
          <w:szCs w:val="18"/>
          <w:color w:val="auto"/>
        </w:rPr>
        <w:t>As of September 30, 2014 $3,154 (unaudited) unrecognized compensation cost related to stock options is expected to be recognized over a weighted average vesting period of 3.34 years (unaudited).</w:t>
      </w:r>
    </w:p>
    <w:p>
      <w:pPr>
        <w:spacing w:after="0" w:line="18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options outstanding have been classified by exercise price,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at December 31, 2013</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at December 31, 2013</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at September 30, 2014</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at September 30, 2014</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13.54 – 14.23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333,932</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 October and November 2014, the Board of directors approved options grants to purchase 21,657</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(unaudited) and 37,863 (unaudited) shares, respectively, at an exercise price per share of $13.54</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ind w:left="1520" w:right="199" w:hanging="369"/>
        <w:spacing w:after="0" w:line="342" w:lineRule="auto"/>
        <w:tabs>
          <w:tab w:leader="none" w:pos="14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Company’s Board approved option plans pursuant to which the Company is authorized to issue to employees, directors and officers of the Company and its subsidiaries (the “optionees”) options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219"/>
        <w:spacing w:after="0" w:line="276" w:lineRule="auto"/>
        <w:rPr>
          <w:sz w:val="20"/>
          <w:szCs w:val="20"/>
          <w:color w:val="auto"/>
        </w:rPr>
      </w:pPr>
      <w:r>
        <w:rPr>
          <w:rFonts w:ascii="Arial" w:cs="Arial" w:eastAsia="Arial" w:hAnsi="Arial"/>
          <w:sz w:val="17"/>
          <w:szCs w:val="17"/>
          <w:color w:val="auto"/>
        </w:rPr>
        <w:t>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Options that have vested are exercisable for 7 years from the grant date of the options to each employee.</w:t>
      </w:r>
    </w:p>
    <w:p>
      <w:pPr>
        <w:spacing w:after="0" w:line="173" w:lineRule="exact"/>
        <w:rPr>
          <w:sz w:val="20"/>
          <w:szCs w:val="20"/>
          <w:color w:val="auto"/>
        </w:rPr>
      </w:pPr>
    </w:p>
    <w:p>
      <w:pPr>
        <w:ind w:left="1520" w:right="219"/>
        <w:spacing w:after="0" w:line="257" w:lineRule="auto"/>
        <w:rPr>
          <w:sz w:val="20"/>
          <w:szCs w:val="20"/>
          <w:color w:val="auto"/>
        </w:rPr>
      </w:pPr>
      <w:r>
        <w:rPr>
          <w:rFonts w:ascii="Arial" w:cs="Arial" w:eastAsia="Arial" w:hAnsi="Arial"/>
          <w:sz w:val="18"/>
          <w:szCs w:val="18"/>
          <w:color w:val="auto"/>
        </w:rPr>
        <w:t>Pursuant to the option plans, the Company reserved for issuance 219,590 ordinary shares. As of December 31, 2013, an aggregate of 33,990 ordinary shares were available for future grants. On July 10, 2014, the Board of Directors approved an increase in the ordinary shares reserved for issuance to 402,149 (unaudited) ordinary shares. As of September 30, 2014, an aggregate of 68,217 (unaudited) ordinary shares were available for future grants.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4"/>
              </w:rPr>
              <w:t>Unaudited</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Numerator for basic and diluted net earnings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 share: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Weighted average shares outstanding, net of</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1,366,310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options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Denominator for diluted net earnings per share</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1,472,521</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1,547,013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80" w:type="dxa"/>
            <w:vAlign w:val="bottom"/>
          </w:tcPr>
          <w:p>
            <w:pPr>
              <w:ind w:left="102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339"/>
        <w:spacing w:after="0" w:line="264" w:lineRule="auto"/>
        <w:rPr>
          <w:sz w:val="20"/>
          <w:szCs w:val="20"/>
          <w:color w:val="auto"/>
        </w:rPr>
      </w:pPr>
      <w:r>
        <w:rPr>
          <w:rFonts w:ascii="Arial" w:cs="Arial" w:eastAsia="Arial" w:hAnsi="Arial"/>
          <w:sz w:val="18"/>
          <w:szCs w:val="18"/>
          <w:color w:val="auto"/>
        </w:rPr>
        <w:t>Taxable income of the Israeli companies is subject to the Israeli corporate tax at the rate as follows: 2012 and 2013– 25%. Commencing January 1, 2014, the Israeli corporate tax rate was increased to 26.5%.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Tax benefits under the Law for the Encouragement of Capital Investments, 1959 (the “Law”):</w:t>
      </w:r>
    </w:p>
    <w:p>
      <w:pPr>
        <w:spacing w:after="0" w:line="225" w:lineRule="exact"/>
        <w:rPr>
          <w:sz w:val="20"/>
          <w:szCs w:val="20"/>
          <w:color w:val="auto"/>
        </w:rPr>
      </w:pPr>
    </w:p>
    <w:p>
      <w:pPr>
        <w:ind w:left="1520" w:right="13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66"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81"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8" w:lineRule="exact"/>
        <w:rPr>
          <w:sz w:val="20"/>
          <w:szCs w:val="20"/>
          <w:color w:val="auto"/>
        </w:rPr>
      </w:pPr>
    </w:p>
    <w:p>
      <w:pPr>
        <w:ind w:left="1520" w:right="23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ind w:left="1520" w:right="179"/>
        <w:spacing w:after="0" w:line="257" w:lineRule="auto"/>
        <w:rPr>
          <w:sz w:val="20"/>
          <w:szCs w:val="20"/>
          <w:color w:val="auto"/>
        </w:rPr>
      </w:pPr>
      <w:r>
        <w:rPr>
          <w:rFonts w:ascii="Arial" w:cs="Arial" w:eastAsia="Arial" w:hAnsi="Arial"/>
          <w:sz w:val="18"/>
          <w:szCs w:val="18"/>
          <w:color w:val="auto"/>
        </w:rPr>
        <w:t>The Company does not intend to distribute any amounts of its undistributed tax-exempt income as dividend. The Company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88" w:lineRule="exact"/>
        <w:rPr>
          <w:sz w:val="20"/>
          <w:szCs w:val="20"/>
          <w:color w:val="auto"/>
        </w:rPr>
      </w:pPr>
    </w:p>
    <w:p>
      <w:pPr>
        <w:jc w:val="both"/>
        <w:ind w:left="1520" w:right="479"/>
        <w:spacing w:after="0" w:line="259" w:lineRule="auto"/>
        <w:rPr>
          <w:sz w:val="20"/>
          <w:szCs w:val="20"/>
          <w:color w:val="auto"/>
        </w:rPr>
      </w:pPr>
      <w:r>
        <w:rPr>
          <w:rFonts w:ascii="Arial" w:cs="Arial" w:eastAsia="Arial" w:hAnsi="Arial"/>
          <w:sz w:val="18"/>
          <w:szCs w:val="18"/>
          <w:color w:val="auto"/>
        </w:rPr>
        <w:t>As of December 31, 2013, tax-exempt income of $22,600 is attributable to the Company’s and its subsidiary’s various Beneficiary Enterprise programs. If such tax exempt income is distributed, it would be taxed at the reduced corporate tax rate applicable to such income, and $5,655 would be incurred as of December 31, 2013.</w:t>
      </w:r>
    </w:p>
    <w:p>
      <w:pPr>
        <w:spacing w:after="0" w:line="187"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ind w:left="1520" w:right="259"/>
        <w:spacing w:after="0" w:line="285"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ind w:left="1780" w:hanging="251"/>
        <w:spacing w:after="0"/>
        <w:tabs>
          <w:tab w:leader="none" w:pos="17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was registered under the Partnerships Ordinance; (b) all of its limited partners are companies</w:t>
      </w:r>
    </w:p>
    <w:p>
      <w:pPr>
        <w:spacing w:after="0" w:line="20" w:lineRule="exact"/>
        <w:rPr>
          <w:rFonts w:ascii="Arial" w:cs="Arial" w:eastAsia="Arial" w:hAnsi="Arial"/>
          <w:sz w:val="17"/>
          <w:szCs w:val="17"/>
          <w:color w:val="auto"/>
        </w:rPr>
      </w:pPr>
    </w:p>
    <w:p>
      <w:pPr>
        <w:ind w:left="1520" w:right="319"/>
        <w:spacing w:after="0" w:line="255" w:lineRule="auto"/>
        <w:rPr>
          <w:rFonts w:ascii="Arial" w:cs="Arial" w:eastAsia="Arial" w:hAnsi="Arial"/>
          <w:sz w:val="17"/>
          <w:szCs w:val="17"/>
          <w:color w:val="auto"/>
        </w:rPr>
      </w:pPr>
      <w:r>
        <w:rPr>
          <w:rFonts w:ascii="Arial" w:cs="Arial" w:eastAsia="Arial" w:hAnsi="Arial"/>
          <w:sz w:val="18"/>
          <w:szCs w:val="18"/>
          <w:color w:val="auto"/>
        </w:rPr>
        <w:t>incorporated in Israel, but not all of them are governmental entities, which, among other things, has Preferred Enterprise status and are controlled and managed from Israel. Pursuant to the 2011 Amendment, a Preferred Company is entitled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67"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ind w:left="1520" w:right="119"/>
        <w:spacing w:after="0" w:line="290" w:lineRule="auto"/>
        <w:rPr>
          <w:sz w:val="20"/>
          <w:szCs w:val="20"/>
          <w:color w:val="auto"/>
        </w:rPr>
      </w:pPr>
      <w:r>
        <w:rPr>
          <w:rFonts w:ascii="Arial" w:cs="Arial" w:eastAsia="Arial" w:hAnsi="Arial"/>
          <w:sz w:val="16"/>
          <w:szCs w:val="16"/>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to apply the benefit under the 2011 Amendment.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ind w:left="1520" w:right="659"/>
        <w:spacing w:after="0" w:line="302" w:lineRule="auto"/>
        <w:rPr>
          <w:sz w:val="20"/>
          <w:szCs w:val="20"/>
          <w:color w:val="auto"/>
        </w:rPr>
      </w:pPr>
      <w:r>
        <w:rPr>
          <w:rFonts w:ascii="Arial" w:cs="Arial" w:eastAsia="Arial" w:hAnsi="Arial"/>
          <w:sz w:val="16"/>
          <w:szCs w:val="16"/>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5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Income taxes of non-Israeli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48" w:lineRule="exact"/>
        <w:rPr>
          <w:sz w:val="20"/>
          <w:szCs w:val="20"/>
          <w:color w:val="auto"/>
        </w:rPr>
      </w:pPr>
    </w:p>
    <w:p>
      <w:pPr>
        <w:ind w:left="1520" w:right="139"/>
        <w:spacing w:after="0" w:line="255" w:lineRule="auto"/>
        <w:rPr>
          <w:sz w:val="20"/>
          <w:szCs w:val="20"/>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9" w:lineRule="exact"/>
        <w:rPr>
          <w:sz w:val="20"/>
          <w:szCs w:val="20"/>
          <w:color w:val="auto"/>
        </w:rPr>
      </w:pPr>
    </w:p>
    <w:p>
      <w:pPr>
        <w:ind w:left="1520" w:right="13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reinvested as of December 31, 2013 was $1,072.</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5"/>
          <w:szCs w:val="15"/>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2008.</w:t>
      </w:r>
    </w:p>
    <w:p>
      <w:pPr>
        <w:spacing w:after="0" w:line="225" w:lineRule="exact"/>
        <w:rPr>
          <w:sz w:val="20"/>
          <w:szCs w:val="20"/>
          <w:color w:val="auto"/>
        </w:rPr>
      </w:pPr>
    </w:p>
    <w:p>
      <w:pPr>
        <w:ind w:left="1520" w:right="29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Carryforward losses:</w:t>
      </w:r>
    </w:p>
    <w:p>
      <w:pPr>
        <w:spacing w:after="0" w:line="225" w:lineRule="exact"/>
        <w:rPr>
          <w:sz w:val="20"/>
          <w:szCs w:val="20"/>
          <w:color w:val="auto"/>
        </w:rPr>
      </w:pPr>
    </w:p>
    <w:p>
      <w:pPr>
        <w:ind w:left="1520" w:right="519"/>
        <w:spacing w:after="0" w:line="277" w:lineRule="auto"/>
        <w:rPr>
          <w:sz w:val="20"/>
          <w:szCs w:val="20"/>
          <w:color w:val="auto"/>
        </w:rPr>
      </w:pPr>
      <w:r>
        <w:rPr>
          <w:rFonts w:ascii="Arial" w:cs="Arial" w:eastAsia="Arial" w:hAnsi="Arial"/>
          <w:sz w:val="18"/>
          <w:szCs w:val="18"/>
          <w:color w:val="auto"/>
        </w:rPr>
        <w:t>Carryforward operating tax losses of the Company’s Israeli subsidiary amounted to $ 9,447 as of December 31, 2013 and may be used indefinitely.</w:t>
      </w:r>
    </w:p>
    <w:p>
      <w:pPr>
        <w:spacing w:after="0" w:line="170" w:lineRule="exact"/>
        <w:rPr>
          <w:sz w:val="20"/>
          <w:szCs w:val="20"/>
          <w:color w:val="auto"/>
        </w:rPr>
      </w:pPr>
    </w:p>
    <w:p>
      <w:pPr>
        <w:ind w:left="1480" w:hanging="329"/>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760" w:type="dxa"/>
            <w:vAlign w:val="bottom"/>
            <w:gridSpan w:val="9"/>
          </w:tcPr>
          <w:p>
            <w:pPr>
              <w:ind w:left="1380"/>
              <w:spacing w:after="0"/>
              <w:rPr>
                <w:sz w:val="20"/>
                <w:szCs w:val="20"/>
                <w:color w:val="auto"/>
              </w:rPr>
            </w:pPr>
            <w:r>
              <w:rPr>
                <w:rFonts w:ascii="Arial" w:cs="Arial" w:eastAsia="Arial" w:hAnsi="Arial"/>
                <w:sz w:val="18"/>
                <w:szCs w:val="18"/>
                <w:color w:val="auto"/>
                <w:w w:val="94"/>
              </w:rPr>
              <w:t>The net change in the valuation allowance was mainly due to increase of operating tax losses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5"/>
          </w:tcPr>
          <w:p>
            <w:pPr>
              <w:ind w:left="1380"/>
              <w:spacing w:after="0"/>
              <w:rPr>
                <w:sz w:val="20"/>
                <w:szCs w:val="20"/>
                <w:color w:val="auto"/>
              </w:rPr>
            </w:pPr>
            <w:r>
              <w:rPr>
                <w:rFonts w:ascii="Arial" w:cs="Arial" w:eastAsia="Arial" w:hAnsi="Arial"/>
                <w:sz w:val="18"/>
                <w:szCs w:val="18"/>
                <w:color w:val="auto"/>
              </w:rPr>
              <w:t>other temporary items for which a valuation allowance was provided.</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Current deferred tax asset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deferred tax liability</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Taxes on income are comprised as follows:</w:t>
      </w:r>
    </w:p>
    <w:p>
      <w:pPr>
        <w:spacing w:after="0" w:line="172"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Deferred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4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Domestic</w:t>
            </w: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6"/>
              </w:rPr>
              <w:t>Domestic taxes:</w:t>
            </w:r>
          </w:p>
        </w:tc>
        <w:tc>
          <w:tcPr>
            <w:tcW w:w="4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47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80" w:type="dxa"/>
            <w:vAlign w:val="bottom"/>
            <w:gridSpan w:val="2"/>
          </w:tcPr>
          <w:p>
            <w:pPr>
              <w:spacing w:after="0"/>
              <w:rPr>
                <w:sz w:val="20"/>
                <w:szCs w:val="20"/>
                <w:color w:val="auto"/>
              </w:rPr>
            </w:pPr>
            <w:r>
              <w:rPr>
                <w:rFonts w:ascii="Arial" w:cs="Arial" w:eastAsia="Arial" w:hAnsi="Arial"/>
                <w:sz w:val="18"/>
                <w:szCs w:val="18"/>
                <w:color w:val="auto"/>
              </w:rPr>
              <w:t>Foreign taxes:</w:t>
            </w: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Current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0"/>
              </w:rPr>
              <w:t>Taxes on income</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h.</w:t>
            </w:r>
          </w:p>
        </w:tc>
        <w:tc>
          <w:tcPr>
            <w:tcW w:w="4780" w:type="dxa"/>
            <w:vAlign w:val="bottom"/>
            <w:gridSpan w:val="2"/>
          </w:tcPr>
          <w:p>
            <w:pPr>
              <w:jc w:val="right"/>
              <w:ind w:right="3000"/>
              <w:spacing w:after="0"/>
              <w:rPr>
                <w:sz w:val="20"/>
                <w:szCs w:val="20"/>
                <w:color w:val="auto"/>
              </w:rPr>
            </w:pPr>
            <w:r>
              <w:rPr>
                <w:rFonts w:ascii="Arial" w:cs="Arial" w:eastAsia="Arial" w:hAnsi="Arial"/>
                <w:sz w:val="18"/>
                <w:szCs w:val="18"/>
                <w:color w:val="auto"/>
                <w:w w:val="94"/>
              </w:rPr>
              <w:t>Uncertain tax positions: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The Company’s Israeli tax returns have been examined for all years including and prior to fiscal 2009, and the Company is no longer subject to audit for these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The Company’s U.S subsidiary files U.S. federal income tax returns. Tax returns have been examined for all years prior to fiscal 2010, and the Company’s U.S subsidiary is no longer subject to audit for these periods.</w:t>
      </w:r>
    </w:p>
    <w:p>
      <w:pPr>
        <w:spacing w:after="0" w:line="181" w:lineRule="exact"/>
        <w:rPr>
          <w:sz w:val="20"/>
          <w:szCs w:val="20"/>
          <w:color w:val="auto"/>
        </w:rPr>
      </w:pPr>
    </w:p>
    <w:p>
      <w:pPr>
        <w:ind w:left="1520" w:right="799"/>
        <w:spacing w:after="0" w:line="277" w:lineRule="auto"/>
        <w:rPr>
          <w:sz w:val="20"/>
          <w:szCs w:val="20"/>
          <w:color w:val="auto"/>
        </w:rPr>
      </w:pPr>
      <w:r>
        <w:rPr>
          <w:rFonts w:ascii="Arial" w:cs="Arial" w:eastAsia="Arial" w:hAnsi="Arial"/>
          <w:sz w:val="18"/>
          <w:szCs w:val="18"/>
          <w:color w:val="auto"/>
        </w:rPr>
        <w:t>As of December 31, 2013, the entire amount of the unrecognized tax benefits could affect the Company’s income tax provision and the effective tax rate.</w:t>
      </w:r>
    </w:p>
    <w:p>
      <w:pPr>
        <w:spacing w:after="0" w:line="130" w:lineRule="exact"/>
        <w:rPr>
          <w:sz w:val="20"/>
          <w:szCs w:val="20"/>
          <w:color w:val="auto"/>
        </w:rPr>
      </w:pPr>
    </w:p>
    <w:p>
      <w:pPr>
        <w:jc w:val="both"/>
        <w:ind w:left="1520" w:right="139"/>
        <w:spacing w:after="0" w:line="276" w:lineRule="auto"/>
        <w:rPr>
          <w:sz w:val="20"/>
          <w:szCs w:val="20"/>
          <w:color w:val="auto"/>
        </w:rPr>
      </w:pPr>
      <w:r>
        <w:rPr>
          <w:rFonts w:ascii="Arial" w:cs="Arial" w:eastAsia="Arial" w:hAnsi="Arial"/>
          <w:sz w:val="17"/>
          <w:szCs w:val="17"/>
          <w:color w:val="auto"/>
        </w:rPr>
        <w:t>During the years ended December 31, 2012 and 2013, an amount of $0 and $75, respectively, was add to the unrecognized tax benefits derived from interest and exchange rate differences expenses related to prior years’ uncertain tax positions. As of December 31, 2012 and 2013, the Company had accrued interest liability related to uncertain tax positions in the amounts of $0 and $33 respectively, which is included within income tax accrual on the balance sheets.</w:t>
      </w:r>
    </w:p>
    <w:p>
      <w:pPr>
        <w:spacing w:after="0" w:line="146" w:lineRule="exact"/>
        <w:rPr>
          <w:sz w:val="20"/>
          <w:szCs w:val="20"/>
          <w:color w:val="auto"/>
        </w:rPr>
      </w:pPr>
    </w:p>
    <w:p>
      <w:pPr>
        <w:ind w:left="1520" w:right="2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30"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8" w:lineRule="exact"/>
        <w:rPr>
          <w:sz w:val="20"/>
          <w:szCs w:val="20"/>
          <w:color w:val="auto"/>
        </w:rPr>
      </w:pPr>
    </w:p>
    <w:p>
      <w:pPr>
        <w:ind w:left="1520" w:right="239" w:hanging="369"/>
        <w:spacing w:after="0" w:line="264" w:lineRule="auto"/>
        <w:tabs>
          <w:tab w:leader="none" w:pos="14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5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before taxes, as reported in the consolidated statements of income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Theoretical tax expense on the above amount at the Israeli statutory tax rate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w w:val="91"/>
              </w:rPr>
              <w:t>Deferred taxes on losses and other temporary differences for which valuation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allowance was provided,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relating to stock options per ASC No. 718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Benefiticiary enterprise benefits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Basic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Diluted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240"/>
              <w:spacing w:after="0"/>
              <w:rPr>
                <w:sz w:val="20"/>
                <w:szCs w:val="20"/>
                <w:color w:val="auto"/>
              </w:rPr>
            </w:pPr>
            <w:r>
              <w:rPr>
                <w:rFonts w:ascii="Arial" w:cs="Arial" w:eastAsia="Arial" w:hAnsi="Arial"/>
                <w:sz w:val="14"/>
                <w:szCs w:val="14"/>
                <w:color w:val="auto"/>
              </w:rPr>
              <w:t>F-29</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6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Summary information about geographic areas:</w:t>
      </w:r>
    </w:p>
    <w:p>
      <w:pPr>
        <w:spacing w:after="0" w:line="225"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81" w:lineRule="exact"/>
        <w:rPr>
          <w:sz w:val="20"/>
          <w:szCs w:val="20"/>
          <w:color w:val="auto"/>
        </w:rPr>
      </w:pPr>
    </w:p>
    <w:p>
      <w:pPr>
        <w:ind w:left="1520" w:right="199"/>
        <w:spacing w:after="0" w:line="342" w:lineRule="auto"/>
        <w:rPr>
          <w:sz w:val="20"/>
          <w:szCs w:val="20"/>
          <w:color w:val="auto"/>
        </w:rPr>
      </w:pPr>
      <w:r>
        <w:rPr>
          <w:rFonts w:ascii="Arial" w:cs="Arial" w:eastAsia="Arial" w:hAnsi="Arial"/>
          <w:sz w:val="16"/>
          <w:szCs w:val="16"/>
          <w:color w:val="auto"/>
        </w:rPr>
        <w:t>The following table presents total revenues and long-lived assets for the years ended December 31, 2012 and 2013 and for the nine months ended September 30, 2013 (unaudited) and 2014 (unaudited).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sales to customers located at: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America (non-U.S.)</w:t>
            </w:r>
          </w:p>
        </w:tc>
        <w:tc>
          <w:tcPr>
            <w:tcW w:w="74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Asia Pacific – other</w:t>
            </w:r>
          </w:p>
        </w:tc>
        <w:tc>
          <w:tcPr>
            <w:tcW w:w="74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7,884</w:t>
            </w: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39,167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6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Israel</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Hong Kong</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2,442</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b.</w:t>
            </w:r>
          </w:p>
        </w:tc>
        <w:tc>
          <w:tcPr>
            <w:tcW w:w="4260" w:type="dxa"/>
            <w:vAlign w:val="bottom"/>
            <w:gridSpan w:val="5"/>
          </w:tcPr>
          <w:p>
            <w:pPr>
              <w:jc w:val="right"/>
              <w:ind w:right="40"/>
              <w:spacing w:after="0"/>
              <w:rPr>
                <w:sz w:val="20"/>
                <w:szCs w:val="20"/>
                <w:color w:val="auto"/>
              </w:rPr>
            </w:pPr>
            <w:r>
              <w:rPr>
                <w:rFonts w:ascii="Arial" w:cs="Arial" w:eastAsia="Arial" w:hAnsi="Arial"/>
                <w:sz w:val="18"/>
                <w:szCs w:val="18"/>
                <w:color w:val="auto"/>
                <w:w w:val="91"/>
              </w:rPr>
              <w:t>Major Distributors data as a percentage of total revenues: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00" w:type="dxa"/>
            <w:vAlign w:val="bottom"/>
            <w:tcBorders>
              <w:bottom w:val="single" w:sz="8" w:color="auto"/>
            </w:tcBorders>
            <w:gridSpan w:val="4"/>
          </w:tcPr>
          <w:p>
            <w:pPr>
              <w:jc w:val="center"/>
              <w:ind w:left="163"/>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776"/>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ind w:left="576"/>
              <w:spacing w:after="0"/>
              <w:rPr>
                <w:sz w:val="20"/>
                <w:szCs w:val="20"/>
                <w:color w:val="auto"/>
              </w:rPr>
            </w:pPr>
            <w:r>
              <w:rPr>
                <w:rFonts w:ascii="Arial" w:cs="Arial" w:eastAsia="Arial" w:hAnsi="Arial"/>
                <w:sz w:val="16"/>
                <w:szCs w:val="16"/>
                <w:b w:val="1"/>
                <w:bCs w:val="1"/>
                <w:color w:val="auto"/>
                <w:w w:val="94"/>
              </w:rPr>
              <w:t>Unaudited</w:t>
            </w:r>
          </w:p>
        </w:tc>
        <w:tc>
          <w:tcPr>
            <w:tcW w:w="6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80" w:type="dxa"/>
            <w:vAlign w:val="bottom"/>
          </w:tcPr>
          <w:p>
            <w:pPr>
              <w:jc w:val="right"/>
              <w:ind w:right="336"/>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F-30</w:t>
            </w:r>
          </w:p>
        </w:tc>
        <w:tc>
          <w:tcPr>
            <w:tcW w:w="2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income, net: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2012</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bank deposits and other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charges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229" w:lineRule="exact"/>
        <w:rPr>
          <w:sz w:val="20"/>
          <w:szCs w:val="20"/>
          <w:color w:val="auto"/>
        </w:rPr>
      </w:pPr>
    </w:p>
    <w:p>
      <w:pPr>
        <w:ind w:left="1160" w:right="13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225" w:lineRule="exact"/>
        <w:rPr>
          <w:sz w:val="20"/>
          <w:szCs w:val="20"/>
          <w:color w:val="auto"/>
        </w:rPr>
      </w:pPr>
    </w:p>
    <w:p>
      <w:pPr>
        <w:ind w:left="1140" w:right="199"/>
        <w:spacing w:after="0" w:line="316" w:lineRule="auto"/>
        <w:rPr>
          <w:sz w:val="20"/>
          <w:szCs w:val="20"/>
          <w:color w:val="auto"/>
        </w:rPr>
      </w:pPr>
      <w:r>
        <w:rPr>
          <w:rFonts w:ascii="Arial" w:cs="Arial" w:eastAsia="Arial" w:hAnsi="Arial"/>
          <w:sz w:val="15"/>
          <w:szCs w:val="15"/>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and 2013 and the nine months ended September 30, 2013 (unaudited) and 2014 (unaudited) the Company recorded an expense of $175, $120, $90 (unaudited) and $139 (unaudited) respectively, in respect of payments to Fortissimo.</w:t>
      </w:r>
    </w:p>
    <w:p>
      <w:pPr>
        <w:spacing w:after="0" w:line="150" w:lineRule="exact"/>
        <w:rPr>
          <w:sz w:val="20"/>
          <w:szCs w:val="20"/>
          <w:color w:val="auto"/>
        </w:rPr>
      </w:pPr>
    </w:p>
    <w:p>
      <w:pPr>
        <w:ind w:left="1140" w:right="15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229" w:lineRule="exact"/>
        <w:rPr>
          <w:sz w:val="20"/>
          <w:szCs w:val="20"/>
          <w:color w:val="auto"/>
        </w:rPr>
      </w:pPr>
    </w:p>
    <w:p>
      <w:pPr>
        <w:ind w:left="1140" w:right="199"/>
        <w:spacing w:after="0" w:line="279" w:lineRule="auto"/>
        <w:rPr>
          <w:sz w:val="20"/>
          <w:szCs w:val="20"/>
          <w:color w:val="auto"/>
        </w:rPr>
      </w:pPr>
      <w:r>
        <w:rPr>
          <w:rFonts w:ascii="Arial" w:cs="Arial" w:eastAsia="Arial" w:hAnsi="Arial"/>
          <w:sz w:val="17"/>
          <w:szCs w:val="17"/>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equity to balance-sheet ratio.</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ind w:left="120" w:right="159" w:firstLine="216"/>
        <w:spacing w:after="0" w:line="2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74030" cy="25400"/>
                    </a:xfrm>
                    <a:prstGeom prst="rect">
                      <a:avLst/>
                    </a:prstGeom>
                    <a:noFill/>
                  </pic:spPr>
                </pic:pic>
              </a:graphicData>
            </a:graphic>
          </wp:anchor>
        </w:drawing>
        <w:t>Through and including , 2015 (the 25</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543560</wp:posOffset>
            </wp:positionV>
            <wp:extent cx="2332355" cy="15005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32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300355</wp:posOffset>
            </wp:positionV>
            <wp:extent cx="557403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497840</wp:posOffset>
            </wp:positionV>
            <wp:extent cx="55740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29"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72" w:val="left"/>
        </w:tabs>
        <w:numPr>
          <w:ilvl w:val="0"/>
          <w:numId w:val="98"/>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5" w:lineRule="auto"/>
        <w:tabs>
          <w:tab w:leader="none" w:pos="572" w:val="left"/>
        </w:tabs>
        <w:numPr>
          <w:ilvl w:val="0"/>
          <w:numId w:val="98"/>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56" w:val="left"/>
        </w:tabs>
        <w:numPr>
          <w:ilvl w:val="0"/>
          <w:numId w:val="98"/>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39" w:hanging="219"/>
        <w:spacing w:after="0" w:line="232" w:lineRule="auto"/>
        <w:tabs>
          <w:tab w:leader="none" w:pos="572" w:val="left"/>
        </w:tabs>
        <w:numPr>
          <w:ilvl w:val="0"/>
          <w:numId w:val="99"/>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399" w:hanging="219"/>
        <w:spacing w:after="0" w:line="232" w:lineRule="auto"/>
        <w:tabs>
          <w:tab w:leader="none" w:pos="572" w:val="left"/>
        </w:tabs>
        <w:numPr>
          <w:ilvl w:val="0"/>
          <w:numId w:val="99"/>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99"/>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39" w:hanging="219"/>
        <w:spacing w:after="0" w:line="238" w:lineRule="auto"/>
        <w:tabs>
          <w:tab w:leader="none" w:pos="572" w:val="left"/>
        </w:tabs>
        <w:numPr>
          <w:ilvl w:val="0"/>
          <w:numId w:val="100"/>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599" w:hanging="219"/>
        <w:spacing w:after="0" w:line="232" w:lineRule="auto"/>
        <w:tabs>
          <w:tab w:leader="none" w:pos="572" w:val="left"/>
        </w:tabs>
        <w:numPr>
          <w:ilvl w:val="0"/>
          <w:numId w:val="100"/>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ind w:left="560" w:hanging="219"/>
        <w:spacing w:after="0"/>
        <w:tabs>
          <w:tab w:leader="none" w:pos="560" w:val="left"/>
        </w:tabs>
        <w:numPr>
          <w:ilvl w:val="0"/>
          <w:numId w:val="101"/>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01"/>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8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Set forth below are the sales of all securities of the registrant sold by the registrant within the past three years (i.e., since January 1, 2011, up to the date of this registration statement) which were not registered under the Securities Act:</w:t>
      </w:r>
    </w:p>
    <w:p>
      <w:pPr>
        <w:spacing w:after="0" w:line="115" w:lineRule="exact"/>
        <w:rPr>
          <w:sz w:val="20"/>
          <w:szCs w:val="20"/>
          <w:color w:val="auto"/>
        </w:rPr>
      </w:pPr>
    </w:p>
    <w:p>
      <w:pPr>
        <w:ind w:left="560" w:hanging="219"/>
        <w:spacing w:after="0"/>
        <w:tabs>
          <w:tab w:leader="none" w:pos="560" w:val="left"/>
        </w:tabs>
        <w:numPr>
          <w:ilvl w:val="0"/>
          <w:numId w:val="102"/>
        </w:numPr>
        <w:rPr>
          <w:rFonts w:ascii="Arial" w:cs="Arial" w:eastAsia="Arial" w:hAnsi="Arial"/>
          <w:sz w:val="22"/>
          <w:szCs w:val="22"/>
          <w:color w:val="auto"/>
        </w:rPr>
      </w:pPr>
      <w:r>
        <w:rPr>
          <w:rFonts w:ascii="Arial" w:cs="Arial" w:eastAsia="Arial" w:hAnsi="Arial"/>
          <w:sz w:val="18"/>
          <w:szCs w:val="18"/>
          <w:color w:val="auto"/>
        </w:rPr>
        <w:t>In July 2011, we issued 602,230 Series A-1 preferred shares for $5,000,000 to Fortissimo Capital.</w:t>
      </w:r>
    </w:p>
    <w:p>
      <w:pPr>
        <w:spacing w:after="0" w:line="202"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because they were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200" w:lineRule="exact"/>
        <w:rPr>
          <w:sz w:val="20"/>
          <w:szCs w:val="20"/>
          <w:color w:val="auto"/>
        </w:rPr>
      </w:pPr>
    </w:p>
    <w:p>
      <w:pPr>
        <w:jc w:val="both"/>
        <w:ind w:left="560" w:right="119" w:hanging="219"/>
        <w:spacing w:after="0" w:line="285" w:lineRule="auto"/>
        <w:tabs>
          <w:tab w:leader="none" w:pos="595" w:val="left"/>
        </w:tabs>
        <w:numPr>
          <w:ilvl w:val="0"/>
          <w:numId w:val="103"/>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2012 Plan and 2004 Plan covering an aggregate of 292,602 ordinary shares, with exercise prices ranging from $2.33 to $14.23 per share. As of the date of this registration statement, 8,000 of these options have been forfeited and cancelled without being exercised.</w:t>
      </w:r>
    </w:p>
    <w:p>
      <w:pPr>
        <w:spacing w:after="0" w:line="168"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underwriters were employed in connection with the securities issuances set forth in this Item 7.</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720" w:hanging="379"/>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23" w:lineRule="exact"/>
        <w:rPr>
          <w:rFonts w:ascii="Arial" w:cs="Arial" w:eastAsia="Arial" w:hAnsi="Arial"/>
          <w:sz w:val="18"/>
          <w:szCs w:val="18"/>
          <w:color w:val="auto"/>
        </w:rPr>
      </w:pPr>
    </w:p>
    <w:p>
      <w:pPr>
        <w:ind w:left="740" w:hanging="399"/>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53" w:name="page154"/>
    <w:bookmarkEnd w:id="153"/>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60" w:right="539" w:hanging="219"/>
        <w:spacing w:after="0" w:line="264" w:lineRule="auto"/>
        <w:tabs>
          <w:tab w:leader="none" w:pos="5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81" w:lineRule="exact"/>
        <w:rPr>
          <w:rFonts w:ascii="Arial" w:cs="Arial" w:eastAsia="Arial" w:hAnsi="Arial"/>
          <w:sz w:val="18"/>
          <w:szCs w:val="18"/>
          <w:color w:val="auto"/>
        </w:rPr>
      </w:pPr>
    </w:p>
    <w:p>
      <w:pPr>
        <w:ind w:left="560" w:right="379" w:hanging="219"/>
        <w:spacing w:after="0" w:line="279" w:lineRule="auto"/>
        <w:tabs>
          <w:tab w:leader="none" w:pos="5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ind w:left="560" w:right="259" w:hanging="219"/>
        <w:spacing w:after="0" w:line="312" w:lineRule="auto"/>
        <w:tabs>
          <w:tab w:leader="none" w:pos="52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39" w:firstLine="21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ind w:left="120" w:right="319"/>
        <w:spacing w:after="0" w:line="261" w:lineRule="auto"/>
        <w:rPr>
          <w:sz w:val="20"/>
          <w:szCs w:val="20"/>
          <w:color w:val="auto"/>
        </w:rPr>
      </w:pPr>
      <w:r>
        <w:rPr>
          <w:rFonts w:ascii="Arial" w:cs="Arial" w:eastAsia="Arial" w:hAnsi="Arial"/>
          <w:sz w:val="18"/>
          <w:szCs w:val="18"/>
          <w:color w:val="auto"/>
        </w:rPr>
        <w:t>signed on its behalf by the undersigned, thereunto duly authorized, in Rosh Ha-Ayin, Israel on this day of , 2015.</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KORNIT DIGITAL LTD.</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the following persons on</w:t>
            </w:r>
          </w:p>
        </w:tc>
        <w:tc>
          <w:tcPr>
            <w:tcW w:w="6360" w:type="dxa"/>
            <w:vAlign w:val="bottom"/>
          </w:tcPr>
          <w:p>
            <w:pPr>
              <w:ind w:left="620"/>
              <w:spacing w:after="0"/>
              <w:rPr>
                <w:sz w:val="20"/>
                <w:szCs w:val="20"/>
                <w:color w:val="auto"/>
              </w:rPr>
            </w:pPr>
            <w:r>
              <w:rPr>
                <w:rFonts w:ascii="Arial" w:cs="Arial" w:eastAsia="Arial" w:hAnsi="Arial"/>
                <w:sz w:val="18"/>
                <w:szCs w:val="18"/>
                <w:color w:val="auto"/>
              </w:rPr>
              <w:t>, 2015 in the capacities indicated:</w:t>
            </w:r>
          </w:p>
        </w:tc>
      </w:tr>
      <w:tr>
        <w:trPr>
          <w:trHeight w:val="524"/>
        </w:trPr>
        <w:tc>
          <w:tcPr>
            <w:tcW w:w="20" w:type="dxa"/>
            <w:vAlign w:val="bottom"/>
          </w:tcPr>
          <w:p>
            <w:pPr>
              <w:spacing w:after="0"/>
              <w:rPr>
                <w:sz w:val="24"/>
                <w:szCs w:val="24"/>
                <w:color w:val="auto"/>
              </w:rPr>
            </w:pPr>
          </w:p>
        </w:tc>
        <w:tc>
          <w:tcPr>
            <w:tcW w:w="2400" w:type="dxa"/>
            <w:vAlign w:val="bottom"/>
            <w:gridSpan w:val="2"/>
          </w:tcPr>
          <w:p>
            <w:pPr>
              <w:ind w:left="160"/>
              <w:spacing w:after="0"/>
              <w:rPr>
                <w:sz w:val="20"/>
                <w:szCs w:val="20"/>
                <w:color w:val="auto"/>
              </w:rPr>
            </w:pPr>
            <w:r>
              <w:rPr>
                <w:rFonts w:ascii="Arial" w:cs="Arial" w:eastAsia="Arial" w:hAnsi="Arial"/>
                <w:sz w:val="16"/>
                <w:szCs w:val="16"/>
                <w:b w:val="1"/>
                <w:bCs w:val="1"/>
                <w:color w:val="auto"/>
              </w:rPr>
              <w:t>Signature and Name</w:t>
            </w:r>
          </w:p>
        </w:tc>
        <w:tc>
          <w:tcPr>
            <w:tcW w:w="6360" w:type="dxa"/>
            <w:vAlign w:val="bottom"/>
          </w:tcPr>
          <w:p>
            <w:pPr>
              <w:ind w:left="2980"/>
              <w:spacing w:after="0"/>
              <w:rPr>
                <w:sz w:val="20"/>
                <w:szCs w:val="20"/>
                <w:color w:val="auto"/>
              </w:rPr>
            </w:pPr>
            <w:r>
              <w:rPr>
                <w:rFonts w:ascii="Arial" w:cs="Arial" w:eastAsia="Arial" w:hAnsi="Arial"/>
                <w:sz w:val="16"/>
                <w:szCs w:val="16"/>
                <w:b w:val="1"/>
                <w:bCs w:val="1"/>
                <w:color w:val="auto"/>
              </w:rPr>
              <w:t>Title</w:t>
            </w:r>
          </w:p>
        </w:tc>
      </w:tr>
      <w:tr>
        <w:trPr>
          <w:trHeight w:val="29"/>
        </w:trPr>
        <w:tc>
          <w:tcPr>
            <w:tcW w:w="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428625</wp:posOffset>
            </wp:positionV>
            <wp:extent cx="10890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Gabi Seligsohn</w:t>
            </w:r>
          </w:p>
        </w:tc>
        <w:tc>
          <w:tcPr>
            <w:tcW w:w="6820" w:type="dxa"/>
            <w:vAlign w:val="bottom"/>
          </w:tcPr>
          <w:p>
            <w:pPr>
              <w:ind w:left="500"/>
              <w:spacing w:after="0"/>
              <w:rPr>
                <w:sz w:val="20"/>
                <w:szCs w:val="20"/>
                <w:color w:val="auto"/>
              </w:rPr>
            </w:pPr>
            <w:r>
              <w:rPr>
                <w:rFonts w:ascii="Arial" w:cs="Arial" w:eastAsia="Arial" w:hAnsi="Arial"/>
                <w:sz w:val="18"/>
                <w:szCs w:val="18"/>
                <w:color w:val="auto"/>
              </w:rPr>
              <w:t>Chief Executive Officer (principal executive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Guy Avidan</w:t>
            </w:r>
          </w:p>
        </w:tc>
        <w:tc>
          <w:tcPr>
            <w:tcW w:w="6820" w:type="dxa"/>
            <w:vAlign w:val="bottom"/>
          </w:tcPr>
          <w:p>
            <w:pPr>
              <w:ind w:left="500"/>
              <w:spacing w:after="0"/>
              <w:rPr>
                <w:sz w:val="20"/>
                <w:szCs w:val="20"/>
                <w:color w:val="auto"/>
              </w:rPr>
            </w:pPr>
            <w:r>
              <w:rPr>
                <w:rFonts w:ascii="Arial" w:cs="Arial" w:eastAsia="Arial" w:hAnsi="Arial"/>
                <w:sz w:val="18"/>
                <w:szCs w:val="18"/>
                <w:color w:val="auto"/>
                <w:w w:val="98"/>
              </w:rPr>
              <w:t>Chief Financial Officer (principal financial officer and principal accounting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Yuval Cohen</w:t>
            </w:r>
          </w:p>
        </w:tc>
        <w:tc>
          <w:tcPr>
            <w:tcW w:w="6820" w:type="dxa"/>
            <w:vAlign w:val="bottom"/>
          </w:tcPr>
          <w:p>
            <w:pPr>
              <w:ind w:left="500"/>
              <w:spacing w:after="0"/>
              <w:rPr>
                <w:sz w:val="20"/>
                <w:szCs w:val="20"/>
                <w:color w:val="auto"/>
              </w:rPr>
            </w:pPr>
            <w:r>
              <w:rPr>
                <w:rFonts w:ascii="Arial" w:cs="Arial" w:eastAsia="Arial" w:hAnsi="Arial"/>
                <w:sz w:val="18"/>
                <w:szCs w:val="18"/>
                <w:color w:val="auto"/>
              </w:rPr>
              <w:t>Chairman of the Board of Directors</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Ofer Ben-Zur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Marc Lesnick</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Eli Blatt</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Yoav Hineman</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Moshe Nur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Joshua Maor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324"/>
        </w:trPr>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the Registrant’s duly authorized representative has signed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this registration statement on Form F-1 in Mequon, Wisconsin,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KORNIT DIGITAL NORTH AMERICA INC.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203200</wp:posOffset>
            </wp:positionV>
            <wp:extent cx="55740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6" w:name="page157"/>
    <w:bookmarkEnd w:id="156"/>
    <w:tbl>
      <w:tblPr>
        <w:tblLayout w:type="fixed"/>
        <w:tblInd w:w="1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4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EXHIBIT INDEX</w:t>
            </w: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3"/>
        </w:trPr>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
        </w:trPr>
        <w:tc>
          <w:tcPr>
            <w:tcW w:w="120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7220" w:type="dxa"/>
            <w:vAlign w:val="bottom"/>
            <w:tcBorders>
              <w:bottom w:val="single" w:sz="8" w:color="auto"/>
            </w:tcBorders>
            <w:gridSpan w:val="4"/>
          </w:tcPr>
          <w:p>
            <w:pPr>
              <w:spacing w:after="0"/>
              <w:rPr>
                <w:sz w:val="5"/>
                <w:szCs w:val="5"/>
                <w:color w:val="auto"/>
              </w:rPr>
            </w:pPr>
          </w:p>
        </w:tc>
      </w:tr>
      <w:tr>
        <w:trPr>
          <w:trHeight w:val="249"/>
        </w:trPr>
        <w:tc>
          <w:tcPr>
            <w:tcW w:w="1200" w:type="dxa"/>
            <w:vAlign w:val="bottom"/>
          </w:tcPr>
          <w:p>
            <w:pPr>
              <w:ind w:left="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5"/>
              </w:rPr>
              <w:t>Form of Underwriting Agreement by and among Kornit Digital Ltd. and the underwriters named</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therein*</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Articles of Association of the Registrant</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6"/>
              </w:rPr>
              <w:t>Form of Amended and Restated Articles of Association of the Registrant, to be effective upon</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closing of this offering*</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Specimen Share Certificate*</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3"/>
              </w:rPr>
              <w:t>Opinion of Meitar Liquornik Geva Leshem Tal, Israeli counsel to the Registrant, as to the validity</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of the ordinary shares (including consent)*</w:t>
            </w: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2004 Share Option Plan</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2012 Share Incentive Plan</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5"/>
              </w:rPr>
              <w:t>Form of indemnification agreement by and between Kornit Digital Ltd. and each of its directors</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and executive officers*</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rPr>
              <w:t>Sales Representative Agreement, dated April 1, 2014, between the Registrant and Hirsch</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International Corporation*†</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5940" w:type="dxa"/>
            <w:vAlign w:val="bottom"/>
            <w:gridSpan w:val="3"/>
          </w:tcPr>
          <w:p>
            <w:pPr>
              <w:ind w:left="40"/>
              <w:spacing w:after="0"/>
              <w:rPr>
                <w:sz w:val="20"/>
                <w:szCs w:val="20"/>
                <w:color w:val="auto"/>
              </w:rPr>
            </w:pPr>
            <w:r>
              <w:rPr>
                <w:rFonts w:ascii="Arial" w:cs="Arial" w:eastAsia="Arial" w:hAnsi="Arial"/>
                <w:sz w:val="18"/>
                <w:szCs w:val="18"/>
                <w:color w:val="auto"/>
                <w:w w:val="96"/>
              </w:rPr>
              <w:t>Amended and Restated Original Equipment Manufacturer Agreement, dated</w:t>
            </w:r>
          </w:p>
        </w:tc>
        <w:tc>
          <w:tcPr>
            <w:tcW w:w="1280" w:type="dxa"/>
            <w:vAlign w:val="bottom"/>
          </w:tcPr>
          <w:p>
            <w:pPr>
              <w:ind w:left="400"/>
              <w:spacing w:after="0"/>
              <w:rPr>
                <w:sz w:val="20"/>
                <w:szCs w:val="20"/>
                <w:color w:val="auto"/>
              </w:rPr>
            </w:pPr>
            <w:r>
              <w:rPr>
                <w:rFonts w:ascii="Arial" w:cs="Arial" w:eastAsia="Arial" w:hAnsi="Arial"/>
                <w:sz w:val="18"/>
                <w:szCs w:val="18"/>
                <w:color w:val="auto"/>
              </w:rPr>
              <w:t>, between</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gridSpan w:val="3"/>
          </w:tcPr>
          <w:p>
            <w:pPr>
              <w:ind w:left="40"/>
              <w:spacing w:after="0"/>
              <w:rPr>
                <w:sz w:val="20"/>
                <w:szCs w:val="20"/>
                <w:color w:val="auto"/>
              </w:rPr>
            </w:pPr>
            <w:r>
              <w:rPr>
                <w:rFonts w:ascii="Arial" w:cs="Arial" w:eastAsia="Arial" w:hAnsi="Arial"/>
                <w:sz w:val="18"/>
                <w:szCs w:val="18"/>
                <w:color w:val="auto"/>
              </w:rPr>
              <w:t>the Registrant and Spectra Printing, a division of FujiFilm Dimatix, Inc.*†</w:t>
            </w: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7"/>
              </w:rPr>
              <w:t>Supplier Agreement, dated November 19, 2014, between the Registrant and I.T.S. Industrial</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Technologic Solutions, Ltd.†∞*</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w w:val="96"/>
              </w:rPr>
              <w:t>Amended and Restated Investors’ Rights Agreement, dated</w:t>
            </w: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rPr>
              <w:t>, by and among the</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Registrant and the other parties thereto.*</w:t>
            </w: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5"/>
              </w:rPr>
              <w:t>Management Services Agreement, dated August 11, 2011, by and between the Registrant and</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w w:val="93"/>
              </w:rPr>
              <w:t>Fortissimo Capital Fund II (Israel) L.P.</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Termination Agreement, dated</w:t>
            </w:r>
          </w:p>
        </w:tc>
        <w:tc>
          <w:tcPr>
            <w:tcW w:w="4340" w:type="dxa"/>
            <w:vAlign w:val="bottom"/>
            <w:gridSpan w:val="3"/>
          </w:tcPr>
          <w:p>
            <w:pPr>
              <w:ind w:left="20"/>
              <w:spacing w:after="0"/>
              <w:rPr>
                <w:sz w:val="20"/>
                <w:szCs w:val="20"/>
                <w:color w:val="auto"/>
              </w:rPr>
            </w:pPr>
            <w:r>
              <w:rPr>
                <w:rFonts w:ascii="Arial" w:cs="Arial" w:eastAsia="Arial" w:hAnsi="Arial"/>
                <w:sz w:val="18"/>
                <w:szCs w:val="18"/>
                <w:color w:val="auto"/>
                <w:w w:val="93"/>
              </w:rPr>
              <w:t>, 2015, terminating the Management Services Agreement,</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1"/>
              </w:rPr>
              <w:t>dated August 11, 2011, by and between the Registrant and Fortissimo Capital Fund II (Israel) L.P.*</w:t>
            </w: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rPr>
              <w:t>Lease Agreement, dated March 25, 2010, by and between the Registrant and Benvenisti</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Engineering Ltd.∞*</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4"/>
              </w:rPr>
              <w:t>Addendum to Lease Agreement, dated November 21, 2011 by and between the Registrant and</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Benvenisti Engineering Ltd.∞*</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w w:val="98"/>
              </w:rPr>
              <w:t>List of subsidiaries of the Registrant</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4"/>
              </w:rPr>
              <w:t>Consent of Kost Forer Gabbay &amp; Kasierer, a member of Ernst &amp; Young Global, an independent</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5940" w:type="dxa"/>
            <w:vAlign w:val="bottom"/>
            <w:gridSpan w:val="3"/>
          </w:tcPr>
          <w:p>
            <w:pPr>
              <w:ind w:left="40"/>
              <w:spacing w:after="0"/>
              <w:rPr>
                <w:sz w:val="20"/>
                <w:szCs w:val="20"/>
                <w:color w:val="auto"/>
              </w:rPr>
            </w:pPr>
            <w:r>
              <w:rPr>
                <w:rFonts w:ascii="Arial" w:cs="Arial" w:eastAsia="Arial" w:hAnsi="Arial"/>
                <w:sz w:val="18"/>
                <w:szCs w:val="18"/>
                <w:color w:val="auto"/>
              </w:rPr>
              <w:t>Consent of Meitar Liquornik Geva Leshem Tal (included in Exhibit 5.1)*</w:t>
            </w:r>
          </w:p>
        </w:tc>
        <w:tc>
          <w:tcPr>
            <w:tcW w:w="1280" w:type="dxa"/>
            <w:vAlign w:val="bottom"/>
          </w:tcPr>
          <w:p>
            <w:pPr>
              <w:spacing w:after="0"/>
              <w:rPr>
                <w:sz w:val="24"/>
                <w:szCs w:val="24"/>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5940" w:type="dxa"/>
            <w:vAlign w:val="bottom"/>
            <w:gridSpan w:val="3"/>
          </w:tcPr>
          <w:p>
            <w:pPr>
              <w:ind w:left="40"/>
              <w:spacing w:after="0"/>
              <w:rPr>
                <w:sz w:val="20"/>
                <w:szCs w:val="20"/>
                <w:color w:val="auto"/>
              </w:rPr>
            </w:pPr>
            <w:r>
              <w:rPr>
                <w:rFonts w:ascii="Arial" w:cs="Arial" w:eastAsia="Arial" w:hAnsi="Arial"/>
                <w:sz w:val="18"/>
                <w:szCs w:val="18"/>
                <w:color w:val="auto"/>
                <w:w w:val="98"/>
              </w:rPr>
              <w:t>Power of Attorney (included in signature pages of Registration Statement)*</w:t>
            </w:r>
          </w:p>
        </w:tc>
        <w:tc>
          <w:tcPr>
            <w:tcW w:w="1280" w:type="dxa"/>
            <w:vAlign w:val="bottom"/>
          </w:tcPr>
          <w:p>
            <w:pPr>
              <w:spacing w:after="0"/>
              <w:rPr>
                <w:sz w:val="24"/>
                <w:szCs w:val="24"/>
                <w:color w:val="auto"/>
              </w:rPr>
            </w:pPr>
          </w:p>
        </w:tc>
      </w:tr>
    </w:tbl>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40" w:hanging="315"/>
        <w:spacing w:after="0"/>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40" w:hanging="315"/>
        <w:spacing w:after="0"/>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English translation of the original Hebrew document.</w:t>
      </w:r>
    </w:p>
    <w:p>
      <w:pPr>
        <w:sectPr>
          <w:pgSz w:w="11900" w:h="16838" w:orient="portrait"/>
          <w:cols w:equalWidth="0" w:num="1">
            <w:col w:w="9019"/>
          </w:cols>
          <w:pgMar w:left="1440" w:top="337" w:right="1440" w:bottom="1440" w:gutter="0" w:footer="0" w:header="0"/>
        </w:sectPr>
      </w:pPr>
    </w:p>
    <w:bookmarkStart w:id="157" w:name="page158"/>
    <w:bookmarkEnd w:id="157"/>
    <w:p>
      <w:pPr>
        <w:ind w:left="7900"/>
        <w:spacing w:after="0"/>
        <w:rPr>
          <w:sz w:val="20"/>
          <w:szCs w:val="20"/>
          <w:color w:val="auto"/>
        </w:rPr>
      </w:pPr>
      <w:r>
        <w:rPr>
          <w:rFonts w:ascii="Arial" w:cs="Arial" w:eastAsia="Arial" w:hAnsi="Arial"/>
          <w:sz w:val="19"/>
          <w:szCs w:val="19"/>
          <w:b w:val="1"/>
          <w:bCs w:val="1"/>
          <w:color w:val="auto"/>
        </w:rPr>
        <w:t>Exhibit 3.1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PRELIMINARY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In these Articles, unless the context otherwise requires:</w:t>
      </w:r>
    </w:p>
    <w:p>
      <w:pPr>
        <w:spacing w:after="0" w:line="221"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 entity or person, which, directly or indirectly through one or more intermediaries, controls, is controlled by, or is under common control with, such shareholder of the Company. For the purposes of these Articles, “</w:t>
      </w:r>
      <w:r>
        <w:rPr>
          <w:rFonts w:ascii="Arial" w:cs="Arial" w:eastAsia="Arial" w:hAnsi="Arial"/>
          <w:sz w:val="18"/>
          <w:szCs w:val="18"/>
          <w:b w:val="1"/>
          <w:bCs w:val="1"/>
          <w:color w:val="auto"/>
        </w:rPr>
        <w:t>Control</w:t>
      </w:r>
      <w:r>
        <w:rPr>
          <w:rFonts w:ascii="Arial" w:cs="Arial" w:eastAsia="Arial" w:hAnsi="Arial"/>
          <w:sz w:val="18"/>
          <w:szCs w:val="18"/>
          <w:color w:val="auto"/>
        </w:rPr>
        <w:t>” shall mean with respect to any entity, the power to direct or cause the direction of the management and policies of such entity, whether through the ownership of voting securities, by contract or otherwise, including without limitation the ownership of the majority of the voting shares of any such entity or the right to appoint more than fifty percent (50%) of the members of the board of directors of such entity. The term “</w:t>
      </w:r>
      <w:r>
        <w:rPr>
          <w:rFonts w:ascii="Arial" w:cs="Arial" w:eastAsia="Arial" w:hAnsi="Arial"/>
          <w:sz w:val="18"/>
          <w:szCs w:val="18"/>
          <w:b w:val="1"/>
          <w:bCs w:val="1"/>
          <w:color w:val="auto"/>
        </w:rPr>
        <w:t>Controlled</w:t>
      </w:r>
      <w:r>
        <w:rPr>
          <w:rFonts w:ascii="Arial" w:cs="Arial" w:eastAsia="Arial" w:hAnsi="Arial"/>
          <w:sz w:val="18"/>
          <w:szCs w:val="18"/>
          <w:color w:val="auto"/>
        </w:rPr>
        <w:t>” shall have a correlative meaning.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w:t>
      </w: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 Group</w:t>
      </w:r>
      <w:r>
        <w:rPr>
          <w:rFonts w:ascii="Arial" w:cs="Arial" w:eastAsia="Arial" w:hAnsi="Arial"/>
          <w:sz w:val="18"/>
          <w:szCs w:val="18"/>
          <w:color w:val="auto"/>
        </w:rPr>
        <w:t>” means Yahel Productions K.D.M and Events Ltd., Moshe Nur, Yossi Nuriel, Gabi Weinstock and Avi Weinstock.</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closing of the Company’s first underwritten public offering of its Ordinary Shares on an internationally recognized stock market.</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Fortissimo</w:t>
      </w:r>
      <w:r>
        <w:rPr>
          <w:rFonts w:ascii="Arial" w:cs="Arial" w:eastAsia="Arial" w:hAnsi="Arial"/>
          <w:sz w:val="18"/>
          <w:szCs w:val="18"/>
          <w:color w:val="auto"/>
        </w:rPr>
        <w:t>” means Fortissimo Capital Fund II (Israel) L.P., a partnership organized under the laws of the Cayman Islands.</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 Group</w:t>
      </w:r>
      <w:r>
        <w:rPr>
          <w:rFonts w:ascii="Arial" w:cs="Arial" w:eastAsia="Arial" w:hAnsi="Arial"/>
          <w:sz w:val="18"/>
          <w:szCs w:val="18"/>
          <w:color w:val="auto"/>
        </w:rPr>
        <w:t>” means Ofer Ben Zur, I.T.S Industrial Technologic Solutions Ltd., Ganadi Rosin, Asaf Bram and Avi Sterling.</w:t>
      </w:r>
    </w:p>
    <w:p>
      <w:pPr>
        <w:spacing w:after="0" w:line="162"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Israeli Companies Law 5759-1999 as shall be in effect from time to time and any other law that shall be in effect from time to time with respect to companies and that shall apply to the Company.</w:t>
      </w:r>
    </w:p>
    <w:p>
      <w:pPr>
        <w:spacing w:after="0" w:line="162" w:lineRule="exact"/>
        <w:rPr>
          <w:sz w:val="20"/>
          <w:szCs w:val="20"/>
          <w:color w:val="auto"/>
        </w:rPr>
      </w:pPr>
    </w:p>
    <w:p>
      <w:pPr>
        <w:jc w:val="both"/>
        <w:ind w:left="120" w:right="1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xml:space="preserve">” — shall be deemed to be occasioned by, or to include, (i) the liquidation, dissolution or winding up of the Company; (ii) the acquisition of the Company by means of any transaction or series of related transactions (including, without limitation, any reorganization, merger or consolidation),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applicable transaction shall not be deemed a liquidation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Company’s shareholders constituted immediately prior to such transaction hold less than 50% of the voting power of the surviving or acquiring entity; or (iii) a sale, lease, license or other transfer of all or substantially all of the assets of the Company.</w:t>
      </w:r>
    </w:p>
    <w:p>
      <w:pPr>
        <w:spacing w:after="0" w:line="188" w:lineRule="exact"/>
        <w:rPr>
          <w:sz w:val="20"/>
          <w:szCs w:val="20"/>
          <w:color w:val="auto"/>
        </w:rPr>
      </w:pPr>
    </w:p>
    <w:p>
      <w:pPr>
        <w:jc w:val="both"/>
        <w:ind w:left="120" w:right="1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Shareholder</w:t>
      </w:r>
      <w:r>
        <w:rPr>
          <w:rFonts w:ascii="Arial" w:cs="Arial" w:eastAsia="Arial" w:hAnsi="Arial"/>
          <w:sz w:val="18"/>
          <w:szCs w:val="18"/>
          <w:color w:val="auto"/>
        </w:rPr>
        <w:t>” means each (a) holder of Series A-1 Preferred and (b) holder of at least three percent (3%) of the Company’s share capital, assuming full exercise and/or conversion of all Company securities exercisable and/or convertible into Ordinary Shares.</w:t>
      </w:r>
    </w:p>
    <w:p>
      <w:pPr>
        <w:spacing w:after="0" w:line="176" w:lineRule="exact"/>
        <w:rPr>
          <w:sz w:val="20"/>
          <w:szCs w:val="20"/>
          <w:color w:val="auto"/>
        </w:rPr>
      </w:pPr>
    </w:p>
    <w:p>
      <w:pPr>
        <w:jc w:val="both"/>
        <w:ind w:left="120" w:right="11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Securities</w:t>
      </w:r>
      <w:r>
        <w:rPr>
          <w:rFonts w:ascii="Arial" w:cs="Arial" w:eastAsia="Arial" w:hAnsi="Arial"/>
          <w:sz w:val="16"/>
          <w:szCs w:val="16"/>
          <w:color w:val="auto"/>
        </w:rPr>
        <w:t xml:space="preserve">” means any equity interest in the Company, whether now or hereafter authorized, any rights, options or warrants to purchase such equity interests, and securities of any type or nature whatsoever that are convertible or exercisable (directly or indirectly) into equity interests, issued after the Original Purchase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“New Securities” does not include (i) securities issued pursuant to the Share Purchase Agreement dated July 18, 2011 (the “</w:t>
      </w:r>
      <w:r>
        <w:rPr>
          <w:rFonts w:ascii="Arial" w:cs="Arial" w:eastAsia="Arial" w:hAnsi="Arial"/>
          <w:sz w:val="16"/>
          <w:szCs w:val="16"/>
          <w:b w:val="1"/>
          <w:bCs w:val="1"/>
          <w:color w:val="auto"/>
        </w:rPr>
        <w:t>SPA</w:t>
      </w:r>
      <w:r>
        <w:rPr>
          <w:rFonts w:ascii="Arial" w:cs="Arial" w:eastAsia="Arial" w:hAnsi="Arial"/>
          <w:sz w:val="16"/>
          <w:szCs w:val="16"/>
          <w:color w:val="auto"/>
        </w:rPr>
        <w:t>”), (ii) securities issued upon conversion of the Series A-1 Preferred; (iii) securities issued to employees, consultants, officers, and directors of the Company in exchange for services pursuant to any arrangement approved by the Board of Directors; (iv) securities issued pursuant to the conversion of any convertible securities or the exercise of any shares or options to be issued to bona fide employees, directors or consultants of the Company or of the Company’s subsidiaries pursuant to the Company’s option plan or share incentive plan which shall be approved by the Board of Directors; (v) securities issued in connection with any share split, share dividend, or recapitalization by the Company; (vi) securities issued pursuant to the acquisition of another</w:t>
      </w:r>
    </w:p>
    <w:p>
      <w:pPr>
        <w:sectPr>
          <w:pgSz w:w="11900" w:h="16838" w:orient="portrait"/>
          <w:cols w:equalWidth="0" w:num="1">
            <w:col w:w="9019"/>
          </w:cols>
          <w:pgMar w:left="1440" w:top="139"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type w:val="continuous"/>
        </w:sectPr>
      </w:pPr>
    </w:p>
    <w:bookmarkStart w:id="158" w:name="page159"/>
    <w:bookmarkEnd w:id="158"/>
    <w:p>
      <w:pPr>
        <w:jc w:val="both"/>
        <w:ind w:left="120" w:right="119"/>
        <w:spacing w:after="0" w:line="291" w:lineRule="auto"/>
        <w:rPr>
          <w:sz w:val="20"/>
          <w:szCs w:val="20"/>
          <w:color w:val="auto"/>
        </w:rPr>
      </w:pPr>
      <w:r>
        <w:rPr>
          <w:rFonts w:ascii="Arial" w:cs="Arial" w:eastAsia="Arial" w:hAnsi="Arial"/>
          <w:sz w:val="16"/>
          <w:szCs w:val="16"/>
          <w:color w:val="auto"/>
        </w:rPr>
        <w:t>business entity by the Company by merger, purchase of substantially all of the assets or shares, or other reorganization whereby the Company will own not less than a majority of the voting power of the surviving or successor corporation;</w:t>
      </w:r>
    </w:p>
    <w:p>
      <w:pPr>
        <w:jc w:val="both"/>
        <w:ind w:left="120" w:right="119" w:firstLine="5"/>
        <w:spacing w:after="0" w:line="288" w:lineRule="auto"/>
        <w:tabs>
          <w:tab w:leader="none" w:pos="47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securities issued in connection with obtaining lease financing, whether issued to a lessor, guarantor, or other person, if such issuance is approved by the Board of Directors; (viii) securities issued to vendors or customers of the Company, or to other persons in similar commercial arrangements with the Company, if such issuance is approved by the Board of Directors; (ix) securities issued in connection with corporate partnering transactions to a third party entering into a material license, supply, manufacture or purchase agreement with the Company or to a strategic investor, if such issuance is approved by the Board of Directors; and (x) any right, option, or warrant to acquire any security convertible into the securities excluded from the definition of New Securities pursuant to clauses (i) through (x) above.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Purchase Date</w:t>
      </w:r>
      <w:r>
        <w:rPr>
          <w:rFonts w:ascii="Arial" w:cs="Arial" w:eastAsia="Arial" w:hAnsi="Arial"/>
          <w:sz w:val="18"/>
          <w:szCs w:val="18"/>
          <w:color w:val="auto"/>
        </w:rPr>
        <w:t>” means the date of the closing of the SPA.</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Preferred A-1 Purchase Price</w:t>
      </w:r>
      <w:r>
        <w:rPr>
          <w:rFonts w:ascii="Arial" w:cs="Arial" w:eastAsia="Arial" w:hAnsi="Arial"/>
          <w:sz w:val="18"/>
          <w:szCs w:val="18"/>
          <w:color w:val="auto"/>
        </w:rPr>
        <w:t>” means $US 83.0243 with respect to each Preferred A-1 Share.</w:t>
      </w:r>
    </w:p>
    <w:p>
      <w:pPr>
        <w:spacing w:after="0" w:line="212" w:lineRule="exact"/>
        <w:rPr>
          <w:sz w:val="20"/>
          <w:szCs w:val="20"/>
          <w:color w:val="auto"/>
        </w:rPr>
      </w:pPr>
    </w:p>
    <w:p>
      <w:pPr>
        <w:jc w:val="both"/>
        <w:ind w:left="120" w:right="11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any transferee of a shareholder who is: (i) in the case of a shareholder who is a natural person, any parent, spouse or lineal descendant of such shareholder; or (ii) an Affiliate of such shareholder, or (iii) any beneficiary of a trust which is a shareholder, (iv) as to a shareholder which is a general or limited partnership, its partners or members, as the case may be; limited or general partnerships managed by the same management company or the same managing general partner; or limited or general partnerships managed by an Affiliate of the management company or the managing general partner of the general or limited partnership in question (e.g. managed by general partners which are under similar control as the general partner of such Major Shareholder), or (v) as to Fortissimo, also transferees that become transferees either (A) in a transfer which is part of a transfer of a significant portion of a portfolio of investments of Fortissimo, or (B) a transfer resulting from a regulatory constraint applicable to Fortissimo, (or any of its the Affiliates, if applicable), in each case unless such transfer is to a competitor of the Company as shall be resolved by the Board of Directors immediately prior to such transfer.</w:t>
      </w:r>
    </w:p>
    <w:p>
      <w:pPr>
        <w:spacing w:after="0" w:line="151" w:lineRule="exact"/>
        <w:rPr>
          <w:sz w:val="20"/>
          <w:szCs w:val="20"/>
          <w:color w:val="auto"/>
        </w:rPr>
      </w:pPr>
    </w:p>
    <w:p>
      <w:pPr>
        <w:jc w:val="both"/>
        <w:ind w:left="120" w:right="1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Rata Portion</w:t>
      </w:r>
      <w:r>
        <w:rPr>
          <w:rFonts w:ascii="Arial" w:cs="Arial" w:eastAsia="Arial" w:hAnsi="Arial"/>
          <w:sz w:val="17"/>
          <w:szCs w:val="17"/>
          <w:color w:val="auto"/>
        </w:rPr>
        <w:t>” means the ratio that (x) the sum of the number of Ordinary Shares held by a Major Shareholder immediately prior to the issuance of New Securities or sale of Ordinary Shares, as applicable, assuming full exercise and/or conversion of the Series A-1 Preferred and of all Company’s securities exercisable and/or convertible into the Ordinary Shares then held by such Major Shareholder, bears to (y) the sum of the total number of Ordinary Shares then outstanding held by all Major Shareholders, assuming full exercise and/or conversion of all Company securities exercisable and/or convertible into the Ordinary Shares then outstanding.</w:t>
      </w:r>
    </w:p>
    <w:p>
      <w:pPr>
        <w:spacing w:after="0" w:line="147" w:lineRule="exact"/>
        <w:rPr>
          <w:sz w:val="20"/>
          <w:szCs w:val="20"/>
          <w:color w:val="auto"/>
        </w:rPr>
      </w:pPr>
    </w:p>
    <w:p>
      <w:pPr>
        <w:jc w:val="both"/>
        <w:ind w:left="120" w:right="1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Investment</w:t>
      </w:r>
      <w:r>
        <w:rPr>
          <w:rFonts w:ascii="Arial" w:cs="Arial" w:eastAsia="Arial" w:hAnsi="Arial"/>
          <w:sz w:val="18"/>
          <w:szCs w:val="18"/>
          <w:color w:val="auto"/>
        </w:rPr>
        <w:t>” means consummation by the Company of a transaction or series of related transactions in which the Company issues securities of a preferred class or series, in consideration for an investment of which at least US$ 6,000,000 (Six Million United States Dollars) are provided by investors that are new investors (i.e. entities which are not then shareholders of the Company or their affiliates).</w:t>
      </w:r>
    </w:p>
    <w:p>
      <w:pPr>
        <w:spacing w:after="0" w:line="167"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IPO</w:t>
      </w:r>
      <w:r>
        <w:rPr>
          <w:rFonts w:ascii="Arial" w:cs="Arial" w:eastAsia="Arial" w:hAnsi="Arial"/>
          <w:sz w:val="18"/>
          <w:szCs w:val="18"/>
          <w:color w:val="auto"/>
        </w:rPr>
        <w:t>” means the consummation of an IPO that results in net cash proceeds to the Company of at least US$30,000,000.</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Office</w:t>
      </w:r>
      <w:r>
        <w:rPr>
          <w:rFonts w:ascii="Arial" w:cs="Arial" w:eastAsia="Arial" w:hAnsi="Arial"/>
          <w:sz w:val="18"/>
          <w:szCs w:val="18"/>
          <w:color w:val="auto"/>
        </w:rPr>
        <w:t>” means the registered office of the Company, as it shall be from time to time.</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these Articles</w:t>
      </w:r>
      <w:r>
        <w:rPr>
          <w:rFonts w:ascii="Arial" w:cs="Arial" w:eastAsia="Arial" w:hAnsi="Arial"/>
          <w:sz w:val="18"/>
          <w:szCs w:val="18"/>
          <w:color w:val="auto"/>
        </w:rPr>
        <w:t>” means the Articles of Association of the Company as shall be in force from time to time.</w:t>
      </w:r>
    </w:p>
    <w:p>
      <w:pPr>
        <w:spacing w:after="0" w:line="216" w:lineRule="exact"/>
        <w:rPr>
          <w:sz w:val="20"/>
          <w:szCs w:val="20"/>
          <w:color w:val="auto"/>
        </w:rPr>
      </w:pPr>
    </w:p>
    <w:p>
      <w:pPr>
        <w:jc w:val="both"/>
        <w:ind w:left="120" w:right="119"/>
        <w:spacing w:after="0" w:line="257" w:lineRule="auto"/>
        <w:rPr>
          <w:sz w:val="20"/>
          <w:szCs w:val="20"/>
          <w:color w:val="auto"/>
        </w:rPr>
      </w:pPr>
      <w:r>
        <w:rPr>
          <w:rFonts w:ascii="Arial" w:cs="Arial" w:eastAsia="Arial" w:hAnsi="Arial"/>
          <w:sz w:val="18"/>
          <w:szCs w:val="18"/>
          <w:color w:val="auto"/>
        </w:rPr>
        <w:t>In these Articles, subject to this Article and unless the context otherwise requires, expressions defined in the Law, or any modification thereof in force at the date at which these Articles become binding on the Company, shall have the meanings so defined; and words importing the singular shall include the plural, and vice versa, and words importing the masculine gender shall include the female, and words importing persons shall include bodies corporate. The titles of the Articles are not part of the Articles.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PRIVATE COMPANY</w:t>
      </w:r>
    </w:p>
    <w:p>
      <w:pPr>
        <w:spacing w:after="0" w:line="206" w:lineRule="exact"/>
        <w:rPr>
          <w:sz w:val="20"/>
          <w:szCs w:val="20"/>
          <w:color w:val="auto"/>
        </w:rPr>
      </w:pPr>
    </w:p>
    <w:p>
      <w:pPr>
        <w:ind w:left="400" w:hanging="275"/>
        <w:spacing w:after="0"/>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is a Private Company as defined under the Law, and is subject to the following provisions:</w:t>
      </w:r>
    </w:p>
    <w:p>
      <w:pPr>
        <w:spacing w:after="0" w:line="211" w:lineRule="exact"/>
        <w:rPr>
          <w:rFonts w:ascii="Arial" w:cs="Arial" w:eastAsia="Arial" w:hAnsi="Arial"/>
          <w:sz w:val="18"/>
          <w:szCs w:val="18"/>
          <w:color w:val="auto"/>
        </w:rPr>
      </w:pPr>
    </w:p>
    <w:p>
      <w:pPr>
        <w:ind w:left="760" w:hanging="329"/>
        <w:spacing w:after="0"/>
        <w:tabs>
          <w:tab w:leader="none" w:pos="7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right to transfer the shares of the Company shall be restricted in as set forth herein;</w:t>
      </w:r>
    </w:p>
    <w:p>
      <w:pPr>
        <w:spacing w:after="0" w:line="211" w:lineRule="exact"/>
        <w:rPr>
          <w:rFonts w:ascii="Arial" w:cs="Arial" w:eastAsia="Arial" w:hAnsi="Arial"/>
          <w:sz w:val="18"/>
          <w:szCs w:val="18"/>
          <w:color w:val="auto"/>
        </w:rPr>
      </w:pPr>
    </w:p>
    <w:p>
      <w:pPr>
        <w:jc w:val="both"/>
        <w:ind w:left="800" w:right="119" w:hanging="369"/>
        <w:spacing w:after="0" w:line="259" w:lineRule="auto"/>
        <w:tabs>
          <w:tab w:leader="none" w:pos="84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number of the shareholders of the Company (not including persons who are in the employment of the Company, and persons who, having been formerly in the employment of the Company were while in that employment and have continued after the termination of that employment to be members of the Company) shall be limited to fifty, provided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ind w:left="800" w:right="119"/>
        <w:spacing w:after="0" w:line="277" w:lineRule="auto"/>
        <w:rPr>
          <w:sz w:val="20"/>
          <w:szCs w:val="20"/>
          <w:color w:val="auto"/>
        </w:rPr>
      </w:pPr>
      <w:r>
        <w:rPr>
          <w:rFonts w:ascii="Arial" w:cs="Arial" w:eastAsia="Arial" w:hAnsi="Arial"/>
          <w:sz w:val="18"/>
          <w:szCs w:val="18"/>
          <w:color w:val="auto"/>
        </w:rPr>
        <w:t>that, for the purposes of this provision, where two or more persons hold one or more shares in the Company jointly they shall be treated as a single member;</w:t>
      </w:r>
    </w:p>
    <w:p>
      <w:pPr>
        <w:spacing w:after="0" w:line="130" w:lineRule="exact"/>
        <w:rPr>
          <w:sz w:val="20"/>
          <w:szCs w:val="20"/>
          <w:color w:val="auto"/>
        </w:rPr>
      </w:pPr>
    </w:p>
    <w:p>
      <w:pPr>
        <w:ind w:left="800" w:right="759" w:hanging="369"/>
        <w:spacing w:after="0" w:line="277" w:lineRule="auto"/>
        <w:tabs>
          <w:tab w:leader="none" w:pos="75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offering shall be made to the public to subscribe for any shares, debentures, or other securities of the Company.</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LIMITED LIABILITY</w:t>
      </w:r>
    </w:p>
    <w:p>
      <w:pPr>
        <w:spacing w:after="0" w:line="189" w:lineRule="exact"/>
        <w:rPr>
          <w:sz w:val="20"/>
          <w:szCs w:val="20"/>
          <w:color w:val="auto"/>
        </w:rPr>
      </w:pPr>
    </w:p>
    <w:p>
      <w:pPr>
        <w:ind w:left="440" w:right="119" w:hanging="315"/>
        <w:spacing w:after="0" w:line="277" w:lineRule="auto"/>
        <w:tabs>
          <w:tab w:leader="none" w:pos="4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shareholders liability for the Company’s obligations is limited to the payment of the nominal value of the Company’s shares, other than for bonus shares issued pursuant to Section 304 of the Law.</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PURPOSE OF THE COMPANY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The Company shall engage in any legal occupation and/or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OFFICE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The registered office of the Company shall be at such place, as the directors shall from time to time appoint.</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THE CAPITAL</w:t>
      </w:r>
    </w:p>
    <w:p>
      <w:pPr>
        <w:spacing w:after="0" w:line="189" w:lineRule="exact"/>
        <w:rPr>
          <w:sz w:val="20"/>
          <w:szCs w:val="20"/>
          <w:color w:val="auto"/>
        </w:rPr>
      </w:pPr>
    </w:p>
    <w:p>
      <w:pPr>
        <w:jc w:val="both"/>
        <w:ind w:left="440" w:right="119" w:hanging="315"/>
        <w:spacing w:after="0" w:line="286" w:lineRule="auto"/>
        <w:tabs>
          <w:tab w:leader="none" w:pos="44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capital of the Company is comprised of NIS 59,475 divided into 402,028 Ordinary Shares, nominal value NIS 0.10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and 192,722 Preferred Shares, nominal value NIS 0.10 per share, all of which shall be Series A-1 Preferred Shares (the “</w:t>
      </w:r>
      <w:r>
        <w:rPr>
          <w:rFonts w:ascii="Arial" w:cs="Arial" w:eastAsia="Arial" w:hAnsi="Arial"/>
          <w:sz w:val="17"/>
          <w:szCs w:val="17"/>
          <w:b w:val="1"/>
          <w:bCs w:val="1"/>
          <w:color w:val="auto"/>
        </w:rPr>
        <w:t>Series A-1 Preferred</w:t>
      </w:r>
      <w:r>
        <w:rPr>
          <w:rFonts w:ascii="Arial" w:cs="Arial" w:eastAsia="Arial" w:hAnsi="Arial"/>
          <w:sz w:val="17"/>
          <w:szCs w:val="17"/>
          <w:color w:val="auto"/>
        </w:rPr>
        <w:t>” or “</w:t>
      </w:r>
      <w:r>
        <w:rPr>
          <w:rFonts w:ascii="Arial" w:cs="Arial" w:eastAsia="Arial" w:hAnsi="Arial"/>
          <w:sz w:val="17"/>
          <w:szCs w:val="17"/>
          <w:b w:val="1"/>
          <w:bCs w:val="1"/>
          <w:color w:val="auto"/>
        </w:rPr>
        <w:t>Preferred Shares</w:t>
      </w:r>
      <w:r>
        <w:rPr>
          <w:rFonts w:ascii="Arial" w:cs="Arial" w:eastAsia="Arial" w:hAnsi="Arial"/>
          <w:sz w:val="17"/>
          <w:szCs w:val="17"/>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THE PREFERRED SHARES</w:t>
      </w:r>
    </w:p>
    <w:p>
      <w:pPr>
        <w:spacing w:after="0" w:line="202" w:lineRule="exact"/>
        <w:rPr>
          <w:sz w:val="20"/>
          <w:szCs w:val="20"/>
          <w:color w:val="auto"/>
        </w:rPr>
      </w:pPr>
    </w:p>
    <w:p>
      <w:pPr>
        <w:ind w:left="400" w:hanging="275"/>
        <w:spacing w:after="0"/>
        <w:tabs>
          <w:tab w:leader="none" w:pos="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and provisions of the Series A-1 Preferred are as follows:</w:t>
      </w:r>
    </w:p>
    <w:p>
      <w:pPr>
        <w:spacing w:after="0" w:line="184" w:lineRule="exact"/>
        <w:rPr>
          <w:rFonts w:ascii="Arial" w:cs="Arial" w:eastAsia="Arial" w:hAnsi="Arial"/>
          <w:sz w:val="18"/>
          <w:szCs w:val="18"/>
          <w:color w:val="auto"/>
        </w:rPr>
      </w:pPr>
    </w:p>
    <w:p>
      <w:pPr>
        <w:ind w:left="760" w:hanging="329"/>
        <w:spacing w:after="0"/>
        <w:tabs>
          <w:tab w:leader="none" w:pos="76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85"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u w:val="single" w:color="auto"/>
          <w:color w:val="auto"/>
        </w:rPr>
        <w:t>Treatment of Preferred</w:t>
      </w:r>
      <w:r>
        <w:rPr>
          <w:rFonts w:ascii="Arial" w:cs="Arial" w:eastAsia="Arial" w:hAnsi="Arial"/>
          <w:sz w:val="18"/>
          <w:szCs w:val="18"/>
          <w:color w:val="auto"/>
        </w:rPr>
        <w:t xml:space="preserve">. The Series A-1 Preferred shall be entitled to receive, as if it had been converted into Ordinary Shares at the then applicable conversion rate, any dividend declared by the Board of Directors with respect to the Ordinary Shares;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 dividend made in connection with a Liquidation Event shall be made pursuant to Article 7(b). The Board of Directors is under no obligation to declare dividends, no rights shall accrue to the holders of Series A-1 Preferred if dividends are not declared, and any dividends declared shall be noncumulative. The Company shall make no Distribution (as defined below) to the holders of Ordinary Shares except in accordance with this Article 7(a).</w:t>
      </w:r>
    </w:p>
    <w:p>
      <w:pPr>
        <w:spacing w:after="0" w:line="158" w:lineRule="exact"/>
        <w:rPr>
          <w:sz w:val="20"/>
          <w:szCs w:val="20"/>
          <w:color w:val="auto"/>
        </w:rPr>
      </w:pPr>
    </w:p>
    <w:p>
      <w:pPr>
        <w:jc w:val="both"/>
        <w:ind w:left="120" w:right="11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the transfer of cash or property without consideration, whether by way of dividend or otherwise, or the purchase of securities of the Company (other than in connection with the repurchase of Ordinary Shares issued to or held by employees, consultants, officers and directors at a price not greater than the amount paid by such persons for such Ordinary Shares upon termination of their employment or services pursuant to agreements providing for the right of said repurchase) for cash or property.</w:t>
      </w:r>
    </w:p>
    <w:p>
      <w:pPr>
        <w:spacing w:after="0" w:line="147" w:lineRule="exact"/>
        <w:rPr>
          <w:sz w:val="20"/>
          <w:szCs w:val="20"/>
          <w:color w:val="auto"/>
        </w:rPr>
      </w:pPr>
    </w:p>
    <w:p>
      <w:pPr>
        <w:ind w:left="780" w:hanging="349"/>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160" w:right="119" w:hanging="369"/>
        <w:spacing w:after="0" w:line="270" w:lineRule="auto"/>
        <w:tabs>
          <w:tab w:leader="none" w:pos="1132"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In the event of any Liquidation Event, either voluntary or involuntary, the holders of Series A-1 Preferred shall be entitled to receive, out of the assets of the Company, prior to and in preference to the holders of the Company’s Ordinary Shares, the Liquidation Preference. “</w:t>
      </w:r>
      <w:r>
        <w:rPr>
          <w:rFonts w:ascii="Arial" w:cs="Arial" w:eastAsia="Arial" w:hAnsi="Arial"/>
          <w:sz w:val="17"/>
          <w:szCs w:val="17"/>
          <w:b w:val="1"/>
          <w:bCs w:val="1"/>
          <w:u w:val="single" w:color="auto"/>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Preference</w:t>
      </w:r>
      <w:r>
        <w:rPr>
          <w:rFonts w:ascii="Arial" w:cs="Arial" w:eastAsia="Arial" w:hAnsi="Arial"/>
          <w:sz w:val="17"/>
          <w:szCs w:val="17"/>
          <w:color w:val="auto"/>
        </w:rPr>
        <w:t>” shall mean, with respect to each share of Series A-1 Preferred, the Original Preferred A-1</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Price (as adjusted for share splits, combinations, reorganizations and the like) plus declared and unpaid dividends on such shares. If upon the Liquidation Event, the assets to be distributed among the holders of the Series A-1 Preferred are insufficient to permit the payment to such holders of the full Liquidation Preference for their shares, then the entire assets of the Company legally available for distribution shall be distributed pro rata among the holders of the Series A-1 Preferred, prior to and in preference to the holders of any other shares of the Company.</w:t>
      </w:r>
    </w:p>
    <w:p>
      <w:pPr>
        <w:spacing w:after="0" w:line="150" w:lineRule="exact"/>
        <w:rPr>
          <w:rFonts w:ascii="Arial" w:cs="Arial" w:eastAsia="Arial" w:hAnsi="Arial"/>
          <w:sz w:val="17"/>
          <w:szCs w:val="17"/>
          <w:color w:val="auto"/>
        </w:rPr>
      </w:pPr>
    </w:p>
    <w:p>
      <w:pPr>
        <w:jc w:val="both"/>
        <w:ind w:left="1160" w:right="119" w:hanging="369"/>
        <w:spacing w:after="0" w:line="297" w:lineRule="auto"/>
        <w:tabs>
          <w:tab w:leader="none" w:pos="129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Remaining Assets</w:t>
      </w:r>
      <w:r>
        <w:rPr>
          <w:rFonts w:ascii="Arial" w:cs="Arial" w:eastAsia="Arial" w:hAnsi="Arial"/>
          <w:sz w:val="16"/>
          <w:szCs w:val="16"/>
          <w:color w:val="auto"/>
        </w:rPr>
        <w:t>. After the payment to the holders of Series A-1 Preferred of the full Liquidation Preference, the holders of Ordinary Shares shall be entitled to receive, out of the assets of the Company, prior to and in preference to holders of any other shares of the Company, any remaining assets of the Company which shall be distributed pro-rata among the holders of the Company’s Ordinary Shares, and the holders of the Series A-1 Preferred shall not be entitled to any additional remaining assets.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0" w:name="page161"/>
    <w:bookmarkEnd w:id="160"/>
    <w:p>
      <w:pPr>
        <w:jc w:val="both"/>
        <w:ind w:left="1160" w:right="119" w:hanging="369"/>
        <w:spacing w:after="0" w:line="253" w:lineRule="auto"/>
        <w:tabs>
          <w:tab w:leader="none" w:pos="122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Distribution of Assets upon Exit Event</w:t>
      </w:r>
      <w:r>
        <w:rPr>
          <w:rFonts w:ascii="Arial" w:cs="Arial" w:eastAsia="Arial" w:hAnsi="Arial"/>
          <w:sz w:val="18"/>
          <w:szCs w:val="18"/>
          <w:color w:val="auto"/>
        </w:rPr>
        <w:t>. Notwithstanding the aforesaid in sub-Articles 7(b)(i) and 7(b) (ii), in the event of a Liquidation Event in which there are sufficient funds to provide the holders of Series A-1 Preferred, upon a pro rata distribution to all shareholders of the Company without taking into account the Liquidation Preference of the Series A-1 Preferred, an amount in excess of the Liquidation Preference (an “</w:t>
      </w:r>
      <w:r>
        <w:rPr>
          <w:rFonts w:ascii="Arial" w:cs="Arial" w:eastAsia="Arial" w:hAnsi="Arial"/>
          <w:sz w:val="18"/>
          <w:szCs w:val="18"/>
          <w:b w:val="1"/>
          <w:bCs w:val="1"/>
          <w:color w:val="auto"/>
        </w:rPr>
        <w:t>Exit Event</w:t>
      </w:r>
      <w:r>
        <w:rPr>
          <w:rFonts w:ascii="Arial" w:cs="Arial" w:eastAsia="Arial" w:hAnsi="Arial"/>
          <w:sz w:val="18"/>
          <w:szCs w:val="18"/>
          <w:color w:val="auto"/>
        </w:rPr>
        <w:t>”), the entire assets of the Company legally available for distribution upon such Exit Event shall be distributed with equal priority and pro rata among the holders of the Company’s Ordinary Shares and the Series A-1 Preferred, treating in such circumstances the Series A-1 Preferred as if it had been converted into Ordinary Shares at the then applicable conversion rate and Articles 7(b)(i) and 7(b) (ii) shall not apply.</w:t>
      </w:r>
    </w:p>
    <w:p>
      <w:pPr>
        <w:spacing w:after="0" w:line="197" w:lineRule="exact"/>
        <w:rPr>
          <w:rFonts w:ascii="Arial" w:cs="Arial" w:eastAsia="Arial" w:hAnsi="Arial"/>
          <w:sz w:val="18"/>
          <w:szCs w:val="18"/>
          <w:color w:val="auto"/>
        </w:rPr>
      </w:pPr>
    </w:p>
    <w:p>
      <w:pPr>
        <w:ind w:left="760" w:hanging="329"/>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A-1 Preferred shall have conversion rights as follows:</w:t>
      </w:r>
    </w:p>
    <w:p>
      <w:pPr>
        <w:spacing w:after="0" w:line="225" w:lineRule="exact"/>
        <w:rPr>
          <w:rFonts w:ascii="Arial" w:cs="Arial" w:eastAsia="Arial" w:hAnsi="Arial"/>
          <w:sz w:val="18"/>
          <w:szCs w:val="18"/>
          <w:color w:val="auto"/>
        </w:rPr>
      </w:pPr>
    </w:p>
    <w:p>
      <w:pPr>
        <w:jc w:val="both"/>
        <w:ind w:left="1160" w:right="119" w:hanging="369"/>
        <w:spacing w:after="0" w:line="255" w:lineRule="auto"/>
        <w:tabs>
          <w:tab w:leader="none" w:pos="1213"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Series A-1 Preferred shall be convertible, at the option of the holder thereof, at any time after the date of issuance of such share at the office of the Company or any transfer agent for the Series A-1 Preferred. Each share of Series A-1 Preferred shall be convertible into that number of fully-paid and nonassessable Ordinary Shares that is equal to the Original Preferred A-1 Purchase Price divided by the Series A-1 Conversion Price (as hereinafter defined). The “</w:t>
      </w:r>
      <w:r>
        <w:rPr>
          <w:rFonts w:ascii="Arial" w:cs="Arial" w:eastAsia="Arial" w:hAnsi="Arial"/>
          <w:sz w:val="18"/>
          <w:szCs w:val="18"/>
          <w:b w:val="1"/>
          <w:bCs w:val="1"/>
          <w:color w:val="auto"/>
        </w:rPr>
        <w:t>Series A-1</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Price</w:t>
      </w:r>
      <w:r>
        <w:rPr>
          <w:rFonts w:ascii="Arial" w:cs="Arial" w:eastAsia="Arial" w:hAnsi="Arial"/>
          <w:sz w:val="18"/>
          <w:szCs w:val="18"/>
          <w:color w:val="auto"/>
        </w:rPr>
        <w:t>” shall initially be the Original Preferred A-1 Purchase Price, and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as provided herein.</w:t>
      </w:r>
    </w:p>
    <w:p>
      <w:pPr>
        <w:spacing w:after="0" w:line="189" w:lineRule="exact"/>
        <w:rPr>
          <w:sz w:val="20"/>
          <w:szCs w:val="20"/>
          <w:color w:val="auto"/>
        </w:rPr>
      </w:pPr>
    </w:p>
    <w:p>
      <w:pPr>
        <w:jc w:val="both"/>
        <w:ind w:left="1160" w:right="119" w:hanging="369"/>
        <w:spacing w:after="0" w:line="259" w:lineRule="auto"/>
        <w:tabs>
          <w:tab w:leader="none" w:pos="117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Each share of Series A-1 Preferred shall automatically be converted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6" w:lineRule="exact"/>
        <w:rPr>
          <w:rFonts w:ascii="Arial" w:cs="Arial" w:eastAsia="Arial" w:hAnsi="Arial"/>
          <w:sz w:val="18"/>
          <w:szCs w:val="18"/>
          <w:color w:val="auto"/>
        </w:rPr>
      </w:pPr>
    </w:p>
    <w:p>
      <w:pPr>
        <w:jc w:val="both"/>
        <w:ind w:left="1160" w:right="119" w:hanging="369"/>
        <w:spacing w:after="0" w:line="286" w:lineRule="auto"/>
        <w:tabs>
          <w:tab w:leader="none" w:pos="120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xml:space="preserve">. No fractional Ordinary Shares shall be issued upon conversion of Series A-1 Preferred. In lieu of any fractional shares to which the holder would otherwise be entitled, the Company shall pay the fair market value cash equivalent of such fractional share as determined by the Board of Directors. For such purpose, all shares of Series A-1 Preferred held by each holder shall be aggregated, and any resulting fractional share of Ordinary Shares shall be paid in cash. Before any holder of Series A-1 Preferred shall be entitled to convert the same into full Ordinary Shares, and to receive certificates therefor, it shall surrender the Series A-1 Preferred certificate or certificates, duly endorsed, at the office of the Company or of any transfer agent for the Series A-1 Preferred, and shall give written notice to the Company at such office that such holder elects to convert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 automatic conversion pursuant to Article 7(c)(ii) above, the outstanding shares of Series A-1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issue certificates evidencing the Ordinary Shares issuable upon such automatic conversion unless either the certificates evidencing such shares of Series A-1 Preferred are delivered to the Company or its transfer agent as provided above.</w:t>
      </w:r>
    </w:p>
    <w:p>
      <w:pPr>
        <w:spacing w:after="0" w:line="169" w:lineRule="exact"/>
        <w:rPr>
          <w:sz w:val="20"/>
          <w:szCs w:val="20"/>
          <w:color w:val="auto"/>
        </w:rPr>
      </w:pPr>
    </w:p>
    <w:p>
      <w:pPr>
        <w:jc w:val="both"/>
        <w:ind w:left="1160" w:right="119" w:hanging="17"/>
        <w:spacing w:after="0" w:line="268" w:lineRule="auto"/>
        <w:rPr>
          <w:sz w:val="20"/>
          <w:szCs w:val="20"/>
          <w:color w:val="auto"/>
        </w:rPr>
      </w:pPr>
      <w:r>
        <w:rPr>
          <w:rFonts w:ascii="Arial" w:cs="Arial" w:eastAsia="Arial" w:hAnsi="Arial"/>
          <w:sz w:val="17"/>
          <w:szCs w:val="17"/>
          <w:color w:val="auto"/>
        </w:rPr>
        <w:t xml:space="preserve">The Company shall, as soon as practicable after delivery of the Series A-1 Preferred certificates, issue and deliver at such office to such holder of Series A-1 Preferred, a certificate or certificates for the number of Ordinary Shares to which it shall be entitled and a check payable to the holder in the amount of any cash amounts payable as the result of a conversion into fractional Ordinary Shares, plus any declared or accumulated but unpaid dividends on the converted Series A-1 Preferred. Such conversion shall be deemed to have been made immediately prior to the close of business on the date of such surrender of the shares of Series A-1 Preferred to be converted, and the person or persons entitled to receive the Ordinary Shares issuable upon such conversion shall be treated for all purposes as the record holder or holders of such Ordinary Shares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conversion is in connection with a Qualified IPO, the conversion may, at the option of any holder tendering Series A-1 Preferred for conversion, be conditioned upon the closing of the sale of securities pursuant to such offering, in which event the person(s) entitled to receive the Ordinary Shares issuable upon such conversion of the Series A-1 Preferred shall not be deemed to have converted such Series A Preferred until immediately prior to the closing of the sale of such securities.</w:t>
      </w:r>
    </w:p>
    <w:p>
      <w:pPr>
        <w:spacing w:after="0" w:line="185" w:lineRule="exact"/>
        <w:rPr>
          <w:sz w:val="20"/>
          <w:szCs w:val="20"/>
          <w:color w:val="auto"/>
        </w:rPr>
      </w:pPr>
    </w:p>
    <w:p>
      <w:pPr>
        <w:ind w:left="1180" w:hanging="389"/>
        <w:spacing w:after="0"/>
        <w:tabs>
          <w:tab w:leader="none" w:pos="1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20" w:right="119" w:hanging="369"/>
        <w:spacing w:after="0" w:line="264" w:lineRule="auto"/>
        <w:tabs>
          <w:tab w:leader="none" w:pos="1527"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Adjustments for Subdivisions or Combinations of Ordinary Shares</w:t>
      </w:r>
      <w:r>
        <w:rPr>
          <w:rFonts w:ascii="Arial" w:cs="Arial" w:eastAsia="Arial" w:hAnsi="Arial"/>
          <w:sz w:val="18"/>
          <w:szCs w:val="18"/>
          <w:color w:val="auto"/>
        </w:rPr>
        <w:t>. At any time after the Original Purchase Date, if the outstanding Ordinary Shares shall be subdivided (by share split, share dividend or</w:t>
      </w:r>
    </w:p>
    <w:p>
      <w:pPr>
        <w:sectPr>
          <w:pgSz w:w="11900" w:h="16838" w:orient="portrait"/>
          <w:cols w:equalWidth="0" w:num="1">
            <w:col w:w="9019"/>
          </w:cols>
          <w:pgMar w:left="1440" w:top="12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1" w:name="page162"/>
    <w:bookmarkEnd w:id="161"/>
    <w:p>
      <w:pPr>
        <w:jc w:val="both"/>
        <w:ind w:left="1520" w:right="119"/>
        <w:spacing w:after="0" w:line="273" w:lineRule="auto"/>
        <w:rPr>
          <w:sz w:val="20"/>
          <w:szCs w:val="20"/>
          <w:color w:val="auto"/>
        </w:rPr>
      </w:pPr>
      <w:r>
        <w:rPr>
          <w:rFonts w:ascii="Arial" w:cs="Arial" w:eastAsia="Arial" w:hAnsi="Arial"/>
          <w:sz w:val="17"/>
          <w:szCs w:val="17"/>
          <w:color w:val="auto"/>
        </w:rPr>
        <w:t>otherwise), into a greater number of Ordinary Shares, the Series A-1 Conversion Price in effect immediately prior to such subdivision shall, concurrently with the effectiveness of such subdivision, be proportionately decreased. After the Original Purchase Date, if the outstanding Ordinary Shares shall be combined (by reclassification or otherwise) into a lesser number of Ordinary Shares, the Series A-1 Conversion Price in effect immediately prior to such combination shall, concurrently with the effectiveness of such combination, be proportionately increased.</w:t>
      </w:r>
    </w:p>
    <w:p>
      <w:pPr>
        <w:spacing w:after="0" w:line="138" w:lineRule="exact"/>
        <w:rPr>
          <w:sz w:val="20"/>
          <w:szCs w:val="20"/>
          <w:color w:val="auto"/>
        </w:rPr>
      </w:pPr>
    </w:p>
    <w:p>
      <w:pPr>
        <w:jc w:val="both"/>
        <w:ind w:left="1520" w:right="119" w:hanging="369"/>
        <w:spacing w:after="0" w:line="288" w:lineRule="auto"/>
        <w:tabs>
          <w:tab w:leader="none" w:pos="1541" w:val="left"/>
        </w:tabs>
        <w:numPr>
          <w:ilvl w:val="2"/>
          <w:numId w:val="119"/>
        </w:numPr>
        <w:rPr>
          <w:rFonts w:ascii="Arial" w:cs="Arial" w:eastAsia="Arial" w:hAnsi="Arial"/>
          <w:sz w:val="16"/>
          <w:szCs w:val="16"/>
          <w:color w:val="auto"/>
        </w:rPr>
      </w:pPr>
      <w:r>
        <w:rPr>
          <w:rFonts w:ascii="Arial" w:cs="Arial" w:eastAsia="Arial" w:hAnsi="Arial"/>
          <w:sz w:val="16"/>
          <w:szCs w:val="16"/>
          <w:u w:val="single" w:color="auto"/>
          <w:color w:val="auto"/>
        </w:rPr>
        <w:t>Adjustments for Reclassification, Exchange and Substitution</w:t>
      </w:r>
      <w:r>
        <w:rPr>
          <w:rFonts w:ascii="Arial" w:cs="Arial" w:eastAsia="Arial" w:hAnsi="Arial"/>
          <w:sz w:val="16"/>
          <w:szCs w:val="16"/>
          <w:color w:val="auto"/>
        </w:rPr>
        <w:t>. After the Original Purchase Date, if the Ordinary Shares issuable upon conversion of the Series A-1 Preferred shall be changed into the same or a different number of shares of any other class or classes of share capital, whether by capital reorganization, reclassification or otherwise (other than a subdivision or combination of shares provided for above), the Series A-1 Conversion Price then in effect shall, concurrently with the effectiveness of such reorganization or reclassification, be proportionately adjusted such that the Series A-1 Preferred shall be convertible into, in lieu of the number of Ordinary Shares which the holders would otherwise have been entitled to receive, a number of shares of such other class or classes of share capital equivalent to the number of Ordinary Shares that would have been subject to receipt by the holders upon conversion of the Series A-1 Preferred immediately before that change.</w:t>
      </w:r>
    </w:p>
    <w:p>
      <w:pPr>
        <w:spacing w:after="0" w:line="142" w:lineRule="exact"/>
        <w:rPr>
          <w:rFonts w:ascii="Arial" w:cs="Arial" w:eastAsia="Arial" w:hAnsi="Arial"/>
          <w:sz w:val="16"/>
          <w:szCs w:val="16"/>
          <w:color w:val="auto"/>
        </w:rPr>
      </w:pPr>
    </w:p>
    <w:p>
      <w:pPr>
        <w:jc w:val="both"/>
        <w:ind w:left="1160" w:right="119" w:hanging="369"/>
        <w:spacing w:after="0" w:line="273" w:lineRule="auto"/>
        <w:tabs>
          <w:tab w:leader="none" w:pos="1154"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No Impairment</w:t>
      </w:r>
      <w:r>
        <w:rPr>
          <w:rFonts w:ascii="Arial" w:cs="Arial" w:eastAsia="Arial" w:hAnsi="Arial"/>
          <w:sz w:val="17"/>
          <w:szCs w:val="17"/>
          <w:color w:val="auto"/>
        </w:rPr>
        <w:t>. The Company will not, by amendment of these Articles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carrying out of all the provisions of this Article 7 and in the taking of all such action as may be necessary or appropriate in order to protect the conversion rights of the holders of the Series A-1 Preferred against impairment.</w:t>
      </w:r>
    </w:p>
    <w:p>
      <w:pPr>
        <w:spacing w:after="0" w:line="137" w:lineRule="exact"/>
        <w:rPr>
          <w:rFonts w:ascii="Arial" w:cs="Arial" w:eastAsia="Arial" w:hAnsi="Arial"/>
          <w:sz w:val="17"/>
          <w:szCs w:val="17"/>
          <w:color w:val="auto"/>
        </w:rPr>
      </w:pPr>
    </w:p>
    <w:p>
      <w:pPr>
        <w:jc w:val="both"/>
        <w:ind w:left="1160" w:right="119" w:hanging="369"/>
        <w:spacing w:after="0" w:line="253" w:lineRule="auto"/>
        <w:tabs>
          <w:tab w:leader="none" w:pos="119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Certificate of Adjustments</w:t>
      </w:r>
      <w:r>
        <w:rPr>
          <w:rFonts w:ascii="Arial" w:cs="Arial" w:eastAsia="Arial" w:hAnsi="Arial"/>
          <w:sz w:val="18"/>
          <w:szCs w:val="18"/>
          <w:color w:val="auto"/>
        </w:rPr>
        <w:t>. Upon the occurrence of each adjustment of the Series A-1 Conversion Price pursuant to this Article 7, the Company at its expense shall promptly compute such adjustment and furnish to each holder of Series A-1 Preferred a certificate setting forth such adjustment and showing in detail the facts upon which such adjustment is based. The Company shall, upon the written request at any time of any holder of Series A-1 Preferred, furnish to such holder a like certificate setting forth (i) any and all adjustments made to the Series A-1 Preferred since the date of the first issuance of Series A-1 Preferred, (ii) the Series A-1 Conversion Price at the time in effect, and (iii) the number of Ordinary Shares and the amount, if any, of other property which at the time would be received upon the conversion of Series A-1 Preferred.</w:t>
      </w:r>
    </w:p>
    <w:p>
      <w:pPr>
        <w:spacing w:after="0" w:line="156" w:lineRule="exact"/>
        <w:rPr>
          <w:rFonts w:ascii="Arial" w:cs="Arial" w:eastAsia="Arial" w:hAnsi="Arial"/>
          <w:sz w:val="18"/>
          <w:szCs w:val="18"/>
          <w:color w:val="auto"/>
        </w:rPr>
      </w:pPr>
    </w:p>
    <w:p>
      <w:pPr>
        <w:jc w:val="both"/>
        <w:ind w:left="1160" w:right="119" w:hanging="369"/>
        <w:spacing w:after="0" w:line="271" w:lineRule="auto"/>
        <w:tabs>
          <w:tab w:leader="none" w:pos="1222"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that the Company shall propose at any time (A) to declare any dividend or Distribution; (B) to offer for subscription to the holders of any class or series of its shares any additional share capital or other rights; (C) to effect any reclassification or recapitalization; or (D) to effect a Liquidation Event; then, in connection with each such event, the Company shall send to the holders of the Series A-1 Preferred at least twenty (20) days’ prior written notice of the date on which a record shall be taken for such dividend, Distribution or subscription rights (and specifying the date on which the holders of shares shall be entitled thereto) or for determining rights to vote in respect of the matters referred to in clauses (C) and (D) above.</w:t>
      </w:r>
    </w:p>
    <w:p>
      <w:pPr>
        <w:spacing w:after="0" w:line="151" w:lineRule="exact"/>
        <w:rPr>
          <w:rFonts w:ascii="Arial" w:cs="Arial" w:eastAsia="Arial" w:hAnsi="Arial"/>
          <w:sz w:val="17"/>
          <w:szCs w:val="17"/>
          <w:color w:val="auto"/>
        </w:rPr>
      </w:pPr>
    </w:p>
    <w:p>
      <w:pPr>
        <w:jc w:val="both"/>
        <w:ind w:left="1160" w:right="119" w:hanging="369"/>
        <w:spacing w:after="0" w:line="290" w:lineRule="auto"/>
        <w:tabs>
          <w:tab w:leader="none" w:pos="1174"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Company shall at all times reserve and keep available out of its authorized but unissued Ordinary Shares, solely for the purpose of effecting the conversion of the shares of the Series A-1 Preferred, such number of its Ordinary Shares as shall from time to time be sufficient to effect the conversion of all then outstanding shares of the Series A-1 Preferred; and if at any time the number of authorized but unissued Ordinary Shares shall not be sufficient to effect the conversion of all then outstanding shares of the Series A-1 Preferred, the Company will take such corporate action as may, in the opinion of its counsel, be necessary to increase its authorized but unissued Ordinary Shares to such number as shall be sufficient for such purpose.</w:t>
      </w:r>
    </w:p>
    <w:p>
      <w:pPr>
        <w:spacing w:after="0" w:line="125" w:lineRule="exact"/>
        <w:rPr>
          <w:rFonts w:ascii="Arial" w:cs="Arial" w:eastAsia="Arial" w:hAnsi="Arial"/>
          <w:sz w:val="16"/>
          <w:szCs w:val="16"/>
          <w:color w:val="auto"/>
        </w:rPr>
      </w:pPr>
    </w:p>
    <w:p>
      <w:pPr>
        <w:ind w:left="780" w:hanging="349"/>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60" w:right="119" w:hanging="369"/>
        <w:spacing w:after="0" w:line="264" w:lineRule="auto"/>
        <w:tabs>
          <w:tab w:leader="none" w:pos="116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Except as otherwise expressly provided in these Articles or as required by Law, the holders of Series A-1 Preferred and the holders of Ordinary Shares shall vote together, as a single class, and not as separate classes.</w:t>
      </w:r>
    </w:p>
    <w:p>
      <w:pPr>
        <w:spacing w:after="0" w:line="140" w:lineRule="exact"/>
        <w:rPr>
          <w:rFonts w:ascii="Arial" w:cs="Arial" w:eastAsia="Arial" w:hAnsi="Arial"/>
          <w:sz w:val="18"/>
          <w:szCs w:val="18"/>
          <w:color w:val="auto"/>
        </w:rPr>
      </w:pPr>
    </w:p>
    <w:p>
      <w:pPr>
        <w:jc w:val="both"/>
        <w:ind w:left="1160" w:right="119" w:hanging="369"/>
        <w:spacing w:after="0" w:line="264" w:lineRule="auto"/>
        <w:tabs>
          <w:tab w:leader="none" w:pos="12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holder of shares of Series A-1 Preferred shall be entitled to the number of votes equal to the number of Ordinary Shares into which such shares of Series A-1 Preferred held by such holder could then be converted.</w:t>
      </w:r>
    </w:p>
    <w:p>
      <w:pPr>
        <w:sectPr>
          <w:pgSz w:w="11900" w:h="16838" w:orient="portrait"/>
          <w:cols w:equalWidth="0" w:num="1">
            <w:col w:w="9019"/>
          </w:cols>
          <w:pgMar w:left="1440" w:top="12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2" w:name="page163"/>
    <w:bookmarkEnd w:id="162"/>
    <w:p>
      <w:pPr>
        <w:jc w:val="both"/>
        <w:ind w:left="1160" w:right="119"/>
        <w:spacing w:after="0" w:line="297" w:lineRule="auto"/>
        <w:rPr>
          <w:sz w:val="20"/>
          <w:szCs w:val="20"/>
          <w:color w:val="auto"/>
        </w:rPr>
      </w:pPr>
      <w:r>
        <w:rPr>
          <w:rFonts w:ascii="Arial" w:cs="Arial" w:eastAsia="Arial" w:hAnsi="Arial"/>
          <w:sz w:val="16"/>
          <w:szCs w:val="16"/>
          <w:color w:val="auto"/>
        </w:rPr>
        <w:t>The holders of shares of the Series A-1 Preferred shall be entitled to vote on all matters on which the Ordinary Shares shall be entitled to vote. The holders of the Series A-1 Preferred shall be entitled to notice of any General Meeting or applicable Class Meeting. Fractional votes shall not, however, be permitted and any fractional voting rights resulting from the above formula (after aggregating all shares into which shares of Series A-1 Preferred held by each holder could be converted), shall be disregarded.</w:t>
      </w:r>
    </w:p>
    <w:p>
      <w:pPr>
        <w:spacing w:after="0" w:line="114" w:lineRule="exact"/>
        <w:rPr>
          <w:sz w:val="20"/>
          <w:szCs w:val="20"/>
          <w:color w:val="auto"/>
        </w:rPr>
      </w:pPr>
    </w:p>
    <w:p>
      <w:pPr>
        <w:ind w:left="120" w:right="6279" w:firstLine="5"/>
        <w:spacing w:after="0" w:line="475" w:lineRule="auto"/>
        <w:tabs>
          <w:tab w:leader="none" w:pos="435"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[ARTICLE 8 IS RESERVED] </w:t>
      </w:r>
      <w:r>
        <w:rPr>
          <w:rFonts w:ascii="Arial" w:cs="Arial" w:eastAsia="Arial" w:hAnsi="Arial"/>
          <w:sz w:val="17"/>
          <w:szCs w:val="17"/>
          <w:b w:val="1"/>
          <w:bCs w:val="1"/>
          <w:u w:val="single" w:color="auto"/>
          <w:color w:val="auto"/>
        </w:rPr>
        <w:t>ALLOTMENT OF SHARES</w:t>
      </w:r>
    </w:p>
    <w:p>
      <w:pPr>
        <w:jc w:val="both"/>
        <w:ind w:left="420" w:right="119" w:hanging="305"/>
        <w:spacing w:after="0" w:line="293" w:lineRule="auto"/>
        <w:tabs>
          <w:tab w:leader="none" w:pos="4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Subject to the provisions of these Articles, the unissued shares shall be under the control of the Board of Directors, who shall have the power to allot shares or otherwise dispose of them to such persons, on such terms and conditions (including inter-alia terms relating to calls as set forth in Article 33 hereof), and either at par or at a premium, or, subject to the provisions of the Law, at a discount, and at such times, as the Board of Directors may think fit, and the power to give any person the option to acquire from the Company any shares, either at par or at premium, or, subject as aforesaid, at a discount, during such time and for such consideration as the Board of Directors may think fit.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PREEMPTIVE RIGHTS</w:t>
      </w:r>
    </w:p>
    <w:p>
      <w:pPr>
        <w:spacing w:after="0" w:line="175" w:lineRule="exact"/>
        <w:rPr>
          <w:sz w:val="20"/>
          <w:szCs w:val="20"/>
          <w:color w:val="auto"/>
        </w:rPr>
      </w:pPr>
    </w:p>
    <w:p>
      <w:pPr>
        <w:ind w:left="820" w:right="119" w:hanging="695"/>
        <w:spacing w:after="0" w:line="286" w:lineRule="auto"/>
        <w:tabs>
          <w:tab w:leader="none" w:pos="41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contained in this Article 10, the Company hereby grants to each Major Shareholder the right of first offer to purchase the Major Shareholder Pro Rata Portion of any New Securities which the Company may, from time to time, propose to issue and sell.</w:t>
      </w:r>
    </w:p>
    <w:p>
      <w:pPr>
        <w:spacing w:after="0" w:line="125" w:lineRule="exact"/>
        <w:rPr>
          <w:rFonts w:ascii="Arial" w:cs="Arial" w:eastAsia="Arial" w:hAnsi="Arial"/>
          <w:sz w:val="17"/>
          <w:szCs w:val="17"/>
          <w:color w:val="auto"/>
        </w:rPr>
      </w:pPr>
    </w:p>
    <w:p>
      <w:pPr>
        <w:jc w:val="both"/>
        <w:ind w:left="800" w:right="119" w:hanging="369"/>
        <w:spacing w:after="0" w:line="255" w:lineRule="auto"/>
        <w:tabs>
          <w:tab w:leader="none" w:pos="78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Notice of Right</w:t>
      </w:r>
      <w:r>
        <w:rPr>
          <w:rFonts w:ascii="Arial" w:cs="Arial" w:eastAsia="Arial" w:hAnsi="Arial"/>
          <w:sz w:val="18"/>
          <w:szCs w:val="18"/>
          <w:color w:val="auto"/>
        </w:rPr>
        <w:t>. In the event the Company proposes to undertake an issuance of New Securities, it shall give each Major Shareholder written notice of its intention, describing the type of New Securities and the price and terms upon which the Company proposes to issue the same (“</w:t>
      </w:r>
      <w:r>
        <w:rPr>
          <w:rFonts w:ascii="Arial" w:cs="Arial" w:eastAsia="Arial" w:hAnsi="Arial"/>
          <w:sz w:val="18"/>
          <w:szCs w:val="18"/>
          <w:b w:val="1"/>
          <w:bCs w:val="1"/>
          <w:color w:val="auto"/>
        </w:rPr>
        <w:t>Offer Notice</w:t>
      </w:r>
      <w:r>
        <w:rPr>
          <w:rFonts w:ascii="Arial" w:cs="Arial" w:eastAsia="Arial" w:hAnsi="Arial"/>
          <w:sz w:val="18"/>
          <w:szCs w:val="18"/>
          <w:color w:val="auto"/>
        </w:rPr>
        <w:t>”). Each Major Shareholder shall have fourteen (14) days from the date of delivery of any such Offer Notice to agree to purchase up to such Major Shareholder’s Pro Rata Portion of such New Securities, for the price and upon the terms specified in the Offer Notice, by delivering written notice to the Company and stating therein the quantity of New Securities to be purchased.</w:t>
      </w:r>
    </w:p>
    <w:p>
      <w:pPr>
        <w:spacing w:after="0" w:line="148" w:lineRule="exact"/>
        <w:rPr>
          <w:rFonts w:ascii="Arial" w:cs="Arial" w:eastAsia="Arial" w:hAnsi="Arial"/>
          <w:sz w:val="18"/>
          <w:szCs w:val="18"/>
          <w:color w:val="auto"/>
        </w:rPr>
      </w:pPr>
    </w:p>
    <w:p>
      <w:pPr>
        <w:jc w:val="both"/>
        <w:ind w:left="800" w:right="119" w:hanging="369"/>
        <w:spacing w:after="0" w:line="285" w:lineRule="auto"/>
        <w:tabs>
          <w:tab w:leader="none" w:pos="77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Right of Over-Allotment</w:t>
      </w:r>
      <w:r>
        <w:rPr>
          <w:rFonts w:ascii="Arial" w:cs="Arial" w:eastAsia="Arial" w:hAnsi="Arial"/>
          <w:sz w:val="16"/>
          <w:szCs w:val="16"/>
          <w:color w:val="auto"/>
        </w:rPr>
        <w:t>. In the event that any Major Shareholder fails to fully exercise the right of first offer within such fourteen (14) day period, each Major Shareholder fully exercising its right of first offer may purchase, on a pro rata basis, the non-purchasing Major Shareholder’s Pro Rata Portion(s). The Company will promptly notify those Major Shareholders fully exercising their rights of first offer, in writing, of the availability of additional New Securities, and each of the fully-exercising Major Shareholders shall have seven</w:t>
      </w:r>
    </w:p>
    <w:p>
      <w:pPr>
        <w:spacing w:after="0" w:line="2" w:lineRule="exact"/>
        <w:rPr>
          <w:rFonts w:ascii="Arial" w:cs="Arial" w:eastAsia="Arial" w:hAnsi="Arial"/>
          <w:sz w:val="16"/>
          <w:szCs w:val="16"/>
          <w:color w:val="auto"/>
        </w:rPr>
      </w:pPr>
    </w:p>
    <w:p>
      <w:pPr>
        <w:jc w:val="both"/>
        <w:ind w:left="800" w:right="119" w:firstLine="9"/>
        <w:spacing w:after="0" w:line="277" w:lineRule="auto"/>
        <w:tabs>
          <w:tab w:leader="none" w:pos="107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days from the date of receipt of any such notice to agree to purchase up to such Major Shareholder’s Pro Rata Portion (excluding from the Pro Rata Portion’s calculation holdings of Major Shareholders, which have not fully exercised their right of first offer) of such additional New Securities.</w:t>
      </w:r>
    </w:p>
    <w:p>
      <w:pPr>
        <w:spacing w:after="0" w:line="119" w:lineRule="exact"/>
        <w:rPr>
          <w:rFonts w:ascii="Arial" w:cs="Arial" w:eastAsia="Arial" w:hAnsi="Arial"/>
          <w:sz w:val="17"/>
          <w:szCs w:val="17"/>
          <w:color w:val="auto"/>
        </w:rPr>
      </w:pPr>
    </w:p>
    <w:p>
      <w:pPr>
        <w:ind w:left="780" w:hanging="349"/>
        <w:spacing w:after="0"/>
        <w:tabs>
          <w:tab w:leader="none" w:pos="78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Lapse and Reinstatement of Right</w:t>
      </w:r>
      <w:r>
        <w:rPr>
          <w:rFonts w:ascii="Arial" w:cs="Arial" w:eastAsia="Arial" w:hAnsi="Arial"/>
          <w:sz w:val="16"/>
          <w:szCs w:val="16"/>
          <w:color w:val="auto"/>
        </w:rPr>
        <w:t>.  The Company shall have sixty (60) days following the lapse of the fourteen</w:t>
      </w:r>
    </w:p>
    <w:p>
      <w:pPr>
        <w:spacing w:after="0" w:line="46" w:lineRule="exact"/>
        <w:rPr>
          <w:rFonts w:ascii="Arial" w:cs="Arial" w:eastAsia="Arial" w:hAnsi="Arial"/>
          <w:sz w:val="16"/>
          <w:szCs w:val="16"/>
          <w:color w:val="auto"/>
        </w:rPr>
      </w:pPr>
    </w:p>
    <w:p>
      <w:pPr>
        <w:jc w:val="both"/>
        <w:ind w:left="800" w:right="119" w:firstLine="9"/>
        <w:spacing w:after="0" w:line="268" w:lineRule="auto"/>
        <w:tabs>
          <w:tab w:leader="none" w:pos="1153" w:val="left"/>
        </w:tabs>
        <w:numPr>
          <w:ilvl w:val="2"/>
          <w:numId w:val="124"/>
        </w:numPr>
        <w:rPr>
          <w:rFonts w:ascii="Arial" w:cs="Arial" w:eastAsia="Arial" w:hAnsi="Arial"/>
          <w:sz w:val="17"/>
          <w:szCs w:val="17"/>
          <w:color w:val="auto"/>
        </w:rPr>
      </w:pPr>
      <w:r>
        <w:rPr>
          <w:rFonts w:ascii="Arial" w:cs="Arial" w:eastAsia="Arial" w:hAnsi="Arial"/>
          <w:sz w:val="17"/>
          <w:szCs w:val="17"/>
          <w:color w:val="auto"/>
        </w:rPr>
        <w:t>day period described in Article 10(b) and the additional seven (7) day period described in Article 10(c) to sell or enter into an agreement (pursuant to which the sale of New Securities covered thereby shall be closed, if at all, within thirty (30) days from the date of said agreement) to sell the New Securities with respect to which the Major Shareholders’ right of first offer was not exercised, at a price and upon terms no more favorable to the purchasers of such securities than specified in the original Offer Notice. In the event the Company has not sold the New Securities or entered into an agreement to sell the New Securities within said sixty (60) day period (or sold and issued New Securities in accordance with the foregoing within thirty (30) days from the date of said agreement), the Company shall not thereafter issue or sell any New Securities without first offering such securities to the Major Shareholders in the manner provided above.</w:t>
      </w:r>
    </w:p>
    <w:p>
      <w:pPr>
        <w:spacing w:after="0" w:line="141" w:lineRule="exact"/>
        <w:rPr>
          <w:rFonts w:ascii="Arial" w:cs="Arial" w:eastAsia="Arial" w:hAnsi="Arial"/>
          <w:sz w:val="17"/>
          <w:szCs w:val="17"/>
          <w:color w:val="auto"/>
        </w:rPr>
      </w:pPr>
    </w:p>
    <w:p>
      <w:pPr>
        <w:ind w:left="800" w:right="119" w:hanging="369"/>
        <w:spacing w:after="0" w:line="308" w:lineRule="auto"/>
        <w:tabs>
          <w:tab w:leader="none" w:pos="756"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Assignment of Right of First Offer</w:t>
      </w:r>
      <w:r>
        <w:rPr>
          <w:rFonts w:ascii="Arial" w:cs="Arial" w:eastAsia="Arial" w:hAnsi="Arial"/>
          <w:sz w:val="17"/>
          <w:szCs w:val="17"/>
          <w:color w:val="auto"/>
        </w:rPr>
        <w:t>. The right of first offer granted under this Article 10 may not be assigned or transferred, except that such right is assignable by any Major Shareholder to a Permitted Transferee.</w:t>
      </w:r>
    </w:p>
    <w:p>
      <w:pPr>
        <w:spacing w:after="0" w:line="106" w:lineRule="exact"/>
        <w:rPr>
          <w:rFonts w:ascii="Arial" w:cs="Arial" w:eastAsia="Arial" w:hAnsi="Arial"/>
          <w:sz w:val="17"/>
          <w:szCs w:val="17"/>
          <w:color w:val="auto"/>
        </w:rPr>
      </w:pPr>
    </w:p>
    <w:p>
      <w:pPr>
        <w:ind w:left="800" w:right="419" w:hanging="369"/>
        <w:spacing w:after="0" w:line="277" w:lineRule="auto"/>
        <w:tabs>
          <w:tab w:leader="none" w:pos="782"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r>
        <w:rPr>
          <w:rFonts w:ascii="Arial" w:cs="Arial" w:eastAsia="Arial" w:hAnsi="Arial"/>
          <w:sz w:val="18"/>
          <w:szCs w:val="18"/>
          <w:color w:val="auto"/>
        </w:rPr>
        <w:t>. The right of first offer granted under this Article 10 shall expire upon, and shall not be applicable to, a Qualified IPO.</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76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This Article 10, including but not limited to the definitions referred to herein, may only be amended by a Special Resolution (as defined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3" w:name="page164"/>
    <w:bookmarkEnd w:id="163"/>
    <w:p>
      <w:pPr>
        <w:ind w:left="120"/>
        <w:spacing w:after="0"/>
        <w:rPr>
          <w:sz w:val="20"/>
          <w:szCs w:val="20"/>
          <w:color w:val="auto"/>
        </w:rPr>
      </w:pPr>
      <w:r>
        <w:rPr>
          <w:rFonts w:ascii="Arial" w:cs="Arial" w:eastAsia="Arial" w:hAnsi="Arial"/>
          <w:sz w:val="18"/>
          <w:szCs w:val="18"/>
          <w:b w:val="1"/>
          <w:bCs w:val="1"/>
          <w:u w:val="single" w:color="auto"/>
          <w:color w:val="auto"/>
        </w:rPr>
        <w:t>REGISTERED HOLDER</w:t>
      </w:r>
    </w:p>
    <w:p>
      <w:pPr>
        <w:spacing w:after="0" w:line="229" w:lineRule="exact"/>
        <w:rPr>
          <w:sz w:val="20"/>
          <w:szCs w:val="20"/>
          <w:color w:val="auto"/>
        </w:rPr>
      </w:pPr>
    </w:p>
    <w:p>
      <w:pPr>
        <w:ind w:left="820" w:right="119" w:hanging="695"/>
        <w:spacing w:after="0" w:line="257" w:lineRule="auto"/>
        <w:tabs>
          <w:tab w:leader="none" w:pos="4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If two or more persons are registered as joint holders of a share they shall be jointly and severally liable for any calls or any other liability with respect to such share. However with respect to voting, power of attorney and furnishing notices, the one registered first in the register of members, insofar as all the registered joint holders shall not notify the Company in writing to relate to another one of them as the sole owner of the share, as aforesaid, shall be deemed to be the sole owner of the share.</w:t>
      </w:r>
    </w:p>
    <w:p>
      <w:pPr>
        <w:spacing w:after="0" w:line="188" w:lineRule="exact"/>
        <w:rPr>
          <w:rFonts w:ascii="Arial" w:cs="Arial" w:eastAsia="Arial" w:hAnsi="Arial"/>
          <w:sz w:val="18"/>
          <w:szCs w:val="18"/>
          <w:color w:val="auto"/>
        </w:rPr>
      </w:pPr>
    </w:p>
    <w:p>
      <w:pPr>
        <w:jc w:val="both"/>
        <w:ind w:left="800" w:right="119" w:hanging="369"/>
        <w:spacing w:after="0" w:line="259" w:lineRule="auto"/>
        <w:tabs>
          <w:tab w:leader="none" w:pos="81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case that two or more persons are registered together as holders of a share, each one of them shall be permitted to give receipts binding all the joint holders for dividends or other monies in connection with the share and the Company shall be permitted to pay all the dividends or other monies due with respect to the share to one or more of the joint holders, as it shall choose.</w:t>
      </w:r>
    </w:p>
    <w:p>
      <w:pPr>
        <w:spacing w:after="0" w:line="182" w:lineRule="exact"/>
        <w:rPr>
          <w:rFonts w:ascii="Arial" w:cs="Arial" w:eastAsia="Arial" w:hAnsi="Arial"/>
          <w:sz w:val="18"/>
          <w:szCs w:val="18"/>
          <w:color w:val="auto"/>
        </w:rPr>
      </w:pPr>
    </w:p>
    <w:p>
      <w:pPr>
        <w:ind w:left="400" w:hanging="275"/>
        <w:spacing w:after="0"/>
        <w:tabs>
          <w:tab w:leader="none" w:pos="4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[ARTICLE 12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SHARE CERTIFICATE</w:t>
      </w:r>
    </w:p>
    <w:p>
      <w:pPr>
        <w:spacing w:after="0" w:line="229" w:lineRule="exact"/>
        <w:rPr>
          <w:sz w:val="20"/>
          <w:szCs w:val="20"/>
          <w:color w:val="auto"/>
        </w:rPr>
      </w:pPr>
    </w:p>
    <w:p>
      <w:pPr>
        <w:ind w:left="820" w:right="119" w:hanging="695"/>
        <w:spacing w:after="0" w:line="257" w:lineRule="auto"/>
        <w:tabs>
          <w:tab w:leader="none" w:pos="40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A member shall be entitled to receive from the Company without payment, one certificate that shall contain that number of shares registered in the name of such member, their class and serial numbering. However, in the event of joint holders holding a share, the Company shall not be obligated to issue more than one certificate to all of the joint holders, and the delivery of such a certificate to one of the joint holders shall be deemed to be a delivery to all of the joint holders.</w:t>
      </w:r>
    </w:p>
    <w:p>
      <w:pPr>
        <w:spacing w:after="0" w:line="188" w:lineRule="exact"/>
        <w:rPr>
          <w:rFonts w:ascii="Arial" w:cs="Arial" w:eastAsia="Arial" w:hAnsi="Arial"/>
          <w:sz w:val="18"/>
          <w:szCs w:val="18"/>
          <w:color w:val="auto"/>
        </w:rPr>
      </w:pPr>
    </w:p>
    <w:p>
      <w:pPr>
        <w:ind w:left="800" w:right="119" w:hanging="369"/>
        <w:spacing w:after="0" w:line="342" w:lineRule="auto"/>
        <w:tabs>
          <w:tab w:leader="none" w:pos="81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certificate shall carry the signature of any member of the Board of Directors and/or signatures of those persons appointed by the Board of Directors for this purpose and the rubber stamp or the seal of the Company.</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78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upon payment of such fee, if any, and on such terms, if any, as to evidence and indemnity as the Board of Directors may think fit.</w:t>
      </w:r>
    </w:p>
    <w:p>
      <w:pPr>
        <w:spacing w:after="0" w:line="166" w:lineRule="exact"/>
        <w:rPr>
          <w:rFonts w:ascii="Arial" w:cs="Arial" w:eastAsia="Arial" w:hAnsi="Arial"/>
          <w:sz w:val="18"/>
          <w:szCs w:val="18"/>
          <w:color w:val="auto"/>
        </w:rPr>
      </w:pPr>
    </w:p>
    <w:p>
      <w:pPr>
        <w:ind w:left="400" w:hanging="275"/>
        <w:spacing w:after="0"/>
        <w:tabs>
          <w:tab w:leader="none" w:pos="4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[ARTICLE 14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MODIFICATIONS OF SHARE RIGHTS</w:t>
      </w:r>
    </w:p>
    <w:p>
      <w:pPr>
        <w:spacing w:after="0" w:line="229" w:lineRule="exact"/>
        <w:rPr>
          <w:sz w:val="20"/>
          <w:szCs w:val="20"/>
          <w:color w:val="auto"/>
        </w:rPr>
      </w:pPr>
    </w:p>
    <w:p>
      <w:pPr>
        <w:jc w:val="both"/>
        <w:ind w:left="440" w:right="119" w:hanging="315"/>
        <w:spacing w:after="0" w:line="286" w:lineRule="auto"/>
        <w:tabs>
          <w:tab w:leader="none" w:pos="4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Subject to these Articles, if at any time the share capital is divided into different classes of shares (unless otherwise provided for by the terms of issue of the shares of that class) it shall be permitted to change, convert, broaden, add or vary in any other manner the rights, advantages, restrictions and provisions attached at that time to one or more of the classes, by a resolution passed at a general meeting of the holders of all the Shares as one class, provided that any modification or alteration shall be applied to all shares in the same and proportional manner and the holders of the Ordinary Shares and Preferred A-1 Shares shall not be entitled to any class vote. Notwithstanding the foregoing, any adverse changes to the rights attached specifically to any given class of shares under the Company’s Articles of Association shall require the consent of the holders of a majority of the issued and outstanding shares of such adversely affected class. For the avoidance of doubt, the creation of any new class of securities in connection with a financing transaction by a third party not then a shareholder of the Company shall not require a class vote hereunder. To the extent a separate General Meeting is required under these Articles, the provisions of these Articles relating to General Meetings shall mutatis mutandis apply Any holder of shares of that class present, either personally or by proxy, may request a secret ballot.</w:t>
      </w:r>
    </w:p>
    <w:p>
      <w:pPr>
        <w:spacing w:after="0" w:line="170" w:lineRule="exact"/>
        <w:rPr>
          <w:rFonts w:ascii="Arial" w:cs="Arial" w:eastAsia="Arial" w:hAnsi="Arial"/>
          <w:sz w:val="16"/>
          <w:szCs w:val="16"/>
          <w:color w:val="auto"/>
        </w:rPr>
      </w:pPr>
    </w:p>
    <w:p>
      <w:pPr>
        <w:ind w:left="400" w:hanging="275"/>
        <w:spacing w:after="0"/>
        <w:tabs>
          <w:tab w:leader="none" w:pos="4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[ARTICLE 16 IS RESERVED]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PLEDGE</w:t>
      </w:r>
    </w:p>
    <w:p>
      <w:pPr>
        <w:spacing w:after="0" w:line="229" w:lineRule="exact"/>
        <w:rPr>
          <w:sz w:val="20"/>
          <w:szCs w:val="20"/>
          <w:color w:val="auto"/>
        </w:rPr>
      </w:pPr>
    </w:p>
    <w:p>
      <w:pPr>
        <w:jc w:val="both"/>
        <w:ind w:left="440" w:right="119" w:hanging="315"/>
        <w:spacing w:after="0" w:line="271" w:lineRule="auto"/>
        <w:tabs>
          <w:tab w:leader="none" w:pos="40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shall have a lien and first pledge on all the shares, not fully paid, registered in the name of any member (whether registered in his name only or together with another or others) for any amount still outstanding with respect to that share, whether presently payable or not. Such a pledge shall exist whether the dates of payment or fulfillment or execution of the obligations, debts or commitments have become due or not, and shall apply to all dividends that shall be decided upon from time to time in connection with these shares. No benefit shall be created with respect to this share based upon the Rules of Equity, which shall frustrate this pledge, however the Board of Directors may declare at any time with respect to any share, that it is released, wholly or in part, temporarily or permanently, from the provisions of this Article.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4" w:name="page165"/>
    <w:bookmarkEnd w:id="164"/>
    <w:p>
      <w:pPr>
        <w:jc w:val="both"/>
        <w:ind w:left="440" w:right="119" w:hanging="315"/>
        <w:spacing w:after="0" w:line="271" w:lineRule="auto"/>
        <w:tabs>
          <w:tab w:leader="none" w:pos="4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may sell, in such manner and at such time as the Board of Directors think fit, any of the pledged shares, but no sale shall be made unless the date of payment of the monies or a part thereof has arrived, or the date of fulfillment and performance of the obligations and commitments in consideration of which the pledge exists has arrived, and after a written request has been furnished to the member or person who has acquired a right in the shares, which sets out the amount or obligation or commitment due from him and which demands their payment, fulfillment or execution, and which informs the person of the Board of Directors’ desire to sell the shares in the event of non-fulfillment of the notice, and the person has not fulfilled his obligation pursuant to the notice within seven (7) days after the notice had been sent to him.</w:t>
      </w:r>
    </w:p>
    <w:p>
      <w:pPr>
        <w:spacing w:after="0" w:line="178" w:lineRule="exact"/>
        <w:rPr>
          <w:rFonts w:ascii="Arial" w:cs="Arial" w:eastAsia="Arial" w:hAnsi="Arial"/>
          <w:sz w:val="17"/>
          <w:szCs w:val="17"/>
          <w:color w:val="auto"/>
        </w:rPr>
      </w:pPr>
    </w:p>
    <w:p>
      <w:pPr>
        <w:jc w:val="both"/>
        <w:ind w:left="440" w:right="119" w:hanging="315"/>
        <w:spacing w:after="0" w:line="264" w:lineRule="auto"/>
        <w:tabs>
          <w:tab w:leader="none" w:pos="4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payment of such sum due to the Company or to the fulfillment of the obligation or commitment, and the remainder (if there shall be any) shall be paid to the member or to the person who has acquired a right in the share sold pursuant to the above.</w:t>
      </w:r>
    </w:p>
    <w:p>
      <w:pPr>
        <w:spacing w:after="0" w:line="181" w:lineRule="exact"/>
        <w:rPr>
          <w:rFonts w:ascii="Arial" w:cs="Arial" w:eastAsia="Arial" w:hAnsi="Arial"/>
          <w:sz w:val="18"/>
          <w:szCs w:val="18"/>
          <w:color w:val="auto"/>
        </w:rPr>
      </w:pPr>
    </w:p>
    <w:p>
      <w:pPr>
        <w:jc w:val="both"/>
        <w:ind w:left="440" w:right="119" w:hanging="315"/>
        <w:spacing w:after="0" w:line="257" w:lineRule="auto"/>
        <w:tabs>
          <w:tab w:leader="none" w:pos="4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After execution of a sale as aforesaid, the Board of Directors shall be permitted to sign or to appoint someone to sign a deed of transfer of the sold shares and to register the buyer’s name in the register of members as the owner of the sold shares and it shall not be the obligation of the buyer to supervise the application of monies nor will his right in the shares be affected by a defect or illegality in the sale proceedings after his name has been registered in the register of members with respect to those shares.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sole remedy of any person aggrieved by the sale shall be in damages only and against the Company exclusively.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TRANSFER OF SHARES AND THE MANAGEMENT THEREOF</w:t>
      </w:r>
    </w:p>
    <w:p>
      <w:pPr>
        <w:spacing w:after="0" w:line="229" w:lineRule="exact"/>
        <w:rPr>
          <w:sz w:val="20"/>
          <w:szCs w:val="20"/>
          <w:color w:val="auto"/>
        </w:rPr>
      </w:pPr>
    </w:p>
    <w:p>
      <w:pPr>
        <w:jc w:val="both"/>
        <w:ind w:left="440" w:right="119" w:hanging="315"/>
        <w:spacing w:after="0" w:line="293" w:lineRule="auto"/>
        <w:tabs>
          <w:tab w:leader="none" w:pos="41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transfer of the Company’s shares shall be subject to approval of the Board of Directors, however, the Board of Directors may only refuse to approve transfer of shares to a person if such person is a competitor of the Company. Without derogating from the foregoing, the Board of Directors may refuse to the registration of any transfer of shares in case of non-compliance with the provisions of these Articles. If the Board of Directors shall make use of their powers in accordance with this Article 21 and refuse to register a transfer of shares, they must inform the transferee of their refusal within sixty (60) days of the day the deed of transfer had been furnished to the Company.</w:t>
      </w:r>
    </w:p>
    <w:p>
      <w:pPr>
        <w:spacing w:after="0" w:line="164" w:lineRule="exact"/>
        <w:rPr>
          <w:rFonts w:ascii="Arial" w:cs="Arial" w:eastAsia="Arial" w:hAnsi="Arial"/>
          <w:sz w:val="16"/>
          <w:szCs w:val="16"/>
          <w:color w:val="auto"/>
        </w:rPr>
      </w:pPr>
    </w:p>
    <w:p>
      <w:pPr>
        <w:jc w:val="both"/>
        <w:ind w:left="440" w:right="119" w:hanging="315"/>
        <w:spacing w:after="0" w:line="259" w:lineRule="auto"/>
        <w:tabs>
          <w:tab w:leader="none" w:pos="4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transfer of shares shall be made in writing in the form appearing herein below, or in a similar form, or in any form as to be determined upon by the directors from time to time, such form shall be delivered to the office together with the transferred share certificates and any other proof the directors shall require, if they shall so require, in order to prove the title of the transferor.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Deed of Transfer of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 ____________________ of _______________________ in consideration of the sum of _____________ paid to me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________________, of ________________ (hereinafter called “the said transferee”) do hereby transfer to the said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transferee ___________ share (or shares) having nominal value of NIS ________ each one numbered ______ until ____</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inclusive in ___________________________, to hold onto the said transferee, his executors, administrators, and assigns,</w:t>
      </w:r>
    </w:p>
    <w:p>
      <w:pPr>
        <w:spacing w:after="0" w:line="32"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8"/>
          <w:szCs w:val="18"/>
          <w:color w:val="auto"/>
        </w:rPr>
        <w:t>subject to the several conditions on which I held the same at the time of the execution hereof; and I, the said transferee, do hereby agree to take the said share (or shares) subject to the conditions aforesaid. As witness we have hereunto set our hands the _______ day of _________________ 20__.</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-115570</wp:posOffset>
            </wp:positionV>
            <wp:extent cx="2675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Witness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Transferee’s Signature</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675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-115570</wp:posOffset>
            </wp:positionV>
            <wp:extent cx="2675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Witness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Transferee’s Signature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-130175</wp:posOffset>
            </wp:positionV>
            <wp:extent cx="2675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680" w:space="720"/>
            <w:col w:w="3619"/>
          </w:cols>
          <w:pgMar w:left="1440" w:top="125"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5" w:name="page166"/>
    <w:bookmarkEnd w:id="165"/>
    <w:p>
      <w:pPr>
        <w:jc w:val="both"/>
        <w:ind w:left="440" w:right="119" w:hanging="315"/>
        <w:spacing w:after="0" w:line="264" w:lineRule="auto"/>
        <w:tabs>
          <w:tab w:leader="none" w:pos="4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deed of share transfer shall be executed both by the transferor and transferee, and the transferor shall be deemed to remain a holder of the share until the name of the transferee is entered into the register of members in respect thereof.</w:t>
      </w:r>
    </w:p>
    <w:p>
      <w:pPr>
        <w:spacing w:after="0" w:line="181" w:lineRule="exact"/>
        <w:rPr>
          <w:rFonts w:ascii="Arial" w:cs="Arial" w:eastAsia="Arial" w:hAnsi="Arial"/>
          <w:sz w:val="18"/>
          <w:szCs w:val="18"/>
          <w:color w:val="auto"/>
        </w:rPr>
      </w:pPr>
    </w:p>
    <w:p>
      <w:pPr>
        <w:ind w:left="440" w:right="119" w:hanging="315"/>
        <w:spacing w:after="0" w:line="277" w:lineRule="auto"/>
        <w:tabs>
          <w:tab w:leader="none" w:pos="4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 shall be permitted to demand a fee for registration of transfer, in a reasonable rate as to be determined by the Board of Directors from time to time.</w:t>
      </w:r>
    </w:p>
    <w:p>
      <w:pPr>
        <w:spacing w:after="0" w:line="170" w:lineRule="exact"/>
        <w:rPr>
          <w:rFonts w:ascii="Arial" w:cs="Arial" w:eastAsia="Arial" w:hAnsi="Arial"/>
          <w:sz w:val="18"/>
          <w:szCs w:val="18"/>
          <w:color w:val="auto"/>
        </w:rPr>
      </w:pPr>
    </w:p>
    <w:p>
      <w:pPr>
        <w:ind w:left="440" w:right="119" w:hanging="315"/>
        <w:spacing w:after="0" w:line="342" w:lineRule="auto"/>
        <w:tabs>
          <w:tab w:leader="none" w:pos="42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register may be closed at such dates and for such other periods as determined by the Board of Directors from time to time, upon the condition that the register shall not be closed for more than thirty (30) days every year.</w:t>
      </w:r>
    </w:p>
    <w:p>
      <w:pPr>
        <w:spacing w:after="0" w:line="123" w:lineRule="exact"/>
        <w:rPr>
          <w:rFonts w:ascii="Arial" w:cs="Arial" w:eastAsia="Arial" w:hAnsi="Arial"/>
          <w:sz w:val="16"/>
          <w:szCs w:val="16"/>
          <w:color w:val="auto"/>
        </w:rPr>
      </w:pPr>
    </w:p>
    <w:p>
      <w:pPr>
        <w:jc w:val="both"/>
        <w:ind w:left="440" w:right="119" w:hanging="315"/>
        <w:spacing w:after="0" w:line="297" w:lineRule="auto"/>
        <w:tabs>
          <w:tab w:leader="none" w:pos="4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the death of a member the remaining holders (in the event that the deceased was a joint holder in a share) or the administrators or executors or heirs of the deceased (in the event the deceased was the sole holder of the share or was the only one of the joint holders of the share to remain alive) shall be recognized by the Company as the sole holders of any title to the shares of the deceased. However, nothing aforesaid shall release the estate of a joint holder of a share from any obligation with respect to the share that he held jointly with any other holder.</w:t>
      </w:r>
    </w:p>
    <w:p>
      <w:pPr>
        <w:spacing w:after="0" w:line="158" w:lineRule="exact"/>
        <w:rPr>
          <w:rFonts w:ascii="Arial" w:cs="Arial" w:eastAsia="Arial" w:hAnsi="Arial"/>
          <w:sz w:val="16"/>
          <w:szCs w:val="16"/>
          <w:color w:val="auto"/>
        </w:rPr>
      </w:pPr>
    </w:p>
    <w:p>
      <w:pPr>
        <w:jc w:val="both"/>
        <w:ind w:left="440" w:right="119" w:hanging="315"/>
        <w:spacing w:after="0" w:line="276" w:lineRule="auto"/>
        <w:tabs>
          <w:tab w:leader="none" w:pos="40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person becoming entitled to a share in consequence of the death or bankruptcy or liquidation of a member shall, upon such evidence being produced as may from time to time be required by the directors, have the right, either to be registered as a member in respect of the share upon the consent of the directors (who have the right to refuse pursuant to Article 21 above) or, instead of being registered himself, to transfer such share to another person, subject to the provisions contained in these Articles with respect to transfers.</w:t>
      </w:r>
    </w:p>
    <w:p>
      <w:pPr>
        <w:spacing w:after="0" w:line="172" w:lineRule="exact"/>
        <w:rPr>
          <w:rFonts w:ascii="Arial" w:cs="Arial" w:eastAsia="Arial" w:hAnsi="Arial"/>
          <w:sz w:val="17"/>
          <w:szCs w:val="17"/>
          <w:color w:val="auto"/>
        </w:rPr>
      </w:pPr>
    </w:p>
    <w:p>
      <w:pPr>
        <w:jc w:val="both"/>
        <w:ind w:left="440" w:right="119" w:hanging="315"/>
        <w:spacing w:after="0" w:line="302" w:lineRule="auto"/>
        <w:tabs>
          <w:tab w:leader="none" w:pos="4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person becoming entitled to a share because of the death of a member shall be entitled to receive, and to give receipts for, dividends or other payments paid with respect to the share, but he shall not be entitled to receive notices with respect to Company meetings or to participate or vote therein with respect to that share, or aside from the aforesaid, to use any right of a member, until he has been accepted as a member with respect to that share.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RIGHT OF FIRST REFUSAL</w:t>
      </w:r>
    </w:p>
    <w:p>
      <w:pPr>
        <w:spacing w:after="0" w:line="229" w:lineRule="exact"/>
        <w:rPr>
          <w:sz w:val="20"/>
          <w:szCs w:val="20"/>
          <w:color w:val="auto"/>
        </w:rPr>
      </w:pPr>
    </w:p>
    <w:p>
      <w:pPr>
        <w:ind w:left="820" w:right="119" w:hanging="695"/>
        <w:spacing w:after="0" w:line="286" w:lineRule="auto"/>
        <w:tabs>
          <w:tab w:leader="none" w:pos="55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Subject to the terms and conditions contained in this Article 29, each shareholder hereby grants each Major Shareholder the right of first refusal with respect to the purchase of some or all of the Ordinary Shares which the shareholder may, from time to time, propose to sell.</w:t>
      </w:r>
    </w:p>
    <w:p>
      <w:pPr>
        <w:spacing w:after="0" w:line="165" w:lineRule="exact"/>
        <w:rPr>
          <w:rFonts w:ascii="Arial" w:cs="Arial" w:eastAsia="Arial" w:hAnsi="Arial"/>
          <w:sz w:val="17"/>
          <w:szCs w:val="17"/>
          <w:color w:val="auto"/>
        </w:rPr>
      </w:pPr>
    </w:p>
    <w:p>
      <w:pPr>
        <w:jc w:val="both"/>
        <w:ind w:left="800" w:right="119" w:hanging="369"/>
        <w:spacing w:after="0" w:line="268" w:lineRule="auto"/>
        <w:tabs>
          <w:tab w:leader="none" w:pos="794"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Notice of Right</w:t>
      </w:r>
      <w:r>
        <w:rPr>
          <w:rFonts w:ascii="Arial" w:cs="Arial" w:eastAsia="Arial" w:hAnsi="Arial"/>
          <w:sz w:val="17"/>
          <w:szCs w:val="17"/>
          <w:color w:val="auto"/>
        </w:rPr>
        <w:t>. Should a shareholder propose to sell or transfer any Ordinary Shares, such shareholder shall promptly deliver a written notice (the “</w:t>
      </w:r>
      <w:r>
        <w:rPr>
          <w:rFonts w:ascii="Arial" w:cs="Arial" w:eastAsia="Arial" w:hAnsi="Arial"/>
          <w:sz w:val="17"/>
          <w:szCs w:val="17"/>
          <w:b w:val="1"/>
          <w:bCs w:val="1"/>
          <w:color w:val="auto"/>
        </w:rPr>
        <w:t>Transfer Notice</w:t>
      </w:r>
      <w:r>
        <w:rPr>
          <w:rFonts w:ascii="Arial" w:cs="Arial" w:eastAsia="Arial" w:hAnsi="Arial"/>
          <w:sz w:val="17"/>
          <w:szCs w:val="17"/>
          <w:color w:val="auto"/>
        </w:rPr>
        <w:t>”) to the Company, which the Company shall promptly forward to each Major Shareholder. The Transfer Notice shall describe in reasonable detail the proposed sale or transfer, including, without limitation, the number and the type of shares to be sold or transferred, the nature of such sale or transfer, the consideration to be paid, the name and address of each prospective purchaser or transferee, and any other material terms and conditions upon which such sale or transfer is to be made, along with copies of all material proposed agreements relating to such sale, including but not limited to, purchase agreements, voting or proxy agreements, and other agreements or documents requested by the Company or any Major Shareholder. Each Major Shareholder shall have fourteen (14) days from the date of delivery of any such Transfer Notice to agree to purchase up to the Major Shareholder’s Pro Rata Portion of Ordinary Shares any shareholder proposes to sell, for the price and upon the terms specified in the Transfer Notice, by delivering written notice to the Company and each such selling shareholder and stating therein the number of Ordinary Shares to be purchased.</w:t>
      </w:r>
    </w:p>
    <w:p>
      <w:pPr>
        <w:spacing w:after="0" w:line="187" w:lineRule="exact"/>
        <w:rPr>
          <w:rFonts w:ascii="Arial" w:cs="Arial" w:eastAsia="Arial" w:hAnsi="Arial"/>
          <w:sz w:val="17"/>
          <w:szCs w:val="17"/>
          <w:color w:val="auto"/>
        </w:rPr>
      </w:pPr>
    </w:p>
    <w:p>
      <w:pPr>
        <w:jc w:val="both"/>
        <w:ind w:left="800" w:right="119" w:hanging="369"/>
        <w:spacing w:after="0" w:line="253" w:lineRule="auto"/>
        <w:tabs>
          <w:tab w:leader="none" w:pos="837"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Right of Over-Allotment</w:t>
      </w:r>
      <w:r>
        <w:rPr>
          <w:rFonts w:ascii="Arial" w:cs="Arial" w:eastAsia="Arial" w:hAnsi="Arial"/>
          <w:sz w:val="18"/>
          <w:szCs w:val="18"/>
          <w:color w:val="auto"/>
        </w:rPr>
        <w:t>. In the event that any Major Shareholder fails to fully exercise the right of first refusal within such fourteen (14) day period, each Major Shareholder fully exercising its right of first refusal may purchase, on a pro rata basis, the non-purchasing Major Shareholder’s or Major Shareholders’ Pro Rata Portion(s). The Company will promptly notify those Major Shareholders fully exercising their rights of first refusal, in writing, of the availability of additional Ordinary Shares, and each of the fully-exercising Major Shareholders shall have seven (7) days from the date of receipt of any such notice to agree to purchase up to such Major Shareholder’s Pro Rata Portion (excluding from the Pro Rata Portion’s calculation, holdings of Major Shareholders, which have not fully exercised their right of first refusal) of such additional Ordinary Shares.</w:t>
      </w:r>
    </w:p>
    <w:p>
      <w:pPr>
        <w:spacing w:after="0" w:line="197" w:lineRule="exact"/>
        <w:rPr>
          <w:rFonts w:ascii="Arial" w:cs="Arial" w:eastAsia="Arial" w:hAnsi="Arial"/>
          <w:sz w:val="18"/>
          <w:szCs w:val="18"/>
          <w:color w:val="auto"/>
        </w:rPr>
      </w:pPr>
    </w:p>
    <w:p>
      <w:pPr>
        <w:jc w:val="both"/>
        <w:ind w:left="800" w:right="119" w:hanging="369"/>
        <w:spacing w:after="0" w:line="264" w:lineRule="auto"/>
        <w:tabs>
          <w:tab w:leader="none" w:pos="807"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Lapse and Reinstatement of Right</w:t>
      </w:r>
      <w:r>
        <w:rPr>
          <w:rFonts w:ascii="Arial" w:cs="Arial" w:eastAsia="Arial" w:hAnsi="Arial"/>
          <w:sz w:val="18"/>
          <w:szCs w:val="18"/>
          <w:color w:val="auto"/>
        </w:rPr>
        <w:t>. A shareholder shall have sixty (60) days following the fourteen (14) day period described in Article 29(b) and the additional seven (7) day period described in Article 29(c) to sell or enter into 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6" w:name="page167"/>
    <w:bookmarkEnd w:id="166"/>
    <w:p>
      <w:pPr>
        <w:ind w:left="800"/>
        <w:spacing w:after="0"/>
        <w:rPr>
          <w:sz w:val="20"/>
          <w:szCs w:val="20"/>
          <w:color w:val="auto"/>
        </w:rPr>
      </w:pPr>
      <w:r>
        <w:rPr>
          <w:rFonts w:ascii="Arial" w:cs="Arial" w:eastAsia="Arial" w:hAnsi="Arial"/>
          <w:sz w:val="16"/>
          <w:szCs w:val="16"/>
          <w:color w:val="auto"/>
        </w:rPr>
        <w:t>agreement (pursuant to which the sale of Ordinary Shares covered thereby shall be closed, if at all, within thirty</w:t>
      </w:r>
    </w:p>
    <w:p>
      <w:pPr>
        <w:spacing w:after="0" w:line="46" w:lineRule="exact"/>
        <w:rPr>
          <w:sz w:val="20"/>
          <w:szCs w:val="20"/>
          <w:color w:val="auto"/>
        </w:rPr>
      </w:pPr>
    </w:p>
    <w:p>
      <w:pPr>
        <w:jc w:val="both"/>
        <w:ind w:left="800" w:right="119" w:firstLine="9"/>
        <w:spacing w:after="0" w:line="269" w:lineRule="auto"/>
        <w:tabs>
          <w:tab w:leader="none" w:pos="118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days from the date of said agreement) to sell the Ordinary Shares with respect to which the Major Shareholder’s right of first refusal was not exercised, at a price and upon terms no more favorable to the purchasers of such securities than specified in the original Transfer Notice. In the event the shareholder has not sold the Ordinary Shares or entered into an agreement to sell the Ordinary Shares within said sixty- (60-) day period (or sold and issued Ordinary Shares in accordance with the foregoing within thirty (30) days from the date of said agreement), the shareholder shall not thereafter issue or sell any Ordinary Shares without first offering such securities to the Major Shareholders in the manner provided above.</w:t>
      </w:r>
    </w:p>
    <w:p>
      <w:pPr>
        <w:spacing w:after="0" w:line="180" w:lineRule="exact"/>
        <w:rPr>
          <w:rFonts w:ascii="Arial" w:cs="Arial" w:eastAsia="Arial" w:hAnsi="Arial"/>
          <w:sz w:val="17"/>
          <w:szCs w:val="17"/>
          <w:color w:val="auto"/>
        </w:rPr>
      </w:pPr>
    </w:p>
    <w:p>
      <w:pPr>
        <w:jc w:val="both"/>
        <w:ind w:left="800" w:right="119" w:hanging="369"/>
        <w:spacing w:after="0" w:line="342" w:lineRule="auto"/>
        <w:tabs>
          <w:tab w:leader="none" w:pos="83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Assignment of Right of First Refusal</w:t>
      </w:r>
      <w:r>
        <w:rPr>
          <w:rFonts w:ascii="Arial" w:cs="Arial" w:eastAsia="Arial" w:hAnsi="Arial"/>
          <w:sz w:val="16"/>
          <w:szCs w:val="16"/>
          <w:color w:val="auto"/>
        </w:rPr>
        <w:t>. The right of first refusal granted under this Article 29 may not be assigned or transferred, except that such right is assignable by any Major Shareholder to a Permitted Transferee.</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78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granted under Article 29 shall expire upon, and shall not be applicable to, a Qualified IPO.</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79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Restrictions on Right of First Refusal</w:t>
      </w:r>
      <w:r>
        <w:rPr>
          <w:rFonts w:ascii="Arial" w:cs="Arial" w:eastAsia="Arial" w:hAnsi="Arial"/>
          <w:sz w:val="18"/>
          <w:szCs w:val="18"/>
          <w:color w:val="auto"/>
        </w:rPr>
        <w:t>. No sale or transfer of the Company’s shares shall be made to entities directly competing with the Company’s business.</w:t>
      </w:r>
    </w:p>
    <w:p>
      <w:pPr>
        <w:spacing w:after="0" w:line="170" w:lineRule="exact"/>
        <w:rPr>
          <w:rFonts w:ascii="Arial" w:cs="Arial" w:eastAsia="Arial" w:hAnsi="Arial"/>
          <w:sz w:val="18"/>
          <w:szCs w:val="18"/>
          <w:color w:val="auto"/>
        </w:rPr>
      </w:pPr>
    </w:p>
    <w:p>
      <w:pPr>
        <w:ind w:left="800" w:right="119" w:hanging="369"/>
        <w:spacing w:after="0" w:line="277" w:lineRule="auto"/>
        <w:tabs>
          <w:tab w:leader="none" w:pos="8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the removal of doubt, the provisions of this Article 29 shall not apply to transfer of shares in connection with a Bring-Along Transaction.</w:t>
      </w:r>
    </w:p>
    <w:p>
      <w:pPr>
        <w:spacing w:after="0" w:line="170" w:lineRule="exact"/>
        <w:rPr>
          <w:rFonts w:ascii="Arial" w:cs="Arial" w:eastAsia="Arial" w:hAnsi="Arial"/>
          <w:sz w:val="18"/>
          <w:szCs w:val="18"/>
          <w:color w:val="auto"/>
        </w:rPr>
      </w:pPr>
    </w:p>
    <w:p>
      <w:pPr>
        <w:ind w:left="780" w:hanging="349"/>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Article 29 may only be amended by a Special Resolution.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CO-SALE RIGHTS</w:t>
      </w:r>
    </w:p>
    <w:p>
      <w:pPr>
        <w:spacing w:after="0" w:line="229" w:lineRule="exact"/>
        <w:rPr>
          <w:sz w:val="20"/>
          <w:szCs w:val="20"/>
          <w:color w:val="auto"/>
        </w:rPr>
      </w:pPr>
    </w:p>
    <w:p>
      <w:pPr>
        <w:ind w:left="820" w:right="119" w:hanging="695"/>
        <w:spacing w:after="0" w:line="259" w:lineRule="auto"/>
        <w:tabs>
          <w:tab w:leader="none" w:pos="4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Right of Co-Sale</w:t>
      </w:r>
      <w:r>
        <w:rPr>
          <w:rFonts w:ascii="Arial" w:cs="Arial" w:eastAsia="Arial" w:hAnsi="Arial"/>
          <w:sz w:val="18"/>
          <w:szCs w:val="18"/>
          <w:color w:val="auto"/>
        </w:rPr>
        <w:t>. Each Major Shareholder shall have the right of co-sale with respect to shares of the Company, which any shareholder of the Company may, from time to time, propose to sell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The right of co-sale shall not apply to any transfer of shares to Permitted Transferee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Shareholder.</w:t>
      </w:r>
    </w:p>
    <w:p>
      <w:pPr>
        <w:spacing w:after="0" w:line="186" w:lineRule="exact"/>
        <w:rPr>
          <w:rFonts w:ascii="Arial" w:cs="Arial" w:eastAsia="Arial" w:hAnsi="Arial"/>
          <w:sz w:val="18"/>
          <w:szCs w:val="18"/>
          <w:color w:val="auto"/>
        </w:rPr>
      </w:pPr>
    </w:p>
    <w:p>
      <w:pPr>
        <w:jc w:val="both"/>
        <w:ind w:left="800" w:right="119" w:hanging="369"/>
        <w:spacing w:after="0" w:line="285" w:lineRule="auto"/>
        <w:tabs>
          <w:tab w:leader="none" w:pos="780"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Notice of Right</w:t>
      </w:r>
      <w:r>
        <w:rPr>
          <w:rFonts w:ascii="Arial" w:cs="Arial" w:eastAsia="Arial" w:hAnsi="Arial"/>
          <w:sz w:val="16"/>
          <w:szCs w:val="16"/>
          <w:color w:val="auto"/>
        </w:rPr>
        <w:t>. Without derogating from the provisions of Article 29, should a Selling Shareholder proposes to sell or transfer any shares in accordance with subsection 29(d), the Selling Shareholder shall promptly deliver a written notice (the “</w:t>
      </w:r>
      <w:r>
        <w:rPr>
          <w:rFonts w:ascii="Arial" w:cs="Arial" w:eastAsia="Arial" w:hAnsi="Arial"/>
          <w:sz w:val="16"/>
          <w:szCs w:val="16"/>
          <w:b w:val="1"/>
          <w:bCs w:val="1"/>
          <w:color w:val="auto"/>
        </w:rPr>
        <w:t>Co-Sale Notice</w:t>
      </w:r>
      <w:r>
        <w:rPr>
          <w:rFonts w:ascii="Arial" w:cs="Arial" w:eastAsia="Arial" w:hAnsi="Arial"/>
          <w:sz w:val="16"/>
          <w:szCs w:val="16"/>
          <w:color w:val="auto"/>
        </w:rPr>
        <w:t>”) to the Company and the Major Shareholders. The Co-Sale Notice shall describe in reasonable detail the proposed sale or transfer, including, without limitation, the number and the type of shares to be sold or transferred, the nature of such sale or transfer, the consideration to be paid, the name and address of each prospective purchaser or transferee, and any other material terms and conditions upon which such sale or transfer is to be made, along with copies of all material proposed agreements relating to such sale, including but not limited to, purchase agreements, voting or proxy agreements, and other agreements or documents requested by the Company or the Major Shareholders. The Major Shareholders shall have fourteen (14) days from the date of delivery of any such Co-Sale Notice to agree to sell up to such holder’s pro-rata portion of the shares the Selling Shareholder proposes to sell, for the price and upon the terms specified in the Co-Sale Notice, by delivering written notice to the Company and the Selling Shareholder and stating therein the number of shares to be purchased. A Major Shareholder’s pro-rata portion shall be the ratio of the number of shares of the Ordinary Shares then held by such shareholder (on an as converted basis), as of the date of the Co-Sale Notice, to the sum of the total number of Ordinary Shares (on an as converted basis) held by all the Major Shareholders and the Selling Shareholder as of such date.</w:t>
      </w:r>
    </w:p>
    <w:p>
      <w:pPr>
        <w:spacing w:after="0" w:line="177" w:lineRule="exact"/>
        <w:rPr>
          <w:rFonts w:ascii="Arial" w:cs="Arial" w:eastAsia="Arial" w:hAnsi="Arial"/>
          <w:sz w:val="16"/>
          <w:szCs w:val="16"/>
          <w:color w:val="auto"/>
        </w:rPr>
      </w:pPr>
    </w:p>
    <w:p>
      <w:pPr>
        <w:ind w:left="820" w:hanging="389"/>
        <w:spacing w:after="0"/>
        <w:tabs>
          <w:tab w:leader="none" w:pos="82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Lapse and Termination of Right</w:t>
      </w:r>
      <w:r>
        <w:rPr>
          <w:rFonts w:ascii="Arial" w:cs="Arial" w:eastAsia="Arial" w:hAnsi="Arial"/>
          <w:sz w:val="17"/>
          <w:szCs w:val="17"/>
          <w:color w:val="auto"/>
        </w:rPr>
        <w:t>.  The Selling Shareholder shall have sixty (60) days following the fourteen</w:t>
      </w:r>
    </w:p>
    <w:p>
      <w:pPr>
        <w:spacing w:after="0" w:line="34" w:lineRule="exact"/>
        <w:rPr>
          <w:rFonts w:ascii="Arial" w:cs="Arial" w:eastAsia="Arial" w:hAnsi="Arial"/>
          <w:sz w:val="17"/>
          <w:szCs w:val="17"/>
          <w:color w:val="auto"/>
        </w:rPr>
      </w:pPr>
    </w:p>
    <w:p>
      <w:pPr>
        <w:jc w:val="both"/>
        <w:ind w:left="800" w:right="119" w:firstLine="9"/>
        <w:spacing w:after="0" w:line="268" w:lineRule="auto"/>
        <w:tabs>
          <w:tab w:leader="none" w:pos="117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day period described in Article 30(b) to sell or enter into an agreement (pursuant to which the sale of Ordinary Shares covered thereby shall be closed, if at all, within thirty (30) days from the date of said agreement) to sell the Ordinary Shares with respect to which the Major Shareholders’ right of co-sale was not exercised, at a price and upon terms no more favorable to the purchasers of such securities than specified in the original Co-Sale Notice. In the event the Selling Shareholder has not sold the Ordinary Shares or entered into an agreement to sell the Ordinary Shares within said sixty (60) day period (or sold and issued Ordinary Shares in accordance with the foregoing within thirty (30) days from the date of said agreement), The Selling Shareholder shall not thereafter issue or sell any shares without first offering such securities to the Major Shareholders in the manner provided above.</w:t>
      </w:r>
    </w:p>
    <w:p>
      <w:pPr>
        <w:spacing w:after="0" w:line="182" w:lineRule="exact"/>
        <w:rPr>
          <w:rFonts w:ascii="Arial" w:cs="Arial" w:eastAsia="Arial" w:hAnsi="Arial"/>
          <w:sz w:val="17"/>
          <w:szCs w:val="17"/>
          <w:color w:val="auto"/>
        </w:rPr>
      </w:pPr>
    </w:p>
    <w:p>
      <w:pPr>
        <w:ind w:left="800" w:right="119" w:hanging="369"/>
        <w:spacing w:after="0" w:line="277" w:lineRule="auto"/>
        <w:tabs>
          <w:tab w:leader="none" w:pos="848"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Assignment of Co-Sale Right</w:t>
      </w:r>
      <w:r>
        <w:rPr>
          <w:rFonts w:ascii="Arial" w:cs="Arial" w:eastAsia="Arial" w:hAnsi="Arial"/>
          <w:sz w:val="18"/>
          <w:szCs w:val="18"/>
          <w:color w:val="auto"/>
        </w:rPr>
        <w:t>. The right of co-sale granted under this Article 30 may not be assigned or transferred.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7" w:name="page168"/>
    <w:bookmarkEnd w:id="167"/>
    <w:p>
      <w:pPr>
        <w:ind w:left="800" w:right="119" w:hanging="369"/>
        <w:spacing w:after="0" w:line="277" w:lineRule="auto"/>
        <w:tabs>
          <w:tab w:leader="none" w:pos="78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Termination of Co-Sale Right</w:t>
      </w:r>
      <w:r>
        <w:rPr>
          <w:rFonts w:ascii="Arial" w:cs="Arial" w:eastAsia="Arial" w:hAnsi="Arial"/>
          <w:sz w:val="18"/>
          <w:szCs w:val="18"/>
          <w:color w:val="auto"/>
        </w:rPr>
        <w:t>. The right of co-sale granted under this Article 29 shall expire upon, and shall not be applicable to, a Qualified IPO.</w:t>
      </w:r>
    </w:p>
    <w:p>
      <w:pPr>
        <w:spacing w:after="0" w:line="143" w:lineRule="exact"/>
        <w:rPr>
          <w:rFonts w:ascii="Arial" w:cs="Arial" w:eastAsia="Arial" w:hAnsi="Arial"/>
          <w:sz w:val="18"/>
          <w:szCs w:val="18"/>
          <w:color w:val="auto"/>
        </w:rPr>
      </w:pPr>
    </w:p>
    <w:p>
      <w:pPr>
        <w:ind w:left="800" w:hanging="369"/>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Article 30 may only be amended by a Special Resolution.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BRING ALONG</w:t>
      </w:r>
    </w:p>
    <w:p>
      <w:pPr>
        <w:spacing w:after="0" w:line="202" w:lineRule="exact"/>
        <w:rPr>
          <w:sz w:val="20"/>
          <w:szCs w:val="20"/>
          <w:color w:val="auto"/>
        </w:rPr>
      </w:pPr>
    </w:p>
    <w:p>
      <w:pPr>
        <w:ind w:left="820" w:right="119" w:hanging="695"/>
        <w:spacing w:after="0" w:line="285" w:lineRule="auto"/>
        <w:tabs>
          <w:tab w:leader="none" w:pos="40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Prior to a Qualified IPO and in accordance with and for the purpose of the provisions of Section 341 of the Law, in the event that a party (including an existing shareholder of the Company or an affiliate of an existing shareholder of the Company) (the “</w:t>
      </w:r>
      <w:r>
        <w:rPr>
          <w:rFonts w:ascii="Arial" w:cs="Arial" w:eastAsia="Arial" w:hAnsi="Arial"/>
          <w:sz w:val="16"/>
          <w:szCs w:val="16"/>
          <w:b w:val="1"/>
          <w:bCs w:val="1"/>
          <w:color w:val="auto"/>
        </w:rPr>
        <w:t>Offeror</w:t>
      </w:r>
      <w:r>
        <w:rPr>
          <w:rFonts w:ascii="Arial" w:cs="Arial" w:eastAsia="Arial" w:hAnsi="Arial"/>
          <w:sz w:val="16"/>
          <w:szCs w:val="16"/>
          <w:color w:val="auto"/>
        </w:rPr>
        <w:t>”) offers to purchase 100% of the outstanding shares of the Company, and such purchase is conditioned upon the sale of all of the outstanding shares of the Company (the “</w:t>
      </w:r>
      <w:r>
        <w:rPr>
          <w:rFonts w:ascii="Arial" w:cs="Arial" w:eastAsia="Arial" w:hAnsi="Arial"/>
          <w:sz w:val="16"/>
          <w:szCs w:val="16"/>
          <w:b w:val="1"/>
          <w:bCs w:val="1"/>
          <w:color w:val="auto"/>
        </w:rPr>
        <w:t>Offer</w:t>
      </w:r>
      <w:r>
        <w:rPr>
          <w:rFonts w:ascii="Arial" w:cs="Arial" w:eastAsia="Arial" w:hAnsi="Arial"/>
          <w:sz w:val="16"/>
          <w:szCs w:val="16"/>
          <w:color w:val="auto"/>
        </w:rPr>
        <w:t>”), and holders of 50% of the Company’s issued and outstanding share capital (on an as converted basis) (the “</w:t>
      </w:r>
      <w:r>
        <w:rPr>
          <w:rFonts w:ascii="Arial" w:cs="Arial" w:eastAsia="Arial" w:hAnsi="Arial"/>
          <w:sz w:val="16"/>
          <w:szCs w:val="16"/>
          <w:b w:val="1"/>
          <w:bCs w:val="1"/>
          <w:color w:val="auto"/>
        </w:rPr>
        <w:t>Majority</w:t>
      </w:r>
      <w:r>
        <w:rPr>
          <w:rFonts w:ascii="Arial" w:cs="Arial" w:eastAsia="Arial" w:hAnsi="Arial"/>
          <w:sz w:val="16"/>
          <w:szCs w:val="16"/>
          <w:color w:val="auto"/>
        </w:rPr>
        <w:t>”) have approved and accepted in writing the Offer within seven (7) calendar days of the general dissemination of such Offer to the shareholders of the Company (the “</w:t>
      </w:r>
      <w:r>
        <w:rPr>
          <w:rFonts w:ascii="Arial" w:cs="Arial" w:eastAsia="Arial" w:hAnsi="Arial"/>
          <w:sz w:val="16"/>
          <w:szCs w:val="16"/>
          <w:b w:val="1"/>
          <w:bCs w:val="1"/>
          <w:color w:val="auto"/>
        </w:rPr>
        <w:t>Bring-Along Transaction</w:t>
      </w:r>
      <w:r>
        <w:rPr>
          <w:rFonts w:ascii="Arial" w:cs="Arial" w:eastAsia="Arial" w:hAnsi="Arial"/>
          <w:sz w:val="16"/>
          <w:szCs w:val="16"/>
          <w:color w:val="auto"/>
        </w:rPr>
        <w:t>”), then the Offeror, or the Company, shall within seven (7) calendar days of the receipt of the consent of the Majority, notify the remaining shareholders (the “</w:t>
      </w:r>
      <w:r>
        <w:rPr>
          <w:rFonts w:ascii="Arial" w:cs="Arial" w:eastAsia="Arial" w:hAnsi="Arial"/>
          <w:sz w:val="16"/>
          <w:szCs w:val="16"/>
          <w:b w:val="1"/>
          <w:bCs w:val="1"/>
          <w:color w:val="auto"/>
        </w:rPr>
        <w:t>Remaining Shareholders</w:t>
      </w:r>
      <w:r>
        <w:rPr>
          <w:rFonts w:ascii="Arial" w:cs="Arial" w:eastAsia="Arial" w:hAnsi="Arial"/>
          <w:sz w:val="16"/>
          <w:szCs w:val="16"/>
          <w:color w:val="auto"/>
        </w:rPr>
        <w:t>”) in writing that the Offeror intends to purchase the shares of the Company held by the Remaining Shareholders (the “</w:t>
      </w:r>
      <w:r>
        <w:rPr>
          <w:rFonts w:ascii="Arial" w:cs="Arial" w:eastAsia="Arial" w:hAnsi="Arial"/>
          <w:sz w:val="16"/>
          <w:szCs w:val="16"/>
          <w:b w:val="1"/>
          <w:bCs w:val="1"/>
          <w:color w:val="auto"/>
        </w:rPr>
        <w:t>Bring-Along Notice</w:t>
      </w:r>
      <w:r>
        <w:rPr>
          <w:rFonts w:ascii="Arial" w:cs="Arial" w:eastAsia="Arial" w:hAnsi="Arial"/>
          <w:sz w:val="16"/>
          <w:szCs w:val="16"/>
          <w:color w:val="auto"/>
        </w:rPr>
        <w:t>”). The Remaining Shareholders hereby agree to sell all of their shares to the Offeror, if and only if the Offeror purchases the shares of the Majority and Remaining Shareholders on the same terms and conditions (including repayment of debts, release from guarantees, escrows, hold-backs of consideration, reductions or set offs in accordance with the Offer) and for the same price per share. The Remaining Shareholders shall vote in favor of any resolution brought before a General Meeting or execute any resolution in writing, in order to consummate the Bring Along Transaction, and to take all necessary steps and actions, including signing all documents and delivery of share certificates, as required to fully effect such transaction, and hereby expressly waive any appraisal rights with respect thereto.</w:t>
      </w:r>
    </w:p>
    <w:p>
      <w:pPr>
        <w:spacing w:after="0" w:line="148" w:lineRule="exact"/>
        <w:rPr>
          <w:rFonts w:ascii="Arial" w:cs="Arial" w:eastAsia="Arial" w:hAnsi="Arial"/>
          <w:sz w:val="16"/>
          <w:szCs w:val="16"/>
          <w:color w:val="auto"/>
        </w:rPr>
      </w:pPr>
    </w:p>
    <w:p>
      <w:pPr>
        <w:jc w:val="both"/>
        <w:ind w:left="800" w:right="119" w:hanging="369"/>
        <w:spacing w:after="0" w:line="273" w:lineRule="auto"/>
        <w:tabs>
          <w:tab w:leader="none" w:pos="78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To the extent that the Offer is made by a person or entity who is an existing shareholder of the Company at the time of the Offer (the “</w:t>
      </w:r>
      <w:r>
        <w:rPr>
          <w:rFonts w:ascii="Arial" w:cs="Arial" w:eastAsia="Arial" w:hAnsi="Arial"/>
          <w:sz w:val="17"/>
          <w:szCs w:val="17"/>
          <w:b w:val="1"/>
          <w:bCs w:val="1"/>
          <w:color w:val="auto"/>
        </w:rPr>
        <w:t>Existing Shareholders</w:t>
      </w:r>
      <w:r>
        <w:rPr>
          <w:rFonts w:ascii="Arial" w:cs="Arial" w:eastAsia="Arial" w:hAnsi="Arial"/>
          <w:sz w:val="17"/>
          <w:szCs w:val="17"/>
          <w:color w:val="auto"/>
        </w:rPr>
        <w:t>”), its Affiliates or by any person or entity holding 25% or more of either the voting rights of such Existing Shareholder or the right to appoint directors to that Existing Shareholder’s Board of Directors, then the Existing Shareholder and its shareholdings shall not be counted towards the Majority, but such Majority shall mean for purpose of this subsection shareholders representing more than 50% of the issued and outstanding share capital of the Company (on an as converted basis).</w:t>
      </w:r>
    </w:p>
    <w:p>
      <w:pPr>
        <w:spacing w:after="0" w:line="151" w:lineRule="exact"/>
        <w:rPr>
          <w:rFonts w:ascii="Arial" w:cs="Arial" w:eastAsia="Arial" w:hAnsi="Arial"/>
          <w:sz w:val="17"/>
          <w:szCs w:val="17"/>
          <w:color w:val="auto"/>
        </w:rPr>
      </w:pPr>
    </w:p>
    <w:p>
      <w:pPr>
        <w:jc w:val="both"/>
        <w:ind w:left="800" w:right="119" w:hanging="369"/>
        <w:spacing w:after="0" w:line="259" w:lineRule="auto"/>
        <w:tabs>
          <w:tab w:leader="none" w:pos="82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the event that the Offer made by the Offeror is to be consummated within 24 months from the Original Purchase Date, then, only in such case, the Majority for the purposes of subsection 31(a) above (subject to the provisions of subsection (b) above), shall be shareholders representing 70% of the issued and outstanding share capital of the Company (on an as converted basis).</w:t>
      </w:r>
    </w:p>
    <w:p>
      <w:pPr>
        <w:spacing w:after="0" w:line="159" w:lineRule="exact"/>
        <w:rPr>
          <w:rFonts w:ascii="Arial" w:cs="Arial" w:eastAsia="Arial" w:hAnsi="Arial"/>
          <w:sz w:val="18"/>
          <w:szCs w:val="18"/>
          <w:color w:val="auto"/>
        </w:rPr>
      </w:pPr>
    </w:p>
    <w:p>
      <w:pPr>
        <w:jc w:val="both"/>
        <w:ind w:left="800" w:right="119" w:hanging="369"/>
        <w:spacing w:after="0" w:line="273" w:lineRule="auto"/>
        <w:tabs>
          <w:tab w:leader="none" w:pos="81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Offeror may elect to make payment of the consideration due to the Remaining Shareholders, or any part thereof, to the Company, in which case, within seven (7) calendar days of the receipt by the Company of such consideration, the Company shall transfer the consideration to the applicable shareholders in accordance with the provisions of Article 7(b); and subject to receipt of consideration by the Remaining Shareholders or by the Company for their benefit, the Company shall register the Offeror as the owner of such shares, whether or not the share certificates representing such shares were returned to the Company.</w:t>
      </w:r>
    </w:p>
    <w:p>
      <w:pPr>
        <w:spacing w:after="0" w:line="151" w:lineRule="exact"/>
        <w:rPr>
          <w:rFonts w:ascii="Arial" w:cs="Arial" w:eastAsia="Arial" w:hAnsi="Arial"/>
          <w:sz w:val="17"/>
          <w:szCs w:val="17"/>
          <w:color w:val="auto"/>
        </w:rPr>
      </w:pPr>
    </w:p>
    <w:p>
      <w:pPr>
        <w:jc w:val="both"/>
        <w:ind w:left="800" w:right="119" w:hanging="369"/>
        <w:spacing w:after="0" w:line="255" w:lineRule="auto"/>
        <w:tabs>
          <w:tab w:leader="none" w:pos="75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With respect to each purchase of shares in an Offer pursuant to this Article 31, the purchase price for the shares so purchased shall be paid in full at such closing in cash or by certified check payable to the order of the shareholder against delivery of the appropriate certificates or instruments evidencing such shares, duly endorsed or with duly executed share powers attached thereto. Shares delivered at such closing shall be free and clear of all security interests and all title thereto, and all rights and privileges of ownership thereof, immediately shall be vested in the acquirer of such shares.</w:t>
      </w:r>
    </w:p>
    <w:p>
      <w:pPr>
        <w:spacing w:after="0" w:line="166" w:lineRule="exact"/>
        <w:rPr>
          <w:rFonts w:ascii="Arial" w:cs="Arial" w:eastAsia="Arial" w:hAnsi="Arial"/>
          <w:sz w:val="18"/>
          <w:szCs w:val="18"/>
          <w:color w:val="auto"/>
        </w:rPr>
      </w:pPr>
    </w:p>
    <w:p>
      <w:pPr>
        <w:jc w:val="both"/>
        <w:ind w:left="800" w:right="119" w:hanging="369"/>
        <w:spacing w:after="0" w:line="271" w:lineRule="auto"/>
        <w:tabs>
          <w:tab w:leader="none" w:pos="815"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only representations, warranties or indemnities that the Remaining Shareholders shall be required to make in connection with the Offeror’s offer are representations, warranties and indemnities in the same form as those to be given by each of the other shareholders of the Company, and the total liability of the Remaining Shareholders shall in all cases be limited to no greater than the lower of: (A) the Remaining Shareholders’s pro rata portion of the total liability; and (B) the Remaining Shareholders’ pro rata portion of the consideration (for these purposes, “pro rata portion” shall mean a fraction, the numerator of which is the consideration payable to the Remaining Shareholders in the transaction and the denominator of which is the aggregate consideration payable to all shareholders of the Company in the transaction).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8" w:name="page169"/>
    <w:bookmarkEnd w:id="168"/>
    <w:p>
      <w:pPr>
        <w:ind w:left="800" w:right="119" w:hanging="369"/>
        <w:spacing w:after="0" w:line="308" w:lineRule="auto"/>
        <w:tabs>
          <w:tab w:leader="none" w:pos="79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This Article 31 may only be amended by a Special Resolution (as defined herein), except for an amendment in connection with a Qualified Investment, in which case a Special Resolution shall not be required.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CALLS</w:t>
      </w:r>
    </w:p>
    <w:p>
      <w:pPr>
        <w:spacing w:after="0" w:line="202" w:lineRule="exact"/>
        <w:rPr>
          <w:sz w:val="20"/>
          <w:szCs w:val="20"/>
          <w:color w:val="auto"/>
        </w:rPr>
      </w:pPr>
    </w:p>
    <w:p>
      <w:pPr>
        <w:jc w:val="both"/>
        <w:ind w:left="440" w:right="119" w:hanging="315"/>
        <w:spacing w:after="0" w:line="312" w:lineRule="auto"/>
        <w:tabs>
          <w:tab w:leader="none" w:pos="40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member shall not be entitled to receive dividends nor to use any right a member has, unless he has paid all the calls that shall be made from time to time, with respect of money unpaid on all of his shares, whether he is the sole holder or holds the shares together with another person, in addition to interest and expenses if there shall be any.</w:t>
      </w:r>
    </w:p>
    <w:p>
      <w:pPr>
        <w:spacing w:after="0" w:line="106" w:lineRule="exact"/>
        <w:rPr>
          <w:rFonts w:ascii="Arial" w:cs="Arial" w:eastAsia="Arial" w:hAnsi="Arial"/>
          <w:sz w:val="16"/>
          <w:szCs w:val="16"/>
          <w:color w:val="auto"/>
        </w:rPr>
      </w:pPr>
    </w:p>
    <w:p>
      <w:pPr>
        <w:jc w:val="both"/>
        <w:ind w:left="440" w:right="119" w:hanging="315"/>
        <w:spacing w:after="0" w:line="257" w:lineRule="auto"/>
        <w:tabs>
          <w:tab w:leader="none" w:pos="4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Board of Directors may, subject to the provisions of these Articles, make calls upon the members from time to time in respect of any moneys unpaid on their shares, as they shall determine proper, upon the condition that there shall be given prior notice of fourteen (14) business days on every call and each member shall be obligated to pay the total amount requested from him, or the installment on account of the call (if there shall so be) at the times and places to be determined by the Board of Directors.</w:t>
      </w:r>
    </w:p>
    <w:p>
      <w:pPr>
        <w:spacing w:after="0" w:line="147" w:lineRule="exact"/>
        <w:rPr>
          <w:rFonts w:ascii="Arial" w:cs="Arial" w:eastAsia="Arial" w:hAnsi="Arial"/>
          <w:sz w:val="18"/>
          <w:szCs w:val="18"/>
          <w:color w:val="auto"/>
        </w:rPr>
      </w:pPr>
    </w:p>
    <w:p>
      <w:pPr>
        <w:ind w:left="440" w:right="119" w:hanging="315"/>
        <w:spacing w:after="0" w:line="277" w:lineRule="auto"/>
        <w:tabs>
          <w:tab w:leader="none" w:pos="4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calls for payment shall be deemed to have been requested from the date the Board of Directors shall have decided upon the calls for payment.</w:t>
      </w:r>
    </w:p>
    <w:p>
      <w:pPr>
        <w:spacing w:after="0" w:line="143" w:lineRule="exact"/>
        <w:rPr>
          <w:rFonts w:ascii="Arial" w:cs="Arial" w:eastAsia="Arial" w:hAnsi="Arial"/>
          <w:sz w:val="18"/>
          <w:szCs w:val="18"/>
          <w:color w:val="auto"/>
        </w:rPr>
      </w:pPr>
    </w:p>
    <w:p>
      <w:pPr>
        <w:ind w:left="440" w:right="119" w:hanging="315"/>
        <w:spacing w:after="0" w:line="277" w:lineRule="auto"/>
        <w:tabs>
          <w:tab w:leader="none" w:pos="4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the calls for payment in full and the installment on account, in connection with such calls.</w:t>
      </w:r>
    </w:p>
    <w:p>
      <w:pPr>
        <w:spacing w:after="0" w:line="129" w:lineRule="exact"/>
        <w:rPr>
          <w:rFonts w:ascii="Arial" w:cs="Arial" w:eastAsia="Arial" w:hAnsi="Arial"/>
          <w:sz w:val="18"/>
          <w:szCs w:val="18"/>
          <w:color w:val="auto"/>
        </w:rPr>
      </w:pPr>
    </w:p>
    <w:p>
      <w:pPr>
        <w:jc w:val="both"/>
        <w:ind w:left="440" w:right="119" w:hanging="315"/>
        <w:spacing w:after="0" w:line="257" w:lineRule="auto"/>
        <w:tabs>
          <w:tab w:leader="none" w:pos="40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the holders of the share or the person to whom it has been issued shall be liable to pay interest and linkage differentials (hereinafter “</w:t>
      </w:r>
      <w:r>
        <w:rPr>
          <w:rFonts w:ascii="Arial" w:cs="Arial" w:eastAsia="Arial" w:hAnsi="Arial"/>
          <w:sz w:val="18"/>
          <w:szCs w:val="18"/>
          <w:b w:val="1"/>
          <w:bCs w:val="1"/>
          <w:color w:val="auto"/>
        </w:rPr>
        <w:t>interest</w:t>
      </w:r>
      <w:r>
        <w:rPr>
          <w:rFonts w:ascii="Arial" w:cs="Arial" w:eastAsia="Arial" w:hAnsi="Arial"/>
          <w:sz w:val="18"/>
          <w:szCs w:val="18"/>
          <w:color w:val="auto"/>
        </w:rPr>
        <w:t>”) upon the amount of the call or the payments on account, as determined by the Board of Directors commencing from the day appointed for the payment thereof to the time of actual payment, but the Board of Directors shall be at liberty to waive payment of that interest, wholly or in part.</w:t>
      </w:r>
    </w:p>
    <w:p>
      <w:pPr>
        <w:spacing w:after="0" w:line="147" w:lineRule="exact"/>
        <w:rPr>
          <w:rFonts w:ascii="Arial" w:cs="Arial" w:eastAsia="Arial" w:hAnsi="Arial"/>
          <w:sz w:val="18"/>
          <w:szCs w:val="18"/>
          <w:color w:val="auto"/>
        </w:rPr>
      </w:pPr>
    </w:p>
    <w:p>
      <w:pPr>
        <w:jc w:val="both"/>
        <w:ind w:left="440" w:right="119" w:hanging="315"/>
        <w:spacing w:after="0" w:line="255" w:lineRule="auto"/>
        <w:tabs>
          <w:tab w:leader="none" w:pos="4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amount that according to the condition of issuance of a share must be paid at the time of issuance or at a fixed date, whether on account of the sum of the share or premium, shall be deemed for the purposes of these Articles to be a call of payment that was made duly and the date of payment shall be the date appointed for payment. In the event of non-payment of this amount all of the Articles herein dealing with payment of interest, expenses, forfeiture, pledge and the like and all the other Articles connected therewith, shall apply, as if this sum had been duly requested and notice had been given, as aforesaid.</w:t>
      </w:r>
    </w:p>
    <w:p>
      <w:pPr>
        <w:spacing w:after="0" w:line="166" w:lineRule="exact"/>
        <w:rPr>
          <w:rFonts w:ascii="Arial" w:cs="Arial" w:eastAsia="Arial" w:hAnsi="Arial"/>
          <w:sz w:val="18"/>
          <w:szCs w:val="18"/>
          <w:color w:val="auto"/>
        </w:rPr>
      </w:pPr>
    </w:p>
    <w:p>
      <w:pPr>
        <w:ind w:left="440" w:right="119" w:hanging="315"/>
        <w:spacing w:after="0" w:line="308" w:lineRule="auto"/>
        <w:tabs>
          <w:tab w:leader="none" w:pos="41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Board of Directors may make arrangements at the time of issue of shares for a difference between the holders with respect to the amount of calls to be paid and the times of payment, and the rate of interest.</w:t>
      </w:r>
    </w:p>
    <w:p>
      <w:pPr>
        <w:spacing w:after="0" w:line="106" w:lineRule="exact"/>
        <w:rPr>
          <w:rFonts w:ascii="Arial" w:cs="Arial" w:eastAsia="Arial" w:hAnsi="Arial"/>
          <w:sz w:val="17"/>
          <w:szCs w:val="17"/>
          <w:color w:val="auto"/>
        </w:rPr>
      </w:pPr>
    </w:p>
    <w:p>
      <w:pPr>
        <w:jc w:val="both"/>
        <w:ind w:left="440" w:right="119" w:hanging="315"/>
        <w:spacing w:after="0" w:line="255" w:lineRule="auto"/>
        <w:tabs>
          <w:tab w:leader="none" w:pos="42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Board of Directors may, in its sole discretion, receive from any member willing to pay in advance all of the monies or a part thereof that shall be due on account of his shares, in addition to any amounts that the payment in fact has been requested and they shall be permitted to pay him interest at the rate the Board of Directors and member shall agree upon, for the amounts paid in advance as aforesaid, or upon the part thereof which is in excess of the amounts whose payment was at the time requested on account of his shares in connection with which the payments have been made in advance, in addition to paying dividends that will be paid for that part of the shares which has been paid in advance.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FORFEITURE OF SHARES</w:t>
      </w:r>
    </w:p>
    <w:p>
      <w:pPr>
        <w:spacing w:after="0" w:line="202" w:lineRule="exact"/>
        <w:rPr>
          <w:sz w:val="20"/>
          <w:szCs w:val="20"/>
          <w:color w:val="auto"/>
        </w:rPr>
      </w:pPr>
    </w:p>
    <w:p>
      <w:pPr>
        <w:jc w:val="both"/>
        <w:ind w:left="440" w:right="119" w:hanging="315"/>
        <w:spacing w:after="0" w:line="279" w:lineRule="auto"/>
        <w:tabs>
          <w:tab w:leader="none" w:pos="42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a member fails to pay any call or installment of a call on the day appointed for payment thereof, the Board of Directors may, at any time thereafter during such time as any part of such call or installment remains unpaid, serve a notice on him requiring payment of so much of the call or installment as is unpaid, together with any interest which may have accrued and any expenses that were incurred as a result of such non-payment.</w:t>
      </w:r>
    </w:p>
    <w:p>
      <w:pPr>
        <w:spacing w:after="0" w:line="130" w:lineRule="exact"/>
        <w:rPr>
          <w:rFonts w:ascii="Arial" w:cs="Arial" w:eastAsia="Arial" w:hAnsi="Arial"/>
          <w:sz w:val="17"/>
          <w:szCs w:val="17"/>
          <w:color w:val="auto"/>
        </w:rPr>
      </w:pPr>
    </w:p>
    <w:p>
      <w:pPr>
        <w:jc w:val="both"/>
        <w:ind w:left="440" w:right="119" w:hanging="315"/>
        <w:spacing w:after="0" w:line="257" w:lineRule="auto"/>
        <w:tabs>
          <w:tab w:leader="none" w:pos="40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seven (7) days from the date of the notice, on or before which the amount of the call or installment or a part thereof is to be made together with interest and any expenses incurred as a result of such non-payment. The notice shall also state the place the payment is to be made and that in the event of non-payment, at or before the time appointed, the shares in respect of which the call was made will be liable to be forfeited.</w:t>
      </w:r>
    </w:p>
    <w:p>
      <w:pPr>
        <w:spacing w:after="0" w:line="147" w:lineRule="exact"/>
        <w:rPr>
          <w:rFonts w:ascii="Arial" w:cs="Arial" w:eastAsia="Arial" w:hAnsi="Arial"/>
          <w:sz w:val="18"/>
          <w:szCs w:val="18"/>
          <w:color w:val="auto"/>
        </w:rPr>
      </w:pPr>
    </w:p>
    <w:p>
      <w:pPr>
        <w:jc w:val="both"/>
        <w:ind w:left="440" w:right="119" w:hanging="315"/>
        <w:spacing w:after="0" w:line="259" w:lineRule="auto"/>
        <w:tabs>
          <w:tab w:leader="none" w:pos="4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Board of Directors to that effect. The forfeiture shall include those dividends that were declared but not yet distributed, with respect to the forfeited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jc w:val="both"/>
        <w:ind w:left="440" w:right="119" w:hanging="315"/>
        <w:spacing w:after="0" w:line="286" w:lineRule="auto"/>
        <w:tabs>
          <w:tab w:leader="none" w:pos="40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share so forfeited shall be deemed to be the property of the Company and can be sold or otherwise disposed of, on such terms and in such manner as determined by the Board of Directors. At any time before a sale or disposition the forfeiture may be canceled on such terms as determined by the Board of Directors.</w:t>
      </w:r>
    </w:p>
    <w:p>
      <w:pPr>
        <w:spacing w:after="0" w:line="165" w:lineRule="exact"/>
        <w:rPr>
          <w:rFonts w:ascii="Arial" w:cs="Arial" w:eastAsia="Arial" w:hAnsi="Arial"/>
          <w:sz w:val="17"/>
          <w:szCs w:val="17"/>
          <w:color w:val="auto"/>
        </w:rPr>
      </w:pPr>
    </w:p>
    <w:p>
      <w:pPr>
        <w:jc w:val="both"/>
        <w:ind w:left="440" w:right="119" w:hanging="315"/>
        <w:spacing w:after="0" w:line="259" w:lineRule="auto"/>
        <w:tabs>
          <w:tab w:leader="none" w:pos="4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in respect of the forfeited shares, but shall notwithstanding remain liable to pay to the Company all monies which, at the date of forfeiture, were presently payable by him to the Company in respect of the shares, but his liability shall cease if and when the Company receives payment in full of the nominal amount of the shares.</w:t>
      </w:r>
    </w:p>
    <w:p>
      <w:pPr>
        <w:spacing w:after="0" w:line="186" w:lineRule="exact"/>
        <w:rPr>
          <w:rFonts w:ascii="Arial" w:cs="Arial" w:eastAsia="Arial" w:hAnsi="Arial"/>
          <w:sz w:val="18"/>
          <w:szCs w:val="18"/>
          <w:color w:val="auto"/>
        </w:rPr>
      </w:pPr>
    </w:p>
    <w:p>
      <w:pPr>
        <w:jc w:val="both"/>
        <w:ind w:left="440" w:right="119" w:hanging="315"/>
        <w:spacing w:after="0" w:line="259" w:lineRule="auto"/>
        <w:tabs>
          <w:tab w:leader="none" w:pos="4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forfeiture of a share shall cause, at the time of forfeiture, the cancellation of all rights in the Company or any claim or demand against it with respect to that share and the other rights and obligations between the share owner and the Company accompanying the share, except for those rights and obligations not included in such a cancellation according to these Articles or that the Law imposes upon former members.</w:t>
      </w:r>
    </w:p>
    <w:p>
      <w:pPr>
        <w:spacing w:after="0" w:line="186" w:lineRule="exact"/>
        <w:rPr>
          <w:rFonts w:ascii="Arial" w:cs="Arial" w:eastAsia="Arial" w:hAnsi="Arial"/>
          <w:sz w:val="18"/>
          <w:szCs w:val="18"/>
          <w:color w:val="auto"/>
        </w:rPr>
      </w:pPr>
    </w:p>
    <w:p>
      <w:pPr>
        <w:jc w:val="both"/>
        <w:ind w:left="440" w:right="119" w:hanging="315"/>
        <w:spacing w:after="0" w:line="286" w:lineRule="auto"/>
        <w:tabs>
          <w:tab w:leader="none" w:pos="42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provisions of these Articles as to forfeiture shall apply in the case of non-payment of any sum which, by the terms of issue of a share, becomes payable at a fixed time, whether on account of the nominal value amount of the share, or by way of premium, as if the same had been payable by virtue of a call duly made and notified.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MODIFICATION OF CAPITAL</w:t>
      </w:r>
    </w:p>
    <w:p>
      <w:pPr>
        <w:spacing w:after="0" w:line="229" w:lineRule="exact"/>
        <w:rPr>
          <w:sz w:val="20"/>
          <w:szCs w:val="20"/>
          <w:color w:val="auto"/>
        </w:rPr>
      </w:pPr>
    </w:p>
    <w:p>
      <w:pPr>
        <w:ind w:left="440" w:right="119" w:hanging="315"/>
        <w:spacing w:after="0" w:line="277" w:lineRule="auto"/>
        <w:tabs>
          <w:tab w:leader="none" w:pos="42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Subject to the provisions of these Articles, including without limitation the provisions of Article 15, the Company may, from time to time, by an ordinary resolution of its shareholders:</w:t>
      </w:r>
    </w:p>
    <w:p>
      <w:pPr>
        <w:spacing w:after="0" w:line="116" w:lineRule="exact"/>
        <w:rPr>
          <w:rFonts w:ascii="Arial" w:cs="Arial" w:eastAsia="Arial" w:hAnsi="Arial"/>
          <w:sz w:val="18"/>
          <w:szCs w:val="18"/>
          <w:color w:val="auto"/>
        </w:rPr>
      </w:pPr>
    </w:p>
    <w:p>
      <w:pPr>
        <w:ind w:left="800" w:right="119" w:hanging="369"/>
        <w:spacing w:after="0" w:line="277" w:lineRule="auto"/>
        <w:tabs>
          <w:tab w:leader="none" w:pos="7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consolidate and divide all or any of its issued or unissued share capital into shares of larger nominal value than its existing shares;</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cancel any shares which have not been issued and/or taken or agreed to be taken by any person;</w:t>
      </w:r>
    </w:p>
    <w:p>
      <w:pPr>
        <w:spacing w:after="0" w:line="171" w:lineRule="exact"/>
        <w:rPr>
          <w:rFonts w:ascii="Arial" w:cs="Arial" w:eastAsia="Arial" w:hAnsi="Arial"/>
          <w:sz w:val="18"/>
          <w:szCs w:val="18"/>
          <w:color w:val="auto"/>
        </w:rPr>
      </w:pPr>
    </w:p>
    <w:p>
      <w:pPr>
        <w:jc w:val="both"/>
        <w:ind w:left="800" w:right="119" w:hanging="369"/>
        <w:spacing w:after="0" w:line="276" w:lineRule="auto"/>
        <w:tabs>
          <w:tab w:leader="none" w:pos="7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by subdivision of its existing shares, or any of them, divide the whole, or any part, of its share capital into shares of smaller amounts than is fixed in Article 6 above, subject, nevertheless, to the provisions of the Law and in a manner that with respect to the shares created as a result of the division it will be possible within the resolution of division to grant to one or more shares a preferable right or advantage with respect to dividend, capital, voting or otherwise over the remaining share or other similar shares;</w:t>
      </w:r>
    </w:p>
    <w:p>
      <w:pPr>
        <w:spacing w:after="0" w:line="118" w:lineRule="exact"/>
        <w:rPr>
          <w:rFonts w:ascii="Arial" w:cs="Arial" w:eastAsia="Arial" w:hAnsi="Arial"/>
          <w:sz w:val="17"/>
          <w:szCs w:val="17"/>
          <w:color w:val="auto"/>
        </w:rPr>
      </w:pPr>
    </w:p>
    <w:p>
      <w:pPr>
        <w:ind w:left="800" w:right="119" w:hanging="369"/>
        <w:spacing w:after="0" w:line="277" w:lineRule="auto"/>
        <w:tabs>
          <w:tab w:leader="none" w:pos="83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reduce its share capital and any fund reserved for capital redemption in the manner that it shall deem to be correct Law under the Law.</w:t>
      </w:r>
    </w:p>
    <w:p>
      <w:pPr>
        <w:spacing w:after="0" w:line="116" w:lineRule="exact"/>
        <w:rPr>
          <w:rFonts w:ascii="Arial" w:cs="Arial" w:eastAsia="Arial" w:hAnsi="Arial"/>
          <w:sz w:val="18"/>
          <w:szCs w:val="18"/>
          <w:color w:val="auto"/>
        </w:rPr>
      </w:pPr>
    </w:p>
    <w:p>
      <w:pPr>
        <w:ind w:left="760" w:hanging="329"/>
        <w:spacing w:after="0"/>
        <w:tabs>
          <w:tab w:leader="none" w:pos="7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issue redeemable shares and redeem the same, subject to the Law and any other applicable Law.</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INCREASE OF SHARE CAPITAL</w:t>
      </w:r>
    </w:p>
    <w:p>
      <w:pPr>
        <w:spacing w:after="0" w:line="229" w:lineRule="exact"/>
        <w:rPr>
          <w:sz w:val="20"/>
          <w:szCs w:val="20"/>
          <w:color w:val="auto"/>
        </w:rPr>
      </w:pPr>
    </w:p>
    <w:p>
      <w:pPr>
        <w:jc w:val="both"/>
        <w:ind w:left="440" w:right="119" w:hanging="315"/>
        <w:spacing w:after="0" w:line="255" w:lineRule="auto"/>
        <w:tabs>
          <w:tab w:leader="none" w:pos="42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shall be permitted, from time to time, by a shareholder’s resolution, to increase its share capital — whether or not all its shares have been issued, or whether the shares issued have been paid in full — by creation of new shares. This new capital shall be in such an amount, divided into shares in such amounts and have such preferable or deferred or other special rights (subject always to the special rights conferred upon an existing class of share), subject to any condition and restrictions with respect to dividends, return of capital, voting or otherwise, all as shall be directed by the General Meeting in its resolution sanctioning the increase of the share capital.</w:t>
      </w:r>
    </w:p>
    <w:p>
      <w:pPr>
        <w:spacing w:after="0" w:line="189" w:lineRule="exact"/>
        <w:rPr>
          <w:rFonts w:ascii="Arial" w:cs="Arial" w:eastAsia="Arial" w:hAnsi="Arial"/>
          <w:sz w:val="18"/>
          <w:szCs w:val="18"/>
          <w:color w:val="auto"/>
        </w:rPr>
      </w:pPr>
    </w:p>
    <w:p>
      <w:pPr>
        <w:jc w:val="both"/>
        <w:ind w:left="440" w:right="119" w:hanging="315"/>
        <w:spacing w:after="0" w:line="279" w:lineRule="auto"/>
        <w:tabs>
          <w:tab w:leader="none" w:pos="43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Subject to the provisions of these Articles, and further subject to any decision to the contrary in the resolution sanctioning the increase in share capital, pursuant to these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 MEETINGS AND CLASS MEETINGS</w:t>
      </w:r>
    </w:p>
    <w:p>
      <w:pPr>
        <w:spacing w:after="0" w:line="229" w:lineRule="exact"/>
        <w:rPr>
          <w:sz w:val="20"/>
          <w:szCs w:val="20"/>
          <w:color w:val="auto"/>
        </w:rPr>
      </w:pPr>
    </w:p>
    <w:p>
      <w:pPr>
        <w:jc w:val="both"/>
        <w:ind w:left="440" w:right="119" w:hanging="315"/>
        <w:spacing w:after="0" w:line="264" w:lineRule="auto"/>
        <w:tabs>
          <w:tab w:leader="none" w:pos="4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annual meeting shall be held once in every year at such time, being not more than fifteen (15) months after the holding of the last preceding annual meeting, and place as may be prescribed by the Board of Directors. The above mentioned annual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0" w:name="page171"/>
    <w:bookmarkEnd w:id="170"/>
    <w:p>
      <w:pPr>
        <w:jc w:val="both"/>
        <w:ind w:left="440" w:right="119"/>
        <w:spacing w:after="0" w:line="261" w:lineRule="auto"/>
        <w:rPr>
          <w:sz w:val="20"/>
          <w:szCs w:val="20"/>
          <w:color w:val="auto"/>
        </w:rPr>
      </w:pPr>
      <w:r>
        <w:rPr>
          <w:rFonts w:ascii="Arial" w:cs="Arial" w:eastAsia="Arial" w:hAnsi="Arial"/>
          <w:sz w:val="18"/>
          <w:szCs w:val="18"/>
          <w:color w:val="auto"/>
        </w:rPr>
        <w:t>meetings shall be called “</w:t>
      </w:r>
      <w:r>
        <w:rPr>
          <w:rFonts w:ascii="Arial" w:cs="Arial" w:eastAsia="Arial" w:hAnsi="Arial"/>
          <w:sz w:val="18"/>
          <w:szCs w:val="18"/>
          <w:b w:val="1"/>
          <w:bCs w:val="1"/>
          <w:color w:val="auto"/>
        </w:rPr>
        <w:t>Annual Meetings</w:t>
      </w:r>
      <w:r>
        <w:rPr>
          <w:rFonts w:ascii="Arial" w:cs="Arial" w:eastAsia="Arial" w:hAnsi="Arial"/>
          <w:sz w:val="18"/>
          <w:szCs w:val="18"/>
          <w:color w:val="auto"/>
        </w:rPr>
        <w:t>” or “</w:t>
      </w:r>
      <w:r>
        <w:rPr>
          <w:rFonts w:ascii="Arial" w:cs="Arial" w:eastAsia="Arial" w:hAnsi="Arial"/>
          <w:sz w:val="18"/>
          <w:szCs w:val="18"/>
          <w:b w:val="1"/>
          <w:bCs w:val="1"/>
          <w:color w:val="auto"/>
        </w:rPr>
        <w:t>Ordinary Meetings</w:t>
      </w:r>
      <w:r>
        <w:rPr>
          <w:rFonts w:ascii="Arial" w:cs="Arial" w:eastAsia="Arial" w:hAnsi="Arial"/>
          <w:sz w:val="18"/>
          <w:szCs w:val="18"/>
          <w:color w:val="auto"/>
        </w:rPr>
        <w:t>”. All other shareholders meetings shall be called “</w:t>
      </w:r>
      <w:r>
        <w:rPr>
          <w:rFonts w:ascii="Arial" w:cs="Arial" w:eastAsia="Arial" w:hAnsi="Arial"/>
          <w:sz w:val="18"/>
          <w:szCs w:val="18"/>
          <w:b w:val="1"/>
          <w:bCs w:val="1"/>
          <w:color w:val="auto"/>
        </w:rPr>
        <w:t>Extraordinary Meetings</w:t>
      </w:r>
      <w:r>
        <w:rPr>
          <w:rFonts w:ascii="Arial" w:cs="Arial" w:eastAsia="Arial" w:hAnsi="Arial"/>
          <w:sz w:val="18"/>
          <w:szCs w:val="18"/>
          <w:color w:val="auto"/>
        </w:rPr>
        <w:t>.” An Annual Meeting, Ordinary Meeting or an Extraordinary Meeting of the shareholders shall be referred to as “</w:t>
      </w:r>
      <w:r>
        <w:rPr>
          <w:rFonts w:ascii="Arial" w:cs="Arial" w:eastAsia="Arial" w:hAnsi="Arial"/>
          <w:sz w:val="18"/>
          <w:szCs w:val="18"/>
          <w:b w:val="1"/>
          <w:bCs w:val="1"/>
          <w:color w:val="auto"/>
        </w:rPr>
        <w:t>General Meeting</w:t>
      </w:r>
      <w:r>
        <w:rPr>
          <w:rFonts w:ascii="Arial" w:cs="Arial" w:eastAsia="Arial" w:hAnsi="Arial"/>
          <w:sz w:val="18"/>
          <w:szCs w:val="18"/>
          <w:color w:val="auto"/>
        </w:rPr>
        <w:t>”. A meeting of holders of a class of shares shall be referred to as a “</w:t>
      </w:r>
      <w:r>
        <w:rPr>
          <w:rFonts w:ascii="Arial" w:cs="Arial" w:eastAsia="Arial" w:hAnsi="Arial"/>
          <w:sz w:val="18"/>
          <w:szCs w:val="18"/>
          <w:b w:val="1"/>
          <w:bCs w:val="1"/>
          <w:color w:val="auto"/>
        </w:rPr>
        <w:t>Class Meeting</w:t>
      </w:r>
      <w:r>
        <w:rPr>
          <w:rFonts w:ascii="Arial" w:cs="Arial" w:eastAsia="Arial" w:hAnsi="Arial"/>
          <w:sz w:val="18"/>
          <w:szCs w:val="18"/>
          <w:color w:val="auto"/>
        </w:rPr>
        <w:t>” or a “</w:t>
      </w:r>
      <w:r>
        <w:rPr>
          <w:rFonts w:ascii="Arial" w:cs="Arial" w:eastAsia="Arial" w:hAnsi="Arial"/>
          <w:sz w:val="18"/>
          <w:szCs w:val="18"/>
          <w:b w:val="1"/>
          <w:bCs w:val="1"/>
          <w:color w:val="auto"/>
        </w:rPr>
        <w:t>Category Meeting</w:t>
      </w:r>
      <w:r>
        <w:rPr>
          <w:rFonts w:ascii="Arial" w:cs="Arial" w:eastAsia="Arial" w:hAnsi="Arial"/>
          <w:sz w:val="18"/>
          <w:szCs w:val="18"/>
          <w:color w:val="auto"/>
        </w:rPr>
        <w:t>.”</w:t>
      </w:r>
    </w:p>
    <w:p>
      <w:pPr>
        <w:spacing w:after="0" w:line="144" w:lineRule="exact"/>
        <w:rPr>
          <w:sz w:val="20"/>
          <w:szCs w:val="20"/>
          <w:color w:val="auto"/>
        </w:rPr>
      </w:pPr>
    </w:p>
    <w:p>
      <w:pPr>
        <w:ind w:left="460" w:right="119"/>
        <w:spacing w:after="0" w:line="277" w:lineRule="auto"/>
        <w:rPr>
          <w:sz w:val="20"/>
          <w:szCs w:val="20"/>
          <w:color w:val="auto"/>
        </w:rPr>
      </w:pPr>
      <w:r>
        <w:rPr>
          <w:rFonts w:ascii="Arial" w:cs="Arial" w:eastAsia="Arial" w:hAnsi="Arial"/>
          <w:sz w:val="18"/>
          <w:szCs w:val="18"/>
          <w:color w:val="auto"/>
        </w:rPr>
        <w:t xml:space="preserve">The provisions of the Articles relating to General Meetings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any separate Class Meeting.</w:t>
      </w:r>
    </w:p>
    <w:p>
      <w:pPr>
        <w:spacing w:after="0" w:line="143" w:lineRule="exact"/>
        <w:rPr>
          <w:sz w:val="20"/>
          <w:szCs w:val="20"/>
          <w:color w:val="auto"/>
        </w:rPr>
      </w:pPr>
    </w:p>
    <w:p>
      <w:pPr>
        <w:ind w:left="460" w:right="119"/>
        <w:spacing w:after="0" w:line="277" w:lineRule="auto"/>
        <w:rPr>
          <w:sz w:val="20"/>
          <w:szCs w:val="20"/>
          <w:color w:val="auto"/>
        </w:rPr>
      </w:pPr>
      <w:r>
        <w:rPr>
          <w:rFonts w:ascii="Arial" w:cs="Arial" w:eastAsia="Arial" w:hAnsi="Arial"/>
          <w:sz w:val="18"/>
          <w:szCs w:val="18"/>
          <w:color w:val="auto"/>
        </w:rPr>
        <w:t>In addition to any other requirements under these Articles or under the Law or under any other applicable law, the following resolutions shall be adopted by a General Meeting of the Company.</w:t>
      </w:r>
    </w:p>
    <w:p>
      <w:pPr>
        <w:spacing w:after="0" w:line="130" w:lineRule="exact"/>
        <w:rPr>
          <w:sz w:val="20"/>
          <w:szCs w:val="20"/>
          <w:color w:val="auto"/>
        </w:rPr>
      </w:pPr>
    </w:p>
    <w:p>
      <w:pPr>
        <w:ind w:left="760" w:hanging="329"/>
        <w:spacing w:after="0"/>
        <w:tabs>
          <w:tab w:leader="none" w:pos="7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changes in the Articles, as specified in Section 20 of the Law;</w:t>
      </w:r>
    </w:p>
    <w:p>
      <w:pPr>
        <w:spacing w:after="0" w:line="171" w:lineRule="exact"/>
        <w:rPr>
          <w:rFonts w:ascii="Arial" w:cs="Arial" w:eastAsia="Arial" w:hAnsi="Arial"/>
          <w:sz w:val="18"/>
          <w:szCs w:val="18"/>
          <w:color w:val="auto"/>
        </w:rPr>
      </w:pPr>
    </w:p>
    <w:p>
      <w:pPr>
        <w:ind w:left="780" w:hanging="349"/>
        <w:spacing w:after="0"/>
        <w:tabs>
          <w:tab w:leader="none" w:pos="7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exercise of the powers of the Board of Directors in accordance with the provisions of Section 52(a) of the Law;</w:t>
      </w:r>
    </w:p>
    <w:p>
      <w:pPr>
        <w:spacing w:after="0" w:line="194" w:lineRule="exact"/>
        <w:rPr>
          <w:rFonts w:ascii="Arial" w:cs="Arial" w:eastAsia="Arial" w:hAnsi="Arial"/>
          <w:sz w:val="16"/>
          <w:szCs w:val="16"/>
          <w:color w:val="auto"/>
        </w:rPr>
      </w:pPr>
    </w:p>
    <w:p>
      <w:pPr>
        <w:ind w:left="800" w:right="119" w:hanging="369"/>
        <w:spacing w:after="0" w:line="277" w:lineRule="auto"/>
        <w:tabs>
          <w:tab w:leader="none" w:pos="83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appointment of the Company’s Auditor, the terms of its employment and termination of its employment in accordance with the provisions of Sections 154 to 167 of the Law;</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appointment of External Directors, in accordance with the provisions of Section 239 of the Law;</w:t>
      </w:r>
    </w:p>
    <w:p>
      <w:pPr>
        <w:spacing w:after="0" w:line="171" w:lineRule="exact"/>
        <w:rPr>
          <w:rFonts w:ascii="Arial" w:cs="Arial" w:eastAsia="Arial" w:hAnsi="Arial"/>
          <w:sz w:val="18"/>
          <w:szCs w:val="18"/>
          <w:color w:val="auto"/>
        </w:rPr>
      </w:pPr>
    </w:p>
    <w:p>
      <w:pPr>
        <w:ind w:left="800" w:right="119" w:hanging="369"/>
        <w:spacing w:after="0" w:line="277" w:lineRule="auto"/>
        <w:tabs>
          <w:tab w:leader="none" w:pos="77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approval of acts and transactions that require approval by the General Meeting under the provisions of Sections 255 and 268 to 275 of the Law;</w:t>
      </w:r>
    </w:p>
    <w:p>
      <w:pPr>
        <w:spacing w:after="0" w:line="116" w:lineRule="exact"/>
        <w:rPr>
          <w:rFonts w:ascii="Arial" w:cs="Arial" w:eastAsia="Arial" w:hAnsi="Arial"/>
          <w:sz w:val="18"/>
          <w:szCs w:val="18"/>
          <w:color w:val="auto"/>
        </w:rPr>
      </w:pPr>
    </w:p>
    <w:p>
      <w:pPr>
        <w:ind w:left="800" w:right="119" w:hanging="369"/>
        <w:spacing w:after="0" w:line="277" w:lineRule="auto"/>
        <w:tabs>
          <w:tab w:leader="none" w:pos="79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increase and reduction of the registered share capital, in accordance with the provisions of Sections 286 and 287 of the Law; and</w:t>
      </w:r>
    </w:p>
    <w:p>
      <w:pPr>
        <w:spacing w:after="0" w:line="116" w:lineRule="exact"/>
        <w:rPr>
          <w:rFonts w:ascii="Arial" w:cs="Arial" w:eastAsia="Arial" w:hAnsi="Arial"/>
          <w:sz w:val="18"/>
          <w:szCs w:val="18"/>
          <w:color w:val="auto"/>
        </w:rPr>
      </w:pPr>
    </w:p>
    <w:p>
      <w:pPr>
        <w:ind w:left="780" w:hanging="349"/>
        <w:spacing w:after="0"/>
        <w:tabs>
          <w:tab w:leader="none" w:pos="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merger, as described in Section 320(a) of the Law.</w:t>
      </w:r>
    </w:p>
    <w:p>
      <w:pPr>
        <w:spacing w:after="0" w:line="184" w:lineRule="exact"/>
        <w:rPr>
          <w:rFonts w:ascii="Arial" w:cs="Arial" w:eastAsia="Arial" w:hAnsi="Arial"/>
          <w:sz w:val="18"/>
          <w:szCs w:val="18"/>
          <w:color w:val="auto"/>
        </w:rPr>
      </w:pPr>
    </w:p>
    <w:p>
      <w:pPr>
        <w:jc w:val="both"/>
        <w:ind w:left="440" w:right="119" w:hanging="315"/>
        <w:spacing w:after="0" w:line="297" w:lineRule="auto"/>
        <w:tabs>
          <w:tab w:leader="none" w:pos="41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Subject to the provisions of these Articles, the function of the Annual Meeting shall be to elect the members of the Board of Directors to receive and to deliberate with respect to the profit and loss statements, the balance sheets, the ordinary reports and accounts of the Board of Directors and Auditors; to declare dividends, to appoint Auditors and to fix their salaries and to transact any other business which under these Articles or under the Law are to be transacted at a General Meeting, as shall be determined by the Board of Directors from time to time.</w:t>
      </w:r>
    </w:p>
    <w:p>
      <w:pPr>
        <w:spacing w:after="0" w:line="131" w:lineRule="exact"/>
        <w:rPr>
          <w:rFonts w:ascii="Arial" w:cs="Arial" w:eastAsia="Arial" w:hAnsi="Arial"/>
          <w:sz w:val="16"/>
          <w:szCs w:val="16"/>
          <w:color w:val="auto"/>
        </w:rPr>
      </w:pPr>
    </w:p>
    <w:p>
      <w:pPr>
        <w:jc w:val="both"/>
        <w:ind w:left="440" w:right="119" w:hanging="315"/>
        <w:spacing w:after="0" w:line="254" w:lineRule="auto"/>
        <w:tabs>
          <w:tab w:leader="none" w:pos="41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Board of Directors, or any of its members, at their sole discretion and upon a requisition in writing as provided for in Section 63 of the Law, may convene an Extraordinary Meeting. Every such requisition shall include the objects for which a meeting should be convened, shall be signed by the requisitioners and shall be sent to the registered office of the Company. If the Board of Directors does not convene a meeting within twenty one (21) days from the date of the submission of the requisition as aforesaid, the requisitioners may convene by themselves a meeting in accordance with the provisions of Section 64 of the Law. However, the meeting which was so convened shall not be held after three (3) months have passed since the date of the submission of the requisition as provided therein.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NOTICE OF GENERAL MEETINGS</w:t>
      </w:r>
    </w:p>
    <w:p>
      <w:pPr>
        <w:spacing w:after="0" w:line="189" w:lineRule="exact"/>
        <w:rPr>
          <w:sz w:val="20"/>
          <w:szCs w:val="20"/>
          <w:color w:val="auto"/>
        </w:rPr>
      </w:pPr>
    </w:p>
    <w:p>
      <w:pPr>
        <w:ind w:left="820" w:right="119" w:hanging="695"/>
        <w:spacing w:after="0" w:line="253" w:lineRule="auto"/>
        <w:tabs>
          <w:tab w:leader="none" w:pos="4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A prior notice of five (5) days at least but no more than forty five (45) days, shall be given with respect to the place, date and hour of any General Meeting, and the general nature of each item to be acted upon thereon. The notice shall be given, as herein below provided for, to the members entitled pursuant to these Articles to receive notices from the Company. If, by chance, a notice as aforesaid was not given or not received by a member, this shall not automatically result in a disqualification of the resolution passed or disqualification of the proceedings held at that General Meeting. With the consent of all the members who are entitled, at that time, to receive notices, it shall be permitted to convene all General Meetings and to resolve all types of resolutions, upon a shorter advance notice or without any notice and in such manner, generally, as such be approved by the members.</w:t>
      </w:r>
    </w:p>
    <w:p>
      <w:pPr>
        <w:spacing w:after="0" w:line="170" w:lineRule="exact"/>
        <w:rPr>
          <w:sz w:val="20"/>
          <w:szCs w:val="20"/>
          <w:color w:val="auto"/>
        </w:rPr>
      </w:pPr>
    </w:p>
    <w:p>
      <w:pPr>
        <w:ind w:left="800" w:right="119" w:hanging="369"/>
        <w:spacing w:after="0" w:line="277" w:lineRule="auto"/>
        <w:tabs>
          <w:tab w:leader="none" w:pos="81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will send copies of the financial reports to the Company’s shareholders no later than three (3) days prior to the Annual Meeting.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QUORUM</w:t>
      </w:r>
    </w:p>
    <w:p>
      <w:pPr>
        <w:spacing w:after="0" w:line="229" w:lineRule="exact"/>
        <w:rPr>
          <w:sz w:val="20"/>
          <w:szCs w:val="20"/>
          <w:color w:val="auto"/>
        </w:rPr>
      </w:pPr>
    </w:p>
    <w:p>
      <w:pPr>
        <w:ind w:left="820" w:right="119" w:hanging="695"/>
        <w:spacing w:after="0" w:line="264" w:lineRule="auto"/>
        <w:tabs>
          <w:tab w:leader="none" w:pos="42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No deliberation shall be commenced with respect to any matter at a General Meeting unless there shall be present a quorum at the time when the General Meeting proceeds to deliberate. A quorum shall be formed when there 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1" w:name="page172"/>
    <w:bookmarkEnd w:id="171"/>
    <w:p>
      <w:pPr>
        <w:jc w:val="both"/>
        <w:ind w:left="820" w:right="119"/>
        <w:spacing w:after="0" w:line="259" w:lineRule="auto"/>
        <w:rPr>
          <w:sz w:val="20"/>
          <w:szCs w:val="20"/>
          <w:color w:val="auto"/>
        </w:rPr>
      </w:pPr>
      <w:r>
        <w:rPr>
          <w:rFonts w:ascii="Arial" w:cs="Arial" w:eastAsia="Arial" w:hAnsi="Arial"/>
          <w:sz w:val="18"/>
          <w:szCs w:val="18"/>
          <w:color w:val="auto"/>
        </w:rPr>
        <w:t>present personally or by proxy at least two (2) shareholders who hold or represent together 50% of the voting rights of the issued and outstanding share capital of the Company. The number of shareholders or minimum shareholding required for presence of quorum under this sub article 54 (a) may only be reduced by a Special Resolution.</w:t>
      </w:r>
    </w:p>
    <w:p>
      <w:pPr>
        <w:spacing w:after="0" w:line="187" w:lineRule="exact"/>
        <w:rPr>
          <w:sz w:val="20"/>
          <w:szCs w:val="20"/>
          <w:color w:val="auto"/>
        </w:rPr>
      </w:pPr>
    </w:p>
    <w:p>
      <w:pPr>
        <w:jc w:val="both"/>
        <w:ind w:left="800" w:right="119" w:hanging="369"/>
        <w:spacing w:after="0" w:line="270" w:lineRule="auto"/>
        <w:tabs>
          <w:tab w:leader="none" w:pos="80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General Meeting a quorum is not present, the meeting shall stand adjourned to the same day in the next week at the same place and time, or any other day and/or any other hour and/or any other place as the directors shall notify the shareholders, and, if at the second meeting a quorum is not present within half an hour from the time appointed for the meeting, any one shareholder present personally or by proxy shall be a quorum and he/she shall be entitled to deliberate and to resolve any matters for which the initial meeting was convened. However, if the General Meeting was convened upon requisition under Section 63 or 64 of the Law, then the adjourned meeting shall only be held if at least shareholders in the number required for the convening of a meeting as specified in Section 63 of the Law is present. No business shall be transacted at any adjourned meeting except business which might lawfully have been transacted at a meeting as originally called.</w:t>
      </w:r>
    </w:p>
    <w:p>
      <w:pPr>
        <w:spacing w:after="0" w:line="177" w:lineRule="exact"/>
        <w:rPr>
          <w:rFonts w:ascii="Arial" w:cs="Arial" w:eastAsia="Arial" w:hAnsi="Arial"/>
          <w:sz w:val="17"/>
          <w:szCs w:val="17"/>
          <w:color w:val="auto"/>
        </w:rPr>
      </w:pPr>
    </w:p>
    <w:p>
      <w:pPr>
        <w:jc w:val="both"/>
        <w:ind w:left="800" w:right="119" w:hanging="369"/>
        <w:spacing w:after="0" w:line="264" w:lineRule="auto"/>
        <w:tabs>
          <w:tab w:leader="none" w:pos="79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Until the earlier to occur of a Qualified Investment or a Qualified IPO, the following resolutions will only be adopted by a special majority of the holders of sixty five percent (65%) of the issued and outstanding share capital of the Company (“</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160" w:right="119" w:hanging="369"/>
        <w:spacing w:after="0" w:line="271" w:lineRule="auto"/>
        <w:tabs>
          <w:tab w:leader="none" w:pos="119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changing the rights attached to the Preferred A-1 shares in a way which grants the Preferred A-1 shares preference (other than existing liquidation preference) over the Ordinary Shares, by adoption of any resolution or execution of any other document amending or altering or waiving any provision of Company’s Articles of Association in order to directly effect such change. The issuance by the Company or the creation of additional shares of Preferred A-1 or a class ranking pari passu with Preferred A-1 upon and subject to receipt of additional financing at or above the Original A-1 Price Per Share, or of a superior class, shall not be deemed, for the purpose of this Article, to modify or alter the rights attached to the previously issued shares of the A-1 class or of any other class.</w:t>
      </w:r>
    </w:p>
    <w:p>
      <w:pPr>
        <w:spacing w:after="0" w:line="178" w:lineRule="exact"/>
        <w:rPr>
          <w:rFonts w:ascii="Arial" w:cs="Arial" w:eastAsia="Arial" w:hAnsi="Arial"/>
          <w:sz w:val="17"/>
          <w:szCs w:val="17"/>
          <w:color w:val="auto"/>
        </w:rPr>
      </w:pPr>
    </w:p>
    <w:p>
      <w:pPr>
        <w:ind w:left="1160" w:right="119" w:hanging="369"/>
        <w:spacing w:after="0" w:line="277" w:lineRule="auto"/>
        <w:tabs>
          <w:tab w:leader="none" w:pos="129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authorization of any transaction of the Company with any controlling shareholder or an Affiliate thereof and a transaction with a director appointed by such controlling shareholder.</w:t>
      </w:r>
    </w:p>
    <w:p>
      <w:pPr>
        <w:spacing w:after="0" w:line="170" w:lineRule="exact"/>
        <w:rPr>
          <w:sz w:val="20"/>
          <w:szCs w:val="20"/>
          <w:color w:val="auto"/>
        </w:rPr>
      </w:pPr>
    </w:p>
    <w:p>
      <w:pPr>
        <w:jc w:val="both"/>
        <w:ind w:left="120" w:right="119"/>
        <w:spacing w:after="0" w:line="273" w:lineRule="auto"/>
        <w:rPr>
          <w:sz w:val="20"/>
          <w:szCs w:val="20"/>
          <w:color w:val="auto"/>
        </w:rPr>
      </w:pPr>
      <w:r>
        <w:rPr>
          <w:rFonts w:ascii="Arial" w:cs="Arial" w:eastAsia="Arial" w:hAnsi="Arial"/>
          <w:sz w:val="17"/>
          <w:szCs w:val="17"/>
          <w:color w:val="auto"/>
        </w:rPr>
        <w:t>Notwithstanding the aforesaid, to the extent that a Special Resolution is required under these Articles and it may be adopted in accordance with the Law and these Articles, by the Board of Directors, such resolution shall require the affirmative vote of one of the directors appointed by the Initial Investors Group and the Founders Group, provided however, that if such resolution is brought solely to the approval of the Board of Directors without it being submitted to the approval of a subsequent shareholders meeting, then, only in such case, such resolution shall require the affirmative vote of the two directors appointed by the Initial Investors Group and the Founders Group.</w:t>
      </w:r>
    </w:p>
    <w:p>
      <w:pPr>
        <w:spacing w:after="0" w:line="178"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8"/>
          <w:szCs w:val="18"/>
          <w:color w:val="auto"/>
        </w:rPr>
        <w:t>In any case of conflict between the provisions of this Article 54 and any other Articles, this Article 54 shall prevail, unless specifically stated to the contrary herein.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jc w:val="both"/>
        <w:ind w:left="440" w:right="119" w:hanging="315"/>
        <w:spacing w:after="0" w:line="270" w:lineRule="auto"/>
        <w:tabs>
          <w:tab w:leader="none" w:pos="40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Unless otherwise decided by the Board of Directors, the Chairman of the Board of Directors (as defined in Article 75) shall preside as chairman at the General Meetings of the Company. If the Chairman is not present within 15 minutes from the time appointed for a General Meeting or if the Chairman shall refuse to preside at a General Meeting, then the Co-Chairman (as defined in Article 75) shall preside as chairman for such General Meeting. If the Co-Chairman is not present at the General Meeting or if the Co-Chairman shall refuse to preside at the General Meeting, the members present shall elect one of the members of the Board of Directors to act as chairman for the duration of the General Meeting, and if only one director is present she/he shall act as chairman. If no members of the Board of Directors are present or if they all refuse to preside at the General Meeting the members present shall elect one of the members present to preside at the General Meeting. Both the Chairman and the Co-Chairman shall have no special rights or privileges.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POWER TO ADJOURN</w:t>
      </w:r>
    </w:p>
    <w:p>
      <w:pPr>
        <w:spacing w:after="0" w:line="229" w:lineRule="exact"/>
        <w:rPr>
          <w:sz w:val="20"/>
          <w:szCs w:val="20"/>
          <w:color w:val="auto"/>
        </w:rPr>
      </w:pPr>
    </w:p>
    <w:p>
      <w:pPr>
        <w:jc w:val="both"/>
        <w:ind w:left="440" w:right="119" w:hanging="315"/>
        <w:spacing w:after="0" w:line="259" w:lineRule="auto"/>
        <w:tabs>
          <w:tab w:leader="none" w:pos="4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Chairman may, with the consent of any General Meeting at which a quorum is present, and shall if so directed by the General Meeting, adjourn the General Meeting from time to time and from place to place, as the General Meeting shall decide. If the General Meeting shall be adjourned for ten (10) days or more a notice shall be jointly given of the adjourned</w:t>
      </w:r>
    </w:p>
    <w:p>
      <w:pPr>
        <w:sectPr>
          <w:pgSz w:w="11900" w:h="16838" w:orient="portrait"/>
          <w:cols w:equalWidth="0" w:num="1">
            <w:col w:w="9019"/>
          </w:cols>
          <w:pgMar w:left="1440" w:top="12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72" w:name="page173"/>
    <w:bookmarkEnd w:id="172"/>
    <w:p>
      <w:pPr>
        <w:jc w:val="both"/>
        <w:ind w:left="440" w:right="119"/>
        <w:spacing w:after="0" w:line="259" w:lineRule="auto"/>
        <w:rPr>
          <w:sz w:val="20"/>
          <w:szCs w:val="20"/>
          <w:color w:val="auto"/>
        </w:rPr>
      </w:pPr>
      <w:r>
        <w:rPr>
          <w:rFonts w:ascii="Arial" w:cs="Arial" w:eastAsia="Arial" w:hAnsi="Arial"/>
          <w:sz w:val="18"/>
          <w:szCs w:val="18"/>
          <w:color w:val="auto"/>
        </w:rPr>
        <w:t>General Meeting as in the case of an original meeting. Except as aforesaid no member shall be entitled to receive any notice of an adjournment or of the business to be transacted at the adjourned meeting. At an adjourned meeting no matters shall be discussed except for those permissible to be discussed at that initial General Meeting which decided upon the adjournment.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ADOPTION OF RESOLUTIONS</w:t>
      </w:r>
    </w:p>
    <w:p>
      <w:pPr>
        <w:spacing w:after="0" w:line="202" w:lineRule="exact"/>
        <w:rPr>
          <w:sz w:val="20"/>
          <w:szCs w:val="20"/>
          <w:color w:val="auto"/>
        </w:rPr>
      </w:pPr>
    </w:p>
    <w:p>
      <w:pPr>
        <w:jc w:val="both"/>
        <w:ind w:left="440" w:right="119" w:hanging="315"/>
        <w:spacing w:after="0" w:line="270" w:lineRule="auto"/>
        <w:tabs>
          <w:tab w:leader="none" w:pos="4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At every General Meeting a resolution put to the vote of the meeting shall be decided upon by a show of hands, unless before or upon the declaration of the result of the show of hands a secret ballot in writing be demanded by the Chairman (if she/he is entitled to vote) or by any member present, in person or by proxy, and entitled to vote at the meeting. Except if a secret vote is demanded as aforesaid, the declaration of the Chairman, or person serving in such role, that the resolution has been carried or carried unanimously or by a particular majority, or lost, or not carried by a particular majority, shall be final, and an entry to that effect in the minute book of the Company, shall be conclusive evidence of the fact without the necessity of proving the number or proportion of the votes recorded in favor or against such a resolution. Subject to Special Resolutions, a resolution shall be deemed to be passed at a General Meeting if it received an ordinary majority of votes.</w:t>
      </w:r>
    </w:p>
    <w:p>
      <w:pPr>
        <w:spacing w:after="0" w:line="168" w:lineRule="exact"/>
        <w:rPr>
          <w:rFonts w:ascii="Arial" w:cs="Arial" w:eastAsia="Arial" w:hAnsi="Arial"/>
          <w:sz w:val="17"/>
          <w:szCs w:val="17"/>
          <w:color w:val="auto"/>
        </w:rPr>
      </w:pPr>
    </w:p>
    <w:p>
      <w:pPr>
        <w:jc w:val="both"/>
        <w:ind w:left="440" w:right="119" w:hanging="315"/>
        <w:spacing w:after="0" w:line="289" w:lineRule="auto"/>
        <w:tabs>
          <w:tab w:leader="none" w:pos="40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 secret ballot is duly demanded, it shall be taken in such manner as the Chairman directs, whether immediately or after an adjournment or in a postponed manner or otherwise, and the results of the ballot shall be deemed to be a resolution of the General Meeting wherein the secret ballot was demanded. Those requesting a secret ballot can withdraw their request at any time before the secret ballot is held. A secret ballot demanded on the election of the Chairman, or person serving in such role, or on a question of adjournment shall be taken forthwith. A secret ballot demanded on any other question shall be taken at such time as the Chairman, or person serving in such role, of the General Meeting directs. A demand for a secret ballot shall not prevent the continuation of the General Meeting with respect to the transaction of any other business, except for the matter with respect to which the secret ballot was demanded. All demands or notices hereunder may be submitted by facsimile.</w:t>
      </w:r>
    </w:p>
    <w:p>
      <w:pPr>
        <w:spacing w:after="0" w:line="153" w:lineRule="exact"/>
        <w:rPr>
          <w:rFonts w:ascii="Arial" w:cs="Arial" w:eastAsia="Arial" w:hAnsi="Arial"/>
          <w:sz w:val="16"/>
          <w:szCs w:val="16"/>
          <w:color w:val="auto"/>
        </w:rPr>
      </w:pPr>
    </w:p>
    <w:p>
      <w:pPr>
        <w:jc w:val="both"/>
        <w:ind w:left="440" w:right="119" w:hanging="315"/>
        <w:spacing w:after="0" w:line="255" w:lineRule="auto"/>
        <w:tabs>
          <w:tab w:leader="none" w:pos="4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and without derogating from the right or preference rights or restrictions existing at that time with respect to a certain class of shares forming part of the capital of the Company, each member present at a General Meeting, personally or by proxy, shall be entitled, whether at a vote by show of hands or by secret ballot, to one vote for each share held by him, provided that no member shall be permitted to vote at a General Meeting or appoint a proxy to vote therein except if he has paid all calls for payment and all monies due to the Company from him with respect to his shares.</w:t>
      </w:r>
    </w:p>
    <w:p>
      <w:pPr>
        <w:spacing w:after="0" w:line="166" w:lineRule="exact"/>
        <w:rPr>
          <w:rFonts w:ascii="Arial" w:cs="Arial" w:eastAsia="Arial" w:hAnsi="Arial"/>
          <w:sz w:val="18"/>
          <w:szCs w:val="18"/>
          <w:color w:val="auto"/>
        </w:rPr>
      </w:pPr>
    </w:p>
    <w:p>
      <w:pPr>
        <w:jc w:val="both"/>
        <w:ind w:left="440" w:right="119" w:hanging="315"/>
        <w:spacing w:after="0" w:line="276" w:lineRule="auto"/>
        <w:tabs>
          <w:tab w:leader="none" w:pos="40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the case of joint holders the vote of the senior who tenders a vote, whether in person or by proxy, shall be accepted to the exclusion of the votes of the other joint holders; and for the purpose of this Article 60 seniority shall be determined by the order in which the names stand in the register of members. Joint holders of a share of which one of them is present at a General Meeting shall not vote by proxy. The appointment of a proxy to vote on behalf of a share held by joint holders shall be executed by the signature of the senior of the joint holders.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PROXIES</w:t>
      </w:r>
    </w:p>
    <w:p>
      <w:pPr>
        <w:spacing w:after="0" w:line="219" w:lineRule="exact"/>
        <w:rPr>
          <w:sz w:val="20"/>
          <w:szCs w:val="20"/>
          <w:color w:val="auto"/>
        </w:rPr>
      </w:pPr>
    </w:p>
    <w:p>
      <w:pPr>
        <w:ind w:left="820" w:right="139" w:hanging="695"/>
        <w:spacing w:after="0" w:line="308" w:lineRule="auto"/>
        <w:tabs>
          <w:tab w:leader="none" w:pos="41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In every vote a member shall be entitled to vote either personally or by proxy. A proxy present at a General Meeting shall also be entitled to request a secret ballot. A proxy need not be a member of the Company.</w:t>
      </w:r>
    </w:p>
    <w:p>
      <w:pPr>
        <w:spacing w:after="0" w:line="119" w:lineRule="exact"/>
        <w:rPr>
          <w:rFonts w:ascii="Arial" w:cs="Arial" w:eastAsia="Arial" w:hAnsi="Arial"/>
          <w:sz w:val="17"/>
          <w:szCs w:val="17"/>
          <w:color w:val="auto"/>
        </w:rPr>
      </w:pPr>
    </w:p>
    <w:p>
      <w:pPr>
        <w:jc w:val="both"/>
        <w:ind w:left="800" w:right="119" w:hanging="369"/>
        <w:spacing w:after="0" w:line="276" w:lineRule="auto"/>
        <w:tabs>
          <w:tab w:leader="none" w:pos="83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 member of the Company that is a corporation or partnership shall be entitled by decision of its board of directors or by a decision of a person or other body, according to its articles or applicable organizational documents, to appoint a person who it shall deem fit to be its representative at every General Meeting of the Company. The representative, appointed as aforesaid, shall be entitled to perform on behalf of the corporation he represents all the powers that the corporation itself may use just as if it was a person.</w:t>
      </w:r>
    </w:p>
    <w:p>
      <w:pPr>
        <w:spacing w:after="0" w:line="159" w:lineRule="exact"/>
        <w:rPr>
          <w:rFonts w:ascii="Arial" w:cs="Arial" w:eastAsia="Arial" w:hAnsi="Arial"/>
          <w:sz w:val="17"/>
          <w:szCs w:val="17"/>
          <w:color w:val="auto"/>
        </w:rPr>
      </w:pPr>
    </w:p>
    <w:p>
      <w:pPr>
        <w:ind w:left="820" w:right="119" w:hanging="695"/>
        <w:spacing w:after="0" w:line="257" w:lineRule="auto"/>
        <w:tabs>
          <w:tab w:leader="none" w:pos="39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A vote pursuant to an instruction appointing a proxy shall be valid notwithstanding the death of the appointor or the appointor becoming of unsound mind or the cancellation of the proxy or its expiration in accordance with any law, or the transfer of the shares with respect to which the proxy was given, unless a notice in writing was given of the death, becoming of unsound mind, cancellation or transfer and was received at the office before the General Meeting or Class Meeting took place.</w:t>
      </w:r>
    </w:p>
    <w:p>
      <w:pPr>
        <w:spacing w:after="0" w:line="174" w:lineRule="exact"/>
        <w:rPr>
          <w:rFonts w:ascii="Arial" w:cs="Arial" w:eastAsia="Arial" w:hAnsi="Arial"/>
          <w:sz w:val="18"/>
          <w:szCs w:val="18"/>
          <w:color w:val="auto"/>
        </w:rPr>
      </w:pPr>
    </w:p>
    <w:p>
      <w:pPr>
        <w:jc w:val="both"/>
        <w:ind w:left="800" w:right="119" w:hanging="369"/>
        <w:spacing w:after="0" w:line="279" w:lineRule="auto"/>
        <w:tabs>
          <w:tab w:leader="none" w:pos="82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 member is entitled to vote by a separate proxy with respect to each share held by him provided that each proxy as aforesaid shall have a separate letter of appointment containing the serial number of the shares with respect to which the proxy is entitled to vote. If a specific share is included by the holder in more than one letter of appointment, that share shall not entitle any of the holders of such instrument to a vote.</w:t>
      </w:r>
    </w:p>
    <w:p>
      <w:pPr>
        <w:sectPr>
          <w:pgSz w:w="11900" w:h="16838" w:orient="portrait"/>
          <w:cols w:equalWidth="0" w:num="1">
            <w:col w:w="9019"/>
          </w:cols>
          <w:pgMar w:left="1440" w:top="126"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73" w:name="page174"/>
    <w:bookmarkEnd w:id="173"/>
    <w:p>
      <w:pPr>
        <w:ind w:left="120"/>
        <w:spacing w:after="0"/>
        <w:rPr>
          <w:sz w:val="20"/>
          <w:szCs w:val="20"/>
          <w:color w:val="auto"/>
        </w:rPr>
      </w:pPr>
      <w:r>
        <w:rPr>
          <w:rFonts w:ascii="Arial" w:cs="Arial" w:eastAsia="Arial" w:hAnsi="Arial"/>
          <w:sz w:val="18"/>
          <w:szCs w:val="18"/>
          <w:b w:val="1"/>
          <w:bCs w:val="1"/>
          <w:u w:val="single" w:color="auto"/>
          <w:color w:val="auto"/>
        </w:rPr>
        <w:t>INSTRUMENT OF APPOINTMENT</w:t>
      </w:r>
    </w:p>
    <w:p>
      <w:pPr>
        <w:spacing w:after="0" w:line="229" w:lineRule="exact"/>
        <w:rPr>
          <w:sz w:val="20"/>
          <w:szCs w:val="20"/>
          <w:color w:val="auto"/>
        </w:rPr>
      </w:pPr>
    </w:p>
    <w:p>
      <w:pPr>
        <w:jc w:val="both"/>
        <w:ind w:left="440" w:right="119" w:hanging="315"/>
        <w:spacing w:after="0" w:line="289" w:lineRule="auto"/>
        <w:tabs>
          <w:tab w:leader="none" w:pos="40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letter of appointment of a proxy or power of attorney or other certificate (if there shall be such) pursuant to which the appointee is acting, shall be in writing, and the signature of the appointor shall be confirmed by an advocate or public notary or bank or in any other manner acceptable by the directors and such instrument or a copy thereof confirmed as aforesaid, shall be deposited in the office, or in another place in Israel or abroad — as the Board of Directors shall direct from time to time generally or with respect to a particular case, no later than twenty four (24) hours prior to the commencement of the General Meeting or adjourned meeting wherein the person referred to in the instrument is appointed to vote, otherwise that person shall not be entitled to vote that share. An instrument appointing a proxy and which is not limited in time shall not be valid twelve (12) months after the date of its execution. If the appointment shall be for a limited period, the instrument shall be valid for the period contained therein.</w:t>
      </w:r>
    </w:p>
    <w:p>
      <w:pPr>
        <w:spacing w:after="0" w:line="153" w:lineRule="exact"/>
        <w:rPr>
          <w:rFonts w:ascii="Arial" w:cs="Arial" w:eastAsia="Arial" w:hAnsi="Arial"/>
          <w:sz w:val="16"/>
          <w:szCs w:val="16"/>
          <w:color w:val="auto"/>
        </w:rPr>
      </w:pPr>
    </w:p>
    <w:p>
      <w:pPr>
        <w:ind w:left="440" w:right="119" w:hanging="315"/>
        <w:spacing w:after="0" w:line="277"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instrument appointing a proxy (whether for a specific General Meeting or otherwise) may be in the following form or in any other similar form which the circumstances shall permit: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__________________, of _____________________________, a member holding shares in _____________ and</w:t>
      </w:r>
    </w:p>
    <w:p>
      <w:pPr>
        <w:spacing w:after="0" w:line="35" w:lineRule="exact"/>
        <w:rPr>
          <w:sz w:val="20"/>
          <w:szCs w:val="20"/>
          <w:color w:val="auto"/>
        </w:rPr>
      </w:pPr>
    </w:p>
    <w:p>
      <w:pPr>
        <w:ind w:left="120"/>
        <w:spacing w:after="0"/>
        <w:tabs>
          <w:tab w:leader="none" w:pos="800" w:val="left"/>
          <w:tab w:leader="none" w:pos="1080" w:val="left"/>
          <w:tab w:leader="none" w:pos="2140" w:val="left"/>
          <w:tab w:leader="none" w:pos="2660" w:val="left"/>
          <w:tab w:leader="none" w:pos="3300" w:val="left"/>
          <w:tab w:leader="none" w:pos="3980" w:val="left"/>
          <w:tab w:leader="none" w:pos="5700" w:val="left"/>
          <w:tab w:leader="none" w:pos="6000" w:val="left"/>
          <w:tab w:leader="none" w:pos="7560" w:val="left"/>
          <w:tab w:leader="none" w:pos="7840" w:val="left"/>
          <w:tab w:leader="none" w:pos="8140" w:val="left"/>
          <w:tab w:leader="none" w:pos="8500" w:val="left"/>
        </w:tabs>
        <w:rPr>
          <w:sz w:val="20"/>
          <w:szCs w:val="20"/>
          <w:color w:val="auto"/>
        </w:rPr>
      </w:pPr>
      <w:r>
        <w:rPr>
          <w:rFonts w:ascii="Arial" w:cs="Arial" w:eastAsia="Arial" w:hAnsi="Arial"/>
          <w:sz w:val="18"/>
          <w:szCs w:val="18"/>
          <w:color w:val="auto"/>
        </w:rPr>
        <w:t>entitled</w:t>
        <w:tab/>
        <w:t>to</w:t>
        <w:tab/>
        <w:t>__________</w:t>
        <w:tab/>
        <w:t>votes</w:t>
        <w:tab/>
        <w:t>hereby</w:t>
        <w:tab/>
        <w:t>appoint</w:t>
        <w:tab/>
        <w:t>_________________,</w:t>
        <w:tab/>
        <w:t>of</w:t>
        <w:tab/>
        <w:t>_______________,</w:t>
        <w:tab/>
        <w:t>or</w:t>
        <w:tab/>
        <w:t>in</w:t>
        <w:tab/>
        <w:t>his</w:t>
      </w:r>
      <w:r>
        <w:rPr>
          <w:sz w:val="20"/>
          <w:szCs w:val="20"/>
          <w:color w:val="auto"/>
        </w:rPr>
        <w:tab/>
      </w:r>
      <w:r>
        <w:rPr>
          <w:rFonts w:ascii="Arial" w:cs="Arial" w:eastAsia="Arial" w:hAnsi="Arial"/>
          <w:sz w:val="15"/>
          <w:szCs w:val="15"/>
          <w:color w:val="auto"/>
        </w:rPr>
        <w:t>place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_____________________, of ____________________________, to vote in my name and in my place at the General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 of the Company to be held on the __________ day of ____________ 20__ and at any adjournment thereof.</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witness whereof, I have hereby affixed my signature the _____ day of _________________ 20__.</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Appointor’s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2294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hereby confirm that the foregoing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instrument was signed by the appointer.</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profession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-130175</wp:posOffset>
            </wp:positionV>
            <wp:extent cx="22294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16" w:lineRule="exact"/>
        <w:rPr>
          <w:sz w:val="20"/>
          <w:szCs w:val="20"/>
          <w:color w:val="auto"/>
        </w:rPr>
      </w:pPr>
    </w:p>
    <w:p>
      <w:pPr>
        <w:jc w:val="both"/>
        <w:ind w:left="440" w:right="119" w:hanging="315"/>
        <w:spacing w:after="0" w:line="286" w:lineRule="auto"/>
        <w:tabs>
          <w:tab w:leader="none" w:pos="41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resolution in writing signed by all members of the Company then entitled to attend and vote at General Meetings, Class Meetings or to which all such members have given their written consent (by letter, facsimile or otherwise) shall be deemed to have been unanimously adopted by a General Meeting duly convened and held.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DIRECTOR</w:t>
      </w:r>
    </w:p>
    <w:p>
      <w:pPr>
        <w:spacing w:after="0" w:line="216" w:lineRule="exact"/>
        <w:rPr>
          <w:sz w:val="20"/>
          <w:szCs w:val="20"/>
          <w:color w:val="auto"/>
        </w:rPr>
      </w:pPr>
    </w:p>
    <w:p>
      <w:pPr>
        <w:ind w:left="820" w:right="119" w:hanging="695"/>
        <w:spacing w:after="0" w:line="269" w:lineRule="auto"/>
        <w:tabs>
          <w:tab w:leader="none" w:pos="42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Until the completion of a Qualified IPO, the Board of Directors shall consist of seven (7) members. The members shall be appointed as follows: (i) Fortissimo shall be entitled to appoint four members of the Board of Directors, (ii) the Founders Group shall be entitled to appoint one member of the Board of Directors for as long as its aggregate holdings (including for this purpose their Permitted Transferees) in the Company’s issued and outstanding share capital (calculated on an as converted basis) exceeds 9%; (iii) the Initial Investors Group shall be entitled to appoint one member of the Board of Directors for as long as its aggregate holdings (including for this purpose their Permitted Transferees) in the Company’s issued and outstanding share capital (calculated on an as converted basis) exceeds 9%; and (iv) Delek Investments and properties Ltd. (“</w:t>
      </w:r>
      <w:r>
        <w:rPr>
          <w:rFonts w:ascii="Arial" w:cs="Arial" w:eastAsia="Arial" w:hAnsi="Arial"/>
          <w:sz w:val="17"/>
          <w:szCs w:val="17"/>
          <w:b w:val="1"/>
          <w:bCs w:val="1"/>
          <w:color w:val="auto"/>
        </w:rPr>
        <w:t>Delek</w:t>
      </w:r>
      <w:r>
        <w:rPr>
          <w:rFonts w:ascii="Arial" w:cs="Arial" w:eastAsia="Arial" w:hAnsi="Arial"/>
          <w:sz w:val="17"/>
          <w:szCs w:val="17"/>
          <w:color w:val="auto"/>
        </w:rPr>
        <w:t>”) shall be entitled to appoint one member of the Board of Directors for as long as its aggregate holdings (including for this purpose the holdings of Delek’s Permitted Transferees) in the Company’s issued and outstanding share capital (calculated on an as converted basis) exceeds 7% (each of Fortissimo, the Founders Group, the Initial Investors Group and Delek, a “</w:t>
      </w:r>
      <w:r>
        <w:rPr>
          <w:rFonts w:ascii="Arial" w:cs="Arial" w:eastAsia="Arial" w:hAnsi="Arial"/>
          <w:sz w:val="17"/>
          <w:szCs w:val="17"/>
          <w:b w:val="1"/>
          <w:bCs w:val="1"/>
          <w:color w:val="auto"/>
        </w:rPr>
        <w:t>Nominating Shareholder</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800" w:right="119" w:hanging="369"/>
        <w:spacing w:after="0" w:line="264" w:lineRule="auto"/>
        <w:tabs>
          <w:tab w:leader="none" w:pos="79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Appointment, removal and replacement of members of the Board of Directors shall be effected by furnishing a written notification to the Company by the Nominating Shareholders entitled to appoint such members, and shall become effective on the date fixed in such notice.</w:t>
      </w:r>
    </w:p>
    <w:p>
      <w:pPr>
        <w:spacing w:after="0" w:line="140" w:lineRule="exact"/>
        <w:rPr>
          <w:rFonts w:ascii="Arial" w:cs="Arial" w:eastAsia="Arial" w:hAnsi="Arial"/>
          <w:sz w:val="18"/>
          <w:szCs w:val="18"/>
          <w:color w:val="auto"/>
        </w:rPr>
      </w:pPr>
    </w:p>
    <w:p>
      <w:pPr>
        <w:ind w:left="800" w:right="119" w:hanging="369"/>
        <w:spacing w:after="0" w:line="277" w:lineRule="auto"/>
        <w:tabs>
          <w:tab w:leader="none" w:pos="80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At least one director appointed by the Nominating Shareholders shall be a member of each Committee of the Board or the Board of Directors of each subsidiary of the Company.</w:t>
      </w:r>
    </w:p>
    <w:p>
      <w:pPr>
        <w:spacing w:after="0" w:line="129" w:lineRule="exact"/>
        <w:rPr>
          <w:rFonts w:ascii="Arial" w:cs="Arial" w:eastAsia="Arial" w:hAnsi="Arial"/>
          <w:sz w:val="18"/>
          <w:szCs w:val="18"/>
          <w:color w:val="auto"/>
        </w:rPr>
      </w:pPr>
    </w:p>
    <w:p>
      <w:pPr>
        <w:ind w:left="400" w:hanging="275"/>
        <w:spacing w:after="0"/>
        <w:tabs>
          <w:tab w:leader="none" w:pos="4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rights granted under Article 66 (a)(ii) and (a)(iii) may only be amended by a Special Resolution.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4" w:name="page175"/>
    <w:bookmarkEnd w:id="174"/>
    <w:p>
      <w:pPr>
        <w:ind w:left="120"/>
        <w:spacing w:after="0"/>
        <w:rPr>
          <w:sz w:val="20"/>
          <w:szCs w:val="20"/>
          <w:color w:val="auto"/>
        </w:rPr>
      </w:pPr>
      <w:r>
        <w:rPr>
          <w:rFonts w:ascii="Arial" w:cs="Arial" w:eastAsia="Arial" w:hAnsi="Arial"/>
          <w:sz w:val="18"/>
          <w:szCs w:val="18"/>
          <w:b w:val="1"/>
          <w:bCs w:val="1"/>
          <w:u w:val="single" w:color="auto"/>
          <w:color w:val="auto"/>
        </w:rPr>
        <w:t>ALTERNATE DIRECTOR</w:t>
      </w:r>
    </w:p>
    <w:p>
      <w:pPr>
        <w:spacing w:after="0" w:line="229" w:lineRule="exact"/>
        <w:rPr>
          <w:sz w:val="20"/>
          <w:szCs w:val="20"/>
          <w:color w:val="auto"/>
        </w:rPr>
      </w:pPr>
    </w:p>
    <w:p>
      <w:pPr>
        <w:ind w:left="400" w:hanging="275"/>
        <w:spacing w:after="0"/>
        <w:tabs>
          <w:tab w:leader="none" w:pos="4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Any person, whether or not a member of the Board of Directors, may serve as a substitute director (hereinafter</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 “substitute”). One person may serve as the substitute for two (2) directors.</w:t>
      </w:r>
    </w:p>
    <w:p>
      <w:pPr>
        <w:spacing w:after="0" w:line="210" w:lineRule="exact"/>
        <w:rPr>
          <w:rFonts w:ascii="Arial" w:cs="Arial" w:eastAsia="Arial" w:hAnsi="Arial"/>
          <w:sz w:val="16"/>
          <w:szCs w:val="16"/>
          <w:color w:val="auto"/>
        </w:rPr>
      </w:pPr>
    </w:p>
    <w:p>
      <w:pPr>
        <w:ind w:left="800" w:right="119" w:hanging="369"/>
        <w:spacing w:after="0" w:line="277" w:lineRule="auto"/>
        <w:tabs>
          <w:tab w:leader="none" w:pos="79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substitute shall have, in addition to his vote if he himself is a member of the Board of Directors, the number of votes equal to the number of directors for whom he is serving as a substitute.</w:t>
      </w:r>
    </w:p>
    <w:p>
      <w:pPr>
        <w:spacing w:after="0" w:line="170" w:lineRule="exact"/>
        <w:rPr>
          <w:rFonts w:ascii="Arial" w:cs="Arial" w:eastAsia="Arial" w:hAnsi="Arial"/>
          <w:sz w:val="18"/>
          <w:szCs w:val="18"/>
          <w:color w:val="auto"/>
        </w:rPr>
      </w:pPr>
    </w:p>
    <w:p>
      <w:pPr>
        <w:jc w:val="both"/>
        <w:ind w:left="800" w:right="119" w:hanging="369"/>
        <w:spacing w:after="0" w:line="259" w:lineRule="auto"/>
        <w:tabs>
          <w:tab w:leader="none" w:pos="79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substitute shall have, subject to the provisions of the instrument by which he was appointed, all the powers and authorities that the director for which he is serving as director, has, and in the event the substitute is himself a director, such powers and authorities shall be in addition to his powers as a member of the Board of Directors and shall not in any way derogate therefrom.</w:t>
      </w:r>
    </w:p>
    <w:p>
      <w:pPr>
        <w:spacing w:after="0" w:line="186" w:lineRule="exact"/>
        <w:rPr>
          <w:rFonts w:ascii="Arial" w:cs="Arial" w:eastAsia="Arial" w:hAnsi="Arial"/>
          <w:sz w:val="18"/>
          <w:szCs w:val="18"/>
          <w:color w:val="auto"/>
        </w:rPr>
      </w:pPr>
    </w:p>
    <w:p>
      <w:pPr>
        <w:ind w:left="800" w:right="119" w:hanging="369"/>
        <w:spacing w:after="0" w:line="277" w:lineRule="auto"/>
        <w:tabs>
          <w:tab w:leader="none" w:pos="86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provision of this Article with respect to the appointment of a director shall apply with respect to an appointment of a substitute.</w:t>
      </w:r>
    </w:p>
    <w:p>
      <w:pPr>
        <w:spacing w:after="0" w:line="170" w:lineRule="exact"/>
        <w:rPr>
          <w:rFonts w:ascii="Arial" w:cs="Arial" w:eastAsia="Arial" w:hAnsi="Arial"/>
          <w:sz w:val="18"/>
          <w:szCs w:val="18"/>
          <w:color w:val="auto"/>
        </w:rPr>
      </w:pPr>
    </w:p>
    <w:p>
      <w:pPr>
        <w:jc w:val="both"/>
        <w:ind w:left="800" w:right="119" w:hanging="369"/>
        <w:spacing w:after="0" w:line="279" w:lineRule="auto"/>
        <w:tabs>
          <w:tab w:leader="none" w:pos="86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office of a substitute director shall be automatically vacated if his appointment is terminated by the shareholder who appointed him in accordance with these regulations, or upon the occurrence of one of the events described in sections (i), (ii), (iii) or (v) of Article 69 or, if the office of the member of the Board of Directors with respect to whom he serves as a substitute shall be vacated for any reason whatsoever.</w:t>
      </w:r>
    </w:p>
    <w:p>
      <w:pPr>
        <w:spacing w:after="0" w:line="171" w:lineRule="exact"/>
        <w:rPr>
          <w:rFonts w:ascii="Arial" w:cs="Arial" w:eastAsia="Arial" w:hAnsi="Arial"/>
          <w:sz w:val="17"/>
          <w:szCs w:val="17"/>
          <w:color w:val="auto"/>
        </w:rPr>
      </w:pPr>
    </w:p>
    <w:p>
      <w:pPr>
        <w:jc w:val="both"/>
        <w:ind w:left="800" w:right="119" w:hanging="369"/>
        <w:spacing w:after="0" w:line="264" w:lineRule="auto"/>
        <w:tabs>
          <w:tab w:leader="none" w:pos="841"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substitute director has the right to receive notice of convening of a Board of Directors meeting and may participate or vote at such meeting only if the director appointing said substitute director is absent from said meeting.</w:t>
      </w:r>
    </w:p>
    <w:p>
      <w:pPr>
        <w:spacing w:after="0" w:line="181" w:lineRule="exact"/>
        <w:rPr>
          <w:rFonts w:ascii="Arial" w:cs="Arial" w:eastAsia="Arial" w:hAnsi="Arial"/>
          <w:sz w:val="18"/>
          <w:szCs w:val="18"/>
          <w:color w:val="auto"/>
        </w:rPr>
      </w:pPr>
    </w:p>
    <w:p>
      <w:pPr>
        <w:ind w:left="400" w:hanging="275"/>
        <w:spacing w:after="0"/>
        <w:tabs>
          <w:tab w:leader="none" w:pos="4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Notwithstanding Article 66(a) above, the tenure of office of the director shall automatically by terminated:</w:t>
      </w:r>
    </w:p>
    <w:p>
      <w:pPr>
        <w:spacing w:after="0" w:line="236" w:lineRule="exact"/>
        <w:rPr>
          <w:rFonts w:ascii="Arial" w:cs="Arial" w:eastAsia="Arial" w:hAnsi="Arial"/>
          <w:sz w:val="17"/>
          <w:szCs w:val="17"/>
          <w:color w:val="auto"/>
        </w:rPr>
      </w:pPr>
    </w:p>
    <w:p>
      <w:pPr>
        <w:ind w:left="1320" w:right="119" w:hanging="385"/>
        <w:spacing w:after="0" w:line="277" w:lineRule="auto"/>
        <w:tabs>
          <w:tab w:leader="none" w:pos="1303"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he was declared bankrupt, and if he is a corporate body — it has voluntary decided on liquidation, or a liquidation order was issued against it;</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he is declared insane or becomes of unsound mind;</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he has resigned by an instrument in writing to the Company;</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his successor is appointed pursuant to Article 65 above;</w:t>
      </w:r>
    </w:p>
    <w:p>
      <w:pPr>
        <w:spacing w:after="0" w:line="225" w:lineRule="exact"/>
        <w:rPr>
          <w:rFonts w:ascii="Arial" w:cs="Arial" w:eastAsia="Arial" w:hAnsi="Arial"/>
          <w:sz w:val="18"/>
          <w:szCs w:val="18"/>
          <w:color w:val="auto"/>
        </w:rPr>
      </w:pPr>
    </w:p>
    <w:p>
      <w:pPr>
        <w:ind w:left="1280" w:hanging="345"/>
        <w:spacing w:after="0"/>
        <w:tabs>
          <w:tab w:leader="none" w:pos="128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with his death;</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with the liquidation of the Company;</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he resigned or was dismissed as described in sections 299 to 231 of the Law;</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if he was convicted of an offense, as described in Section 232 of the Law; or</w:t>
      </w:r>
    </w:p>
    <w:p>
      <w:pPr>
        <w:spacing w:after="0" w:line="225" w:lineRule="exact"/>
        <w:rPr>
          <w:rFonts w:ascii="Arial" w:cs="Arial" w:eastAsia="Arial" w:hAnsi="Arial"/>
          <w:sz w:val="18"/>
          <w:szCs w:val="18"/>
          <w:color w:val="auto"/>
        </w:rPr>
      </w:pPr>
    </w:p>
    <w:p>
      <w:pPr>
        <w:ind w:left="1340" w:hanging="405"/>
        <w:spacing w:after="0"/>
        <w:tabs>
          <w:tab w:leader="none" w:pos="1340" w:val="left"/>
        </w:tabs>
        <w:numPr>
          <w:ilvl w:val="3"/>
          <w:numId w:val="159"/>
        </w:numPr>
        <w:rPr>
          <w:rFonts w:ascii="Arial" w:cs="Arial" w:eastAsia="Arial" w:hAnsi="Arial"/>
          <w:sz w:val="18"/>
          <w:szCs w:val="18"/>
          <w:color w:val="auto"/>
        </w:rPr>
      </w:pPr>
      <w:r>
        <w:rPr>
          <w:rFonts w:ascii="Arial" w:cs="Arial" w:eastAsia="Arial" w:hAnsi="Arial"/>
          <w:sz w:val="18"/>
          <w:szCs w:val="18"/>
          <w:color w:val="auto"/>
        </w:rPr>
        <w:t>by decision of the Court as described in Section 233 of the Law.</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REMUNERATION OF DIRECTOR</w:t>
      </w:r>
    </w:p>
    <w:p>
      <w:pPr>
        <w:spacing w:after="0" w:line="229" w:lineRule="exact"/>
        <w:rPr>
          <w:sz w:val="20"/>
          <w:szCs w:val="20"/>
          <w:color w:val="auto"/>
        </w:rPr>
      </w:pPr>
    </w:p>
    <w:p>
      <w:pPr>
        <w:jc w:val="both"/>
        <w:ind w:left="440" w:right="119" w:hanging="315"/>
        <w:spacing w:after="0" w:line="290" w:lineRule="auto"/>
        <w:tabs>
          <w:tab w:leader="none" w:pos="44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Members of the Board of Directors, not being employees of the Company or professionals providing special professional services for consideration to its members — shall not receive a salary from funds of the Company unless the General Meeting has so decided and in the amount that the General Meeting shall decide upon. Subject to Law, or any other applicable law, if pursuant to a decision of the Board of Directors, one of the directors shall perform services or tasks aside from his regular duties as a director, whether as a result of his particular profession or by a trip or stay abroad or otherwise, the Board of Directors may decide to pay him a special wage in addition to his regular salary, and such a wage shall be paid by way of salary, commission, participation in profits or otherwise and this wage shall be in addition to his regular salary, if there shall be any, or will be in place thereof, as shall be decided.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5" w:name="page176"/>
    <w:bookmarkEnd w:id="175"/>
    <w:p>
      <w:pPr>
        <w:ind w:left="120"/>
        <w:spacing w:after="0"/>
        <w:rPr>
          <w:sz w:val="20"/>
          <w:szCs w:val="20"/>
          <w:color w:val="auto"/>
        </w:rPr>
      </w:pPr>
      <w:r>
        <w:rPr>
          <w:rFonts w:ascii="Arial" w:cs="Arial" w:eastAsia="Arial" w:hAnsi="Arial"/>
          <w:sz w:val="18"/>
          <w:szCs w:val="18"/>
          <w:b w:val="1"/>
          <w:bCs w:val="1"/>
          <w:u w:val="single" w:color="auto"/>
          <w:color w:val="auto"/>
        </w:rPr>
        <w:t>POWERS AND DUTIES OF DIRECTORS</w:t>
      </w:r>
    </w:p>
    <w:p>
      <w:pPr>
        <w:spacing w:after="0" w:line="229" w:lineRule="exact"/>
        <w:rPr>
          <w:sz w:val="20"/>
          <w:szCs w:val="20"/>
          <w:color w:val="auto"/>
        </w:rPr>
      </w:pPr>
    </w:p>
    <w:p>
      <w:pPr>
        <w:jc w:val="both"/>
        <w:ind w:left="440" w:right="119" w:hanging="315"/>
        <w:spacing w:after="0" w:line="254" w:lineRule="auto"/>
        <w:tabs>
          <w:tab w:leader="none" w:pos="4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addition to all powers and authorities of the Board of Directors as specified in the Law, the determination of the Company’s policy, and the supervision of the General Manager (as defined below) and the Company’s officers shall be vested in the Board of Directors. In addition, the Board of Directors may exercise all such powers and do all such acts as the Company is authorized to exercise and do, and are not hereby or by law required to be exercised or done by the Company in General Meeting or by the General Manager under his express or residual authority. The authority conferred on the Board of Directors by this Article 71 shall be subject to the provisions of the Law, these Articles and any regulation or resolution consistent with these Articles adopted from time to time by the Company in general meeting.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CONFLICT OF INTEREST</w:t>
      </w:r>
    </w:p>
    <w:p>
      <w:pPr>
        <w:spacing w:after="0" w:line="229" w:lineRule="exact"/>
        <w:rPr>
          <w:sz w:val="20"/>
          <w:szCs w:val="20"/>
          <w:color w:val="auto"/>
        </w:rPr>
      </w:pPr>
    </w:p>
    <w:p>
      <w:pPr>
        <w:jc w:val="both"/>
        <w:ind w:left="440" w:right="119" w:hanging="315"/>
        <w:spacing w:after="0" w:line="257" w:lineRule="auto"/>
        <w:tabs>
          <w:tab w:leader="none" w:pos="41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the provisions of the Law and these Articles including but not limited to Article 54, the Company may enter into any contract or otherwise transact any business with any member of the Board of Directors in which contract or business such member has a personal interest, directly or indirectly; and may enter into any contract of otherwise transact any business with any third party in which contract or business a member of the Board of Directors has a personal interest, directly or indirectly.</w:t>
      </w:r>
    </w:p>
    <w:p>
      <w:pPr>
        <w:spacing w:after="0" w:line="188" w:lineRule="exact"/>
        <w:rPr>
          <w:rFonts w:ascii="Arial" w:cs="Arial" w:eastAsia="Arial" w:hAnsi="Arial"/>
          <w:sz w:val="18"/>
          <w:szCs w:val="18"/>
          <w:color w:val="auto"/>
        </w:rPr>
      </w:pPr>
    </w:p>
    <w:p>
      <w:pPr>
        <w:ind w:left="440" w:right="119" w:hanging="315"/>
        <w:spacing w:after="0" w:line="277" w:lineRule="auto"/>
        <w:tabs>
          <w:tab w:leader="none" w:pos="41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transactions and actions in which an Officer (as defined in the Law) has a personal interest shall be approved in accordance with the Law and in accordance with the provisions of these Articles.</w:t>
      </w:r>
    </w:p>
    <w:p>
      <w:pPr>
        <w:spacing w:after="0" w:line="170" w:lineRule="exact"/>
        <w:rPr>
          <w:rFonts w:ascii="Arial" w:cs="Arial" w:eastAsia="Arial" w:hAnsi="Arial"/>
          <w:sz w:val="18"/>
          <w:szCs w:val="18"/>
          <w:color w:val="auto"/>
        </w:rPr>
      </w:pPr>
    </w:p>
    <w:p>
      <w:pPr>
        <w:jc w:val="both"/>
        <w:ind w:left="440" w:right="119" w:hanging="315"/>
        <w:spacing w:after="0" w:line="264" w:lineRule="auto"/>
        <w:tabs>
          <w:tab w:leader="none" w:pos="42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member of the Board of Directors may hold another paid position or function in the Company, together with his position as a director (except an auditor) upon those conditions with respect to salary and other matters as decided by the Board of Directors and approved by the shareholders of the Company.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FUNCTIONS OF THE DIRECTORS</w:t>
      </w:r>
    </w:p>
    <w:p>
      <w:pPr>
        <w:spacing w:after="0" w:line="229" w:lineRule="exact"/>
        <w:rPr>
          <w:sz w:val="20"/>
          <w:szCs w:val="20"/>
          <w:color w:val="auto"/>
        </w:rPr>
      </w:pPr>
    </w:p>
    <w:p>
      <w:pPr>
        <w:ind w:left="820" w:right="119" w:hanging="695"/>
        <w:spacing w:after="0" w:line="264" w:lineRule="auto"/>
        <w:tabs>
          <w:tab w:leader="none" w:pos="41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The Board of Directors may meet in order to transact business at its discretion to adjourn their meetings or to organize them otherwise as they shall deem fit, and to determine the legal quorum necessary to conduct business.</w:t>
      </w:r>
    </w:p>
    <w:p>
      <w:pPr>
        <w:spacing w:after="0" w:line="181" w:lineRule="exact"/>
        <w:rPr>
          <w:rFonts w:ascii="Arial" w:cs="Arial" w:eastAsia="Arial" w:hAnsi="Arial"/>
          <w:sz w:val="18"/>
          <w:szCs w:val="18"/>
          <w:color w:val="auto"/>
        </w:rPr>
      </w:pPr>
    </w:p>
    <w:p>
      <w:pPr>
        <w:ind w:left="800" w:right="119" w:hanging="369"/>
        <w:spacing w:after="0" w:line="342" w:lineRule="auto"/>
        <w:tabs>
          <w:tab w:leader="none" w:pos="78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If it shall not be otherwise decided by seventy five percent (75%) of the members of the Board of Directors the quorum shall be the majority of the directors then in office present personally or represented by their substitute.</w:t>
      </w:r>
    </w:p>
    <w:p>
      <w:pPr>
        <w:spacing w:after="0" w:line="123" w:lineRule="exact"/>
        <w:rPr>
          <w:rFonts w:ascii="Arial" w:cs="Arial" w:eastAsia="Arial" w:hAnsi="Arial"/>
          <w:sz w:val="16"/>
          <w:szCs w:val="16"/>
          <w:color w:val="auto"/>
        </w:rPr>
      </w:pPr>
    </w:p>
    <w:p>
      <w:pPr>
        <w:ind w:left="800" w:right="119" w:hanging="369"/>
        <w:spacing w:after="0" w:line="277" w:lineRule="auto"/>
        <w:tabs>
          <w:tab w:leader="none" w:pos="84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the purposes of this Article 75, two (2) directors who are represented by the same substitute, will be considered one Board member for purpose of quorum requirements.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CHAIRMAN</w:t>
      </w:r>
    </w:p>
    <w:p>
      <w:pPr>
        <w:spacing w:after="0" w:line="229" w:lineRule="exact"/>
        <w:rPr>
          <w:sz w:val="20"/>
          <w:szCs w:val="20"/>
          <w:color w:val="auto"/>
        </w:rPr>
      </w:pPr>
    </w:p>
    <w:p>
      <w:pPr>
        <w:ind w:left="820" w:right="119" w:hanging="695"/>
        <w:spacing w:after="0" w:line="255" w:lineRule="auto"/>
        <w:tabs>
          <w:tab w:leader="none" w:pos="40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Fortissimo may from time to time elect one of the members of the Board of Directors to be the Chairman of the Board of Directors, remove such Chairman from office and appoint another members of the Board of Directors in its place. The Chairman of the Board of Directors shall preside at every meeting of the Board of Directors, but if there is no such Chairman, or if at any meeting he is not present within fifteen (15) minutes of the time fixed for the meeting, or if he is unwilling to take the chair, the members of the Board of Directors present shall choose one of their member to be the chairman of such meeting. The Chairman shall not be entitled to an additional or casting vote.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MEETINGS</w:t>
      </w:r>
    </w:p>
    <w:p>
      <w:pPr>
        <w:spacing w:after="0" w:line="229" w:lineRule="exact"/>
        <w:rPr>
          <w:sz w:val="20"/>
          <w:szCs w:val="20"/>
          <w:color w:val="auto"/>
        </w:rPr>
      </w:pPr>
    </w:p>
    <w:p>
      <w:pPr>
        <w:jc w:val="both"/>
        <w:ind w:left="440" w:right="119" w:hanging="315"/>
        <w:spacing w:after="0" w:line="264" w:lineRule="auto"/>
        <w:tabs>
          <w:tab w:leader="none" w:pos="4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any contrary resolution accepted by the Board of Directors, a member of the Board of Directors may at any time call a Board of Directors’ meeting, and the secretary shall be required on the request of such member to convene a Board of Directors’ meeting.</w:t>
      </w:r>
    </w:p>
    <w:p>
      <w:pPr>
        <w:spacing w:after="0" w:line="181" w:lineRule="exact"/>
        <w:rPr>
          <w:rFonts w:ascii="Arial" w:cs="Arial" w:eastAsia="Arial" w:hAnsi="Arial"/>
          <w:sz w:val="18"/>
          <w:szCs w:val="18"/>
          <w:color w:val="auto"/>
        </w:rPr>
      </w:pPr>
    </w:p>
    <w:p>
      <w:pPr>
        <w:ind w:left="820" w:right="119" w:hanging="695"/>
        <w:spacing w:after="0" w:line="279" w:lineRule="auto"/>
        <w:tabs>
          <w:tab w:leader="none" w:pos="41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Any notice of a Board of Directors’ meeting can be given orally, by telephone, in writing, or by facsimile, or telefax provided that the notice is given seventy two (72) hours before the time appointed for the meeting, unless all the members of the Board of Directors having received a shorter notice, shall agree to such a shorter notice. Such notice shall include reasonable details on all subjects on the agenda.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6" w:name="page177"/>
    <w:bookmarkEnd w:id="176"/>
    <w:p>
      <w:pPr>
        <w:ind w:left="780" w:hanging="349"/>
        <w:spacing w:after="0"/>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Prior and timely notice of the convening of a Board of Directors’ meeting shall be given to all directors.</w:t>
      </w:r>
    </w:p>
    <w:p>
      <w:pPr>
        <w:spacing w:after="0" w:line="225" w:lineRule="exact"/>
        <w:rPr>
          <w:rFonts w:ascii="Arial" w:cs="Arial" w:eastAsia="Arial" w:hAnsi="Arial"/>
          <w:sz w:val="18"/>
          <w:szCs w:val="18"/>
          <w:color w:val="auto"/>
        </w:rPr>
      </w:pPr>
    </w:p>
    <w:p>
      <w:pPr>
        <w:ind w:left="800" w:right="119" w:hanging="369"/>
        <w:spacing w:after="0" w:line="277" w:lineRule="auto"/>
        <w:tabs>
          <w:tab w:leader="none" w:pos="8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acts and determinations of the Board of Directors shall be determined by a simple majority of those attending unless a Special Resolution is required with respect to such resolution.</w:t>
      </w:r>
    </w:p>
    <w:p>
      <w:pPr>
        <w:spacing w:after="0" w:line="170" w:lineRule="exact"/>
        <w:rPr>
          <w:rFonts w:ascii="Arial" w:cs="Arial" w:eastAsia="Arial" w:hAnsi="Arial"/>
          <w:sz w:val="18"/>
          <w:szCs w:val="18"/>
          <w:color w:val="auto"/>
        </w:rPr>
      </w:pPr>
    </w:p>
    <w:p>
      <w:pPr>
        <w:jc w:val="both"/>
        <w:ind w:left="800" w:right="119" w:hanging="369"/>
        <w:spacing w:after="0" w:line="279" w:lineRule="auto"/>
        <w:tabs>
          <w:tab w:leader="none" w:pos="79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Members of the Board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attendance in person at the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DELEGATION OF POWER</w:t>
      </w:r>
    </w:p>
    <w:p>
      <w:pPr>
        <w:spacing w:after="0" w:line="229" w:lineRule="exact"/>
        <w:rPr>
          <w:sz w:val="20"/>
          <w:szCs w:val="20"/>
          <w:color w:val="auto"/>
        </w:rPr>
      </w:pPr>
    </w:p>
    <w:p>
      <w:pPr>
        <w:ind w:left="820" w:right="119" w:hanging="695"/>
        <w:spacing w:after="0" w:line="264" w:lineRule="auto"/>
        <w:tabs>
          <w:tab w:leader="none" w:pos="41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Subject to the provisions of the Law, the Board of Directors may delegate any of their powers to committees consisting of such member or members of their body as they deem fit and may, from time to time, revoke such delegation or alter the composition of any such committee.</w:t>
      </w:r>
    </w:p>
    <w:p>
      <w:pPr>
        <w:spacing w:after="0" w:line="181" w:lineRule="exact"/>
        <w:rPr>
          <w:rFonts w:ascii="Arial" w:cs="Arial" w:eastAsia="Arial" w:hAnsi="Arial"/>
          <w:sz w:val="18"/>
          <w:szCs w:val="18"/>
          <w:color w:val="auto"/>
        </w:rPr>
      </w:pPr>
    </w:p>
    <w:p>
      <w:pPr>
        <w:jc w:val="both"/>
        <w:ind w:left="800" w:right="119" w:hanging="369"/>
        <w:spacing w:after="0" w:line="255" w:lineRule="auto"/>
        <w:tabs>
          <w:tab w:leader="none" w:pos="83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the exercise of any power delegated to it by the Board of Directors all committees shall conform to any regulations that may be imposed upon them by the Board of Directors, if there shall be any such regulation. If no such regulations are adopted by the Board of Directors or if there are no complete and encompassing regulations, the committees shall act pursuant to these Articles dealing with organization of meetings, meetings and functions of the Board of Directors, mutatis mutandis, and insofar as no provision of the Board of Directors shall replace it pursuant to this Article 79.</w:t>
      </w:r>
    </w:p>
    <w:p>
      <w:pPr>
        <w:spacing w:after="0" w:line="193" w:lineRule="exact"/>
        <w:rPr>
          <w:sz w:val="20"/>
          <w:szCs w:val="20"/>
          <w:color w:val="auto"/>
        </w:rPr>
      </w:pPr>
    </w:p>
    <w:p>
      <w:pPr>
        <w:jc w:val="both"/>
        <w:ind w:left="800" w:right="119" w:hanging="369"/>
        <w:spacing w:after="0" w:line="276" w:lineRule="auto"/>
        <w:tabs>
          <w:tab w:leader="none" w:pos="80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Subject to the provisions of the Law, all actions performed in a bona fide fashion by the Board of Directors or by a committee of the Board of Directors, or by any person acting as a director or as a substitute shall be as valid, even if at a later date a flaw shall be discovered in the appointment of such a director or such a person acting as aforesaid, or that all or some of them were unfit as if each and every one of those persons shall have been duly appointed and fit to serve as a director or substitute as the case may be.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GENERAL MANAGER</w:t>
      </w:r>
    </w:p>
    <w:p>
      <w:pPr>
        <w:spacing w:after="0" w:line="229" w:lineRule="exact"/>
        <w:rPr>
          <w:sz w:val="20"/>
          <w:szCs w:val="20"/>
          <w:color w:val="auto"/>
        </w:rPr>
      </w:pPr>
    </w:p>
    <w:p>
      <w:pPr>
        <w:ind w:left="820" w:right="119" w:hanging="695"/>
        <w:spacing w:after="0" w:line="257" w:lineRule="auto"/>
        <w:tabs>
          <w:tab w:leader="none" w:pos="40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The Board of Directors may from time to time appoint one or more persons, whether or not he is a member of the Board of Directors, as the General Manager of the Company, either for a fixed period of time or without limiting the time that he or they will stay in office, and they may from time to time (subject to any provision in any contract between him or them and the Company) release him or them from their office and appoint another or others in his or their place.</w:t>
      </w:r>
    </w:p>
    <w:p>
      <w:pPr>
        <w:spacing w:after="0" w:line="188" w:lineRule="exact"/>
        <w:rPr>
          <w:rFonts w:ascii="Arial" w:cs="Arial" w:eastAsia="Arial" w:hAnsi="Arial"/>
          <w:sz w:val="18"/>
          <w:szCs w:val="18"/>
          <w:color w:val="auto"/>
        </w:rPr>
      </w:pPr>
    </w:p>
    <w:p>
      <w:pPr>
        <w:jc w:val="both"/>
        <w:ind w:left="820" w:right="119" w:hanging="371"/>
        <w:spacing w:after="0" w:line="255" w:lineRule="auto"/>
        <w:tabs>
          <w:tab w:leader="none" w:pos="80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Board of Directors may from time to time subject to the provisions of the Law, grant and bestow upon the General Manager, at that time, those powers and authorities that it exercises pursuant to these Articles, as it shall deem fit, and may grant those powers and authorities for such period, and to be exercised for such objectives and purposes and in such time and conditions, and on such restrictions, as it shall decide; and it may grant such authorities whether concurrently with the Board of Directors’ authorities in that area, or in excess of them, or in place thereof or any one of them, and it can from time to time revoke, repeal, or change any one or all of those authorities.</w:t>
      </w:r>
    </w:p>
    <w:p>
      <w:pPr>
        <w:spacing w:after="0" w:line="189" w:lineRule="exact"/>
        <w:rPr>
          <w:rFonts w:ascii="Arial" w:cs="Arial" w:eastAsia="Arial" w:hAnsi="Arial"/>
          <w:sz w:val="18"/>
          <w:szCs w:val="18"/>
          <w:color w:val="auto"/>
        </w:rPr>
      </w:pPr>
    </w:p>
    <w:p>
      <w:pPr>
        <w:jc w:val="both"/>
        <w:ind w:left="820" w:right="119" w:hanging="371"/>
        <w:spacing w:after="0" w:line="264" w:lineRule="auto"/>
        <w:tabs>
          <w:tab w:leader="none" w:pos="86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General Manager shall be responsible, within the boundary of the policy determined by the Board of Directors and subject to its direction, for: (i) the preparation and the carry out of the annual operating plan of the Company; and (ii) the day to day operation of the Company’s business.</w:t>
      </w:r>
    </w:p>
    <w:p>
      <w:pPr>
        <w:spacing w:after="0" w:line="181" w:lineRule="exact"/>
        <w:rPr>
          <w:rFonts w:ascii="Arial" w:cs="Arial" w:eastAsia="Arial" w:hAnsi="Arial"/>
          <w:sz w:val="18"/>
          <w:szCs w:val="18"/>
          <w:color w:val="auto"/>
        </w:rPr>
      </w:pPr>
    </w:p>
    <w:p>
      <w:pPr>
        <w:jc w:val="both"/>
        <w:ind w:left="820" w:right="119" w:hanging="371"/>
        <w:spacing w:after="0" w:line="264" w:lineRule="auto"/>
        <w:tabs>
          <w:tab w:leader="none" w:pos="81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General Manager shall have all the powers of management and implementation, which by this Law or by the Articles were not vested in another organ of the Company, and he shall be subject to the supervision of the Board of Directors.</w:t>
      </w:r>
    </w:p>
    <w:p>
      <w:pPr>
        <w:spacing w:after="0" w:line="181" w:lineRule="exact"/>
        <w:rPr>
          <w:rFonts w:ascii="Arial" w:cs="Arial" w:eastAsia="Arial" w:hAnsi="Arial"/>
          <w:sz w:val="18"/>
          <w:szCs w:val="18"/>
          <w:color w:val="auto"/>
        </w:rPr>
      </w:pPr>
    </w:p>
    <w:p>
      <w:pPr>
        <w:ind w:left="780" w:hanging="331"/>
        <w:spacing w:after="0"/>
        <w:tabs>
          <w:tab w:leader="none" w:pos="7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General Manager may, subject to the approval of the Board of Directors, delegate powers to others.</w:t>
      </w:r>
    </w:p>
    <w:p>
      <w:pPr>
        <w:spacing w:after="0" w:line="236" w:lineRule="exact"/>
        <w:rPr>
          <w:rFonts w:ascii="Arial" w:cs="Arial" w:eastAsia="Arial" w:hAnsi="Arial"/>
          <w:sz w:val="17"/>
          <w:szCs w:val="17"/>
          <w:color w:val="auto"/>
        </w:rPr>
      </w:pPr>
    </w:p>
    <w:p>
      <w:pPr>
        <w:ind w:left="820" w:right="119" w:hanging="371"/>
        <w:spacing w:after="0" w:line="277" w:lineRule="auto"/>
        <w:tabs>
          <w:tab w:leader="none" w:pos="84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General Manager shall inform the Board of Directors of any extraordinary matter that is substantive for the Company.</w:t>
      </w:r>
    </w:p>
    <w:p>
      <w:pPr>
        <w:spacing w:after="0" w:line="170" w:lineRule="exact"/>
        <w:rPr>
          <w:rFonts w:ascii="Arial" w:cs="Arial" w:eastAsia="Arial" w:hAnsi="Arial"/>
          <w:sz w:val="18"/>
          <w:szCs w:val="18"/>
          <w:color w:val="auto"/>
        </w:rPr>
      </w:pPr>
    </w:p>
    <w:p>
      <w:pPr>
        <w:ind w:left="820" w:right="119" w:hanging="371"/>
        <w:spacing w:after="0" w:line="277" w:lineRule="auto"/>
        <w:tabs>
          <w:tab w:leader="none" w:pos="78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General Manager shall submit reports to the Board of Directors on subjects, at times and to an extent, as the Board of Directors will prescribe.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7" w:name="page178"/>
    <w:bookmarkEnd w:id="177"/>
    <w:p>
      <w:pPr>
        <w:ind w:left="820" w:right="119" w:hanging="371"/>
        <w:spacing w:after="0" w:line="308" w:lineRule="auto"/>
        <w:tabs>
          <w:tab w:leader="none" w:pos="81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Chairman of the Board of Directors may, at any time at his own initiative or on decisions by the Board of Directors, demand reports from the General Manager on subjects related to the Company’s affairs.</w:t>
      </w:r>
    </w:p>
    <w:p>
      <w:pPr>
        <w:spacing w:after="0" w:line="146" w:lineRule="exact"/>
        <w:rPr>
          <w:rFonts w:ascii="Arial" w:cs="Arial" w:eastAsia="Arial" w:hAnsi="Arial"/>
          <w:sz w:val="17"/>
          <w:szCs w:val="17"/>
          <w:color w:val="auto"/>
        </w:rPr>
      </w:pPr>
    </w:p>
    <w:p>
      <w:pPr>
        <w:ind w:left="820" w:right="119" w:hanging="371"/>
        <w:spacing w:after="0" w:line="308" w:lineRule="auto"/>
        <w:tabs>
          <w:tab w:leader="none" w:pos="90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 notice or report from the General Manager requires action on the part of the Board of Directors, the Chairman of the Board of Directors shall convene a meeting of the Board of Directors without delay.</w:t>
      </w:r>
    </w:p>
    <w:p>
      <w:pPr>
        <w:spacing w:after="0" w:line="146" w:lineRule="exact"/>
        <w:rPr>
          <w:rFonts w:ascii="Arial" w:cs="Arial" w:eastAsia="Arial" w:hAnsi="Arial"/>
          <w:sz w:val="17"/>
          <w:szCs w:val="17"/>
          <w:color w:val="auto"/>
        </w:rPr>
      </w:pPr>
    </w:p>
    <w:p>
      <w:pPr>
        <w:jc w:val="both"/>
        <w:ind w:left="820" w:right="119" w:hanging="371"/>
        <w:spacing w:after="0" w:line="257" w:lineRule="auto"/>
        <w:tabs>
          <w:tab w:leader="none" w:pos="80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the aforesaid in Article 79 the wages of the General Manager shall be determined from time to time by the Board of Directors (subject to any provision in any contract between him and the Company) and it may be paid by way of a fixed salary or commission or dividends, or a percentage of profits or the Company profit turnover or of any other Company that the Company has an interest in, or by participation in such profits, or in one or more of the aforementioned methods.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MINUTES</w:t>
      </w:r>
    </w:p>
    <w:p>
      <w:pPr>
        <w:spacing w:after="0" w:line="229" w:lineRule="exact"/>
        <w:rPr>
          <w:sz w:val="20"/>
          <w:szCs w:val="20"/>
          <w:color w:val="auto"/>
        </w:rPr>
      </w:pPr>
    </w:p>
    <w:p>
      <w:pPr>
        <w:ind w:left="820" w:right="119" w:hanging="695"/>
        <w:spacing w:after="0" w:line="264" w:lineRule="auto"/>
        <w:tabs>
          <w:tab w:leader="none" w:pos="41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The directors shall cause minutes to be taken of all General Meetings of the Company, of the appointments of officers of the Company, of Board of Directors’ meetings and of committee meetings that shall include the following items:</w:t>
      </w:r>
    </w:p>
    <w:p>
      <w:pPr>
        <w:spacing w:after="0" w:line="181" w:lineRule="exact"/>
        <w:rPr>
          <w:rFonts w:ascii="Arial" w:cs="Arial" w:eastAsia="Arial" w:hAnsi="Arial"/>
          <w:sz w:val="18"/>
          <w:szCs w:val="18"/>
          <w:color w:val="auto"/>
        </w:rPr>
      </w:pPr>
    </w:p>
    <w:p>
      <w:pPr>
        <w:ind w:left="1060" w:hanging="305"/>
        <w:spacing w:after="0"/>
        <w:tabs>
          <w:tab w:leader="none" w:pos="10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names of the members present, (ii) the results of the vote; and (iii) the resolutions adopted.</w:t>
      </w:r>
    </w:p>
    <w:p>
      <w:pPr>
        <w:spacing w:after="0" w:line="225" w:lineRule="exact"/>
        <w:rPr>
          <w:sz w:val="20"/>
          <w:szCs w:val="20"/>
          <w:color w:val="auto"/>
        </w:rPr>
      </w:pPr>
    </w:p>
    <w:p>
      <w:pPr>
        <w:ind w:left="800" w:right="119" w:hanging="369"/>
        <w:spacing w:after="0" w:line="277" w:lineRule="auto"/>
        <w:tabs>
          <w:tab w:leader="none" w:pos="77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minutes of any General Meeting shall serve as prima facie proof as to the facts in the minutes if the minutes are signed by the Chairman of the Board of Directors or by the Chairman of said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RESOLUTION IN WRITING</w:t>
      </w:r>
    </w:p>
    <w:p>
      <w:pPr>
        <w:spacing w:after="0" w:line="229" w:lineRule="exact"/>
        <w:rPr>
          <w:sz w:val="20"/>
          <w:szCs w:val="20"/>
          <w:color w:val="auto"/>
        </w:rPr>
      </w:pPr>
    </w:p>
    <w:p>
      <w:pPr>
        <w:jc w:val="both"/>
        <w:ind w:left="440" w:right="119" w:hanging="315"/>
        <w:spacing w:after="0" w:line="255" w:lineRule="auto"/>
        <w:tabs>
          <w:tab w:leader="none" w:pos="43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resolution in writing, in accordance with the Law, signed by the Chairman of the Board of Directors, or of a committee thereof, provided that all of the members of the Board of Directors or a committee have agreed to adopt such resolution without convening a meeting in writing or by facsimile or telefax or e-mail, shall be valid for every purpose as a resolution adopted at a Board of Directors’ or committee meeting, as the case may be, that was duly convened and held. In place of a director the aforesaid resolution may be signed and delivered by his substitute or his attorney or his substitute’s attorney.</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STAMP AND SIGNATURES</w:t>
      </w:r>
    </w:p>
    <w:p>
      <w:pPr>
        <w:spacing w:after="0" w:line="229" w:lineRule="exact"/>
        <w:rPr>
          <w:sz w:val="20"/>
          <w:szCs w:val="20"/>
          <w:color w:val="auto"/>
        </w:rPr>
      </w:pPr>
    </w:p>
    <w:p>
      <w:pPr>
        <w:ind w:left="400" w:hanging="275"/>
        <w:spacing w:after="0"/>
        <w:tabs>
          <w:tab w:leader="none" w:pos="4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  The Company may have a rubber stamp. The directors shall ensure that such a stamp is kept in a safe place.</w:t>
      </w:r>
    </w:p>
    <w:p>
      <w:pPr>
        <w:spacing w:after="0" w:line="248" w:lineRule="exact"/>
        <w:rPr>
          <w:rFonts w:ascii="Arial" w:cs="Arial" w:eastAsia="Arial" w:hAnsi="Arial"/>
          <w:sz w:val="16"/>
          <w:szCs w:val="16"/>
          <w:color w:val="auto"/>
        </w:rPr>
      </w:pPr>
    </w:p>
    <w:p>
      <w:pPr>
        <w:jc w:val="both"/>
        <w:ind w:left="800" w:right="119" w:hanging="369"/>
        <w:spacing w:after="0" w:line="259" w:lineRule="auto"/>
        <w:tabs>
          <w:tab w:leader="none" w:pos="77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Board of Directors may designate and authorize any person or persons (even if they are not members of the Board of Directors) to act and to sign in the name of the Company, and the acts and signatures of such a person or persons shall bind the Company, insofar as such person or persons have acted and signed within the limits of their aforesaid authority.</w:t>
      </w:r>
    </w:p>
    <w:p>
      <w:pPr>
        <w:spacing w:after="0" w:line="186" w:lineRule="exact"/>
        <w:rPr>
          <w:rFonts w:ascii="Arial" w:cs="Arial" w:eastAsia="Arial" w:hAnsi="Arial"/>
          <w:sz w:val="18"/>
          <w:szCs w:val="18"/>
          <w:color w:val="auto"/>
        </w:rPr>
      </w:pPr>
    </w:p>
    <w:p>
      <w:pPr>
        <w:jc w:val="both"/>
        <w:ind w:left="800" w:right="119" w:hanging="369"/>
        <w:spacing w:after="0" w:line="264" w:lineRule="auto"/>
        <w:tabs>
          <w:tab w:leader="none" w:pos="80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printing of the name of the Company by a typewriter or by hand next to the signatures of the authorized signatories of the Company, pursuant to Article 84(b), shall be valid as if the rubber stamp of the Company was affixed.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BRANCH REGISTERS</w:t>
      </w:r>
    </w:p>
    <w:p>
      <w:pPr>
        <w:spacing w:after="0" w:line="229" w:lineRule="exact"/>
        <w:rPr>
          <w:sz w:val="20"/>
          <w:szCs w:val="20"/>
          <w:color w:val="auto"/>
        </w:rPr>
      </w:pPr>
    </w:p>
    <w:p>
      <w:pPr>
        <w:jc w:val="both"/>
        <w:ind w:left="440" w:right="119" w:hanging="315"/>
        <w:spacing w:after="0" w:line="264" w:lineRule="auto"/>
        <w:tabs>
          <w:tab w:leader="none" w:pos="42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may, subject to the provisions of the Law keep in every other country where those provisions shall apply, a register or registers of members living in that other country as aforesaid, and to exercise any other powers referred to in the laws with respect to such branch registers.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SECRETARY, OFFICERS, ATTORNEYS AND OTHERS</w:t>
      </w:r>
    </w:p>
    <w:p>
      <w:pPr>
        <w:spacing w:after="0" w:line="229" w:lineRule="exact"/>
        <w:rPr>
          <w:sz w:val="20"/>
          <w:szCs w:val="20"/>
          <w:color w:val="auto"/>
        </w:rPr>
      </w:pPr>
    </w:p>
    <w:p>
      <w:pPr>
        <w:ind w:left="820" w:right="119" w:hanging="695"/>
        <w:spacing w:after="0" w:line="264" w:lineRule="auto"/>
        <w:tabs>
          <w:tab w:leader="none" w:pos="41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The Board of Directors may appoint a secretary of the Company upon the conditions that they seem fit. The directors may as well, from time to time, appoint an associate secretary who shall be deemed to be the secretary for the period of his appointment.</w:t>
      </w:r>
    </w:p>
    <w:p>
      <w:pPr>
        <w:spacing w:after="0" w:line="181" w:lineRule="exact"/>
        <w:rPr>
          <w:sz w:val="20"/>
          <w:szCs w:val="20"/>
          <w:color w:val="auto"/>
        </w:rPr>
      </w:pPr>
    </w:p>
    <w:p>
      <w:pPr>
        <w:jc w:val="both"/>
        <w:ind w:left="800" w:right="119" w:hanging="369"/>
        <w:spacing w:after="0" w:line="264" w:lineRule="auto"/>
        <w:tabs>
          <w:tab w:leader="none" w:pos="89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Board of Directors may, from time to time appoint to the Company, officers, workers, agents and functionaries to permanent, temporary or special positions, as they shall, from time to time, see fit and set compensation for them.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8" w:name="page179"/>
    <w:bookmarkEnd w:id="178"/>
    <w:p>
      <w:pPr>
        <w:ind w:left="800" w:right="219" w:hanging="369"/>
        <w:spacing w:after="0" w:line="255" w:lineRule="auto"/>
        <w:tabs>
          <w:tab w:leader="none" w:pos="7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Board of Directors may, at any time and from time to time, authorize any Company, firm, person or group of people, whether this authorization is done by the Board of Directors directly or indirectly, to be the attorneys in fact of the Company for those purposes and with those powers and discretions which shall not exceed those conferred upon the Board of Directors or that the Board of Directors can exercise pursuant to these Articles, and for such a period of time and upon such conditions as the directors deem proper, and every such authorization may contain such directives as the Board of Directors deems proper for the protection and benefit of the persons dealing with such attorneys.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DIVIDEND</w:t>
      </w:r>
    </w:p>
    <w:p>
      <w:pPr>
        <w:spacing w:after="0" w:line="202" w:lineRule="exact"/>
        <w:rPr>
          <w:sz w:val="20"/>
          <w:szCs w:val="20"/>
          <w:color w:val="auto"/>
        </w:rPr>
      </w:pPr>
    </w:p>
    <w:p>
      <w:pPr>
        <w:ind w:left="820" w:right="119" w:hanging="695"/>
        <w:spacing w:after="0" w:line="293" w:lineRule="auto"/>
        <w:tabs>
          <w:tab w:leader="none" w:pos="45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 Subject to the provisions of these Articles, and subject to any other rights and conditions attached at that time to any share in the capital of the Company granting preferential, special or deferred rights or not granting any rights with respect to dividends, the profits of the Company shall be distributable to the members of the Company according to the proportion of the nominal value paid up on account of the shares held by them at the date so appointed by the Company, without regard to the premium paid in excess of the nominal value. Actual distribution, setting aside or declaration of dividend requires a decision of the Board of Directors.</w:t>
      </w:r>
    </w:p>
    <w:p>
      <w:pPr>
        <w:spacing w:after="0" w:line="124" w:lineRule="exact"/>
        <w:rPr>
          <w:rFonts w:ascii="Arial" w:cs="Arial" w:eastAsia="Arial" w:hAnsi="Arial"/>
          <w:sz w:val="16"/>
          <w:szCs w:val="16"/>
          <w:color w:val="auto"/>
        </w:rPr>
      </w:pPr>
    </w:p>
    <w:p>
      <w:pPr>
        <w:jc w:val="both"/>
        <w:ind w:left="880" w:right="119" w:hanging="379"/>
        <w:spacing w:after="0" w:line="276" w:lineRule="auto"/>
        <w:tabs>
          <w:tab w:leader="none" w:pos="85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Board of Directors may issue any share upon the condition that a dividend shall be paid at a certain date or that a portion of the declared dividend for a certain period shall be paid, or that the period for which a dividend shall be paid shall commence at a certain date, or a similar condition, all as decided by the Board of Directors. In every such case, subject to the provision mentioned in the beginning of this Article, the dividend shall be paid in respect of such a share in accordance with such a condition.</w:t>
      </w:r>
    </w:p>
    <w:p>
      <w:pPr>
        <w:spacing w:after="0" w:line="132" w:lineRule="exact"/>
        <w:rPr>
          <w:rFonts w:ascii="Arial" w:cs="Arial" w:eastAsia="Arial" w:hAnsi="Arial"/>
          <w:sz w:val="17"/>
          <w:szCs w:val="17"/>
          <w:color w:val="auto"/>
        </w:rPr>
      </w:pPr>
    </w:p>
    <w:p>
      <w:pPr>
        <w:jc w:val="both"/>
        <w:ind w:left="440" w:right="119" w:hanging="315"/>
        <w:spacing w:after="0" w:line="259" w:lineRule="auto"/>
        <w:tabs>
          <w:tab w:leader="none" w:pos="4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the time of declaration of a dividend the Company may decide that such a dividend shall be paid in part or in whole, by way of distribution of certain properties, especially by way of distribution of fully paid up shares or debentures or debenture stock of the Company, or by way of distribution of fully paid up shares or debentures or debenture stock of any other Company or in one or more of the aforesaid ways.</w:t>
      </w:r>
    </w:p>
    <w:p>
      <w:pPr>
        <w:spacing w:after="0" w:line="159" w:lineRule="exact"/>
        <w:rPr>
          <w:rFonts w:ascii="Arial" w:cs="Arial" w:eastAsia="Arial" w:hAnsi="Arial"/>
          <w:sz w:val="18"/>
          <w:szCs w:val="18"/>
          <w:color w:val="auto"/>
        </w:rPr>
      </w:pPr>
    </w:p>
    <w:p>
      <w:pPr>
        <w:jc w:val="both"/>
        <w:ind w:left="440" w:right="119" w:hanging="315"/>
        <w:spacing w:after="0" w:line="264" w:lineRule="auto"/>
        <w:tabs>
          <w:tab w:leader="none" w:pos="43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directors may, from time to time, pay to the members on account of the forthcoming dividend such interim dividend as shall be deemed just with regard to the situation of the Company and subject to provisions of Sections 301 to 307 of the Law.</w:t>
      </w:r>
    </w:p>
    <w:p>
      <w:pPr>
        <w:spacing w:after="0" w:line="140" w:lineRule="exact"/>
        <w:rPr>
          <w:rFonts w:ascii="Arial" w:cs="Arial" w:eastAsia="Arial" w:hAnsi="Arial"/>
          <w:sz w:val="18"/>
          <w:szCs w:val="18"/>
          <w:color w:val="auto"/>
        </w:rPr>
      </w:pPr>
    </w:p>
    <w:p>
      <w:pPr>
        <w:ind w:left="440" w:right="119" w:hanging="315"/>
        <w:spacing w:after="0" w:line="277" w:lineRule="auto"/>
        <w:tabs>
          <w:tab w:leader="none" w:pos="40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Board of Directors may put a lien on any dividend on which the Company has a charge, and it may use it to pay any debts, obligations or commitments with respect to which the charge exists.</w:t>
      </w:r>
    </w:p>
    <w:p>
      <w:pPr>
        <w:spacing w:after="0" w:line="129" w:lineRule="exact"/>
        <w:rPr>
          <w:rFonts w:ascii="Arial" w:cs="Arial" w:eastAsia="Arial" w:hAnsi="Arial"/>
          <w:sz w:val="18"/>
          <w:szCs w:val="18"/>
          <w:color w:val="auto"/>
        </w:rPr>
      </w:pPr>
    </w:p>
    <w:p>
      <w:pPr>
        <w:jc w:val="both"/>
        <w:ind w:left="440" w:right="119" w:hanging="315"/>
        <w:spacing w:after="0" w:line="264" w:lineRule="auto"/>
        <w:tabs>
          <w:tab w:leader="none" w:pos="40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transfer of shares shall not transfer the right to a dividend which has been declared after the transfer but before the registration of the transfer. The person registered in the register as a member on the date appointed by the Company for that purpose shall be the one entitled to receive a dividend.</w:t>
      </w:r>
    </w:p>
    <w:p>
      <w:pPr>
        <w:spacing w:after="0" w:line="154" w:lineRule="exact"/>
        <w:rPr>
          <w:rFonts w:ascii="Arial" w:cs="Arial" w:eastAsia="Arial" w:hAnsi="Arial"/>
          <w:sz w:val="18"/>
          <w:szCs w:val="18"/>
          <w:color w:val="auto"/>
        </w:rPr>
      </w:pPr>
    </w:p>
    <w:p>
      <w:pPr>
        <w:jc w:val="both"/>
        <w:ind w:left="440" w:right="119" w:hanging="315"/>
        <w:spacing w:after="0" w:line="286" w:lineRule="auto"/>
        <w:tabs>
          <w:tab w:leader="none" w:pos="41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may declare a dividend to be paid to the members, at a General Meeting, according to their rights and benefits in the profits and to decide the time of payment. A dividend in excess of that proposed by the Board of Directors shall not be declared. However, the Company may declare at a General Meeting a smaller dividend.</w:t>
      </w:r>
    </w:p>
    <w:p>
      <w:pPr>
        <w:spacing w:after="0" w:line="125" w:lineRule="exact"/>
        <w:rPr>
          <w:rFonts w:ascii="Arial" w:cs="Arial" w:eastAsia="Arial" w:hAnsi="Arial"/>
          <w:sz w:val="17"/>
          <w:szCs w:val="17"/>
          <w:color w:val="auto"/>
        </w:rPr>
      </w:pPr>
    </w:p>
    <w:p>
      <w:pPr>
        <w:ind w:left="440" w:right="119" w:hanging="315"/>
        <w:spacing w:after="0" w:line="277" w:lineRule="auto"/>
        <w:tabs>
          <w:tab w:leader="none" w:pos="4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notice of the declaration of a dividend, whether an interim dividend or otherwise, shall be given to the members registered in the register, in the manner provided for in these Articles.</w:t>
      </w:r>
    </w:p>
    <w:p>
      <w:pPr>
        <w:spacing w:after="0" w:line="129" w:lineRule="exact"/>
        <w:rPr>
          <w:rFonts w:ascii="Arial" w:cs="Arial" w:eastAsia="Arial" w:hAnsi="Arial"/>
          <w:sz w:val="18"/>
          <w:szCs w:val="18"/>
          <w:color w:val="auto"/>
        </w:rPr>
      </w:pPr>
    </w:p>
    <w:p>
      <w:pPr>
        <w:jc w:val="both"/>
        <w:ind w:left="440" w:right="119" w:hanging="315"/>
        <w:spacing w:after="0" w:line="255" w:lineRule="auto"/>
        <w:tabs>
          <w:tab w:leader="none" w:pos="42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no other provision is given, the dividend may be paid by check or payment order to be mailed to the registered address of a member or person entitled thereto in the register or, in the case of registered joint owners, to the addresses of one of the joint owners as registered in the register. Every such check shall be made out to the person it is sent to. The receipt of the person who, on the date of declaration of dividend, is registered as the holder of any share or, in the case of joint holders, of one of the joint holders, shall serve as a release with respect to payments made in connection with that share.</w:t>
      </w:r>
    </w:p>
    <w:p>
      <w:pPr>
        <w:spacing w:after="0" w:line="166" w:lineRule="exact"/>
        <w:rPr>
          <w:rFonts w:ascii="Arial" w:cs="Arial" w:eastAsia="Arial" w:hAnsi="Arial"/>
          <w:sz w:val="18"/>
          <w:szCs w:val="18"/>
          <w:color w:val="auto"/>
        </w:rPr>
      </w:pPr>
    </w:p>
    <w:p>
      <w:pPr>
        <w:ind w:left="820" w:right="119" w:hanging="695"/>
        <w:spacing w:after="0" w:line="264" w:lineRule="auto"/>
        <w:tabs>
          <w:tab w:leader="none" w:pos="41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If at any time the share capital shall be divided into different classes of shares, the distribution of fully paid up shares, from funds pursuant to Article 94 below, shall be made in one of the two following manners as to be decided upon by the Board of Directors:</w:t>
      </w:r>
    </w:p>
    <w:p>
      <w:pPr>
        <w:spacing w:after="0" w:line="140" w:lineRule="exact"/>
        <w:rPr>
          <w:rFonts w:ascii="Arial" w:cs="Arial" w:eastAsia="Arial" w:hAnsi="Arial"/>
          <w:sz w:val="18"/>
          <w:szCs w:val="18"/>
          <w:color w:val="auto"/>
        </w:rPr>
      </w:pPr>
    </w:p>
    <w:p>
      <w:pPr>
        <w:ind w:left="1160" w:right="119" w:hanging="387"/>
        <w:spacing w:after="0" w:line="277" w:lineRule="auto"/>
        <w:tabs>
          <w:tab w:leader="none" w:pos="1147" w:val="left"/>
        </w:tabs>
        <w:numPr>
          <w:ilvl w:val="2"/>
          <w:numId w:val="179"/>
        </w:numPr>
        <w:rPr>
          <w:rFonts w:ascii="Arial" w:cs="Arial" w:eastAsia="Arial" w:hAnsi="Arial"/>
          <w:sz w:val="18"/>
          <w:szCs w:val="18"/>
          <w:color w:val="auto"/>
        </w:rPr>
      </w:pPr>
      <w:r>
        <w:rPr>
          <w:rFonts w:ascii="Arial" w:cs="Arial" w:eastAsia="Arial" w:hAnsi="Arial"/>
          <w:sz w:val="18"/>
          <w:szCs w:val="18"/>
          <w:color w:val="auto"/>
        </w:rPr>
        <w:t>In such a manner so that all the holders of a share entitled to fully paid up shares shall receive one uniform class of shares; or</w:t>
      </w:r>
    </w:p>
    <w:p>
      <w:pPr>
        <w:spacing w:after="0" w:line="102" w:lineRule="exact"/>
        <w:rPr>
          <w:rFonts w:ascii="Arial" w:cs="Arial" w:eastAsia="Arial" w:hAnsi="Arial"/>
          <w:sz w:val="18"/>
          <w:szCs w:val="18"/>
          <w:color w:val="auto"/>
        </w:rPr>
      </w:pPr>
    </w:p>
    <w:p>
      <w:pPr>
        <w:ind w:left="1160" w:right="119" w:hanging="387"/>
        <w:spacing w:after="0" w:line="308" w:lineRule="auto"/>
        <w:tabs>
          <w:tab w:leader="none" w:pos="1263" w:val="left"/>
        </w:tabs>
        <w:numPr>
          <w:ilvl w:val="2"/>
          <w:numId w:val="179"/>
        </w:numPr>
        <w:rPr>
          <w:rFonts w:ascii="Arial" w:cs="Arial" w:eastAsia="Arial" w:hAnsi="Arial"/>
          <w:sz w:val="17"/>
          <w:szCs w:val="17"/>
          <w:color w:val="auto"/>
        </w:rPr>
      </w:pPr>
      <w:r>
        <w:rPr>
          <w:rFonts w:ascii="Arial" w:cs="Arial" w:eastAsia="Arial" w:hAnsi="Arial"/>
          <w:sz w:val="17"/>
          <w:szCs w:val="17"/>
          <w:color w:val="auto"/>
        </w:rPr>
        <w:t>In such manner so that each holder of shares entitled to fully paid up shares as aforesaid shall receive shares of the class of shares held by him and entitling him to fully paid up shares, as aforesaid.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9" w:name="page180"/>
    <w:bookmarkEnd w:id="179"/>
    <w:p>
      <w:pPr>
        <w:jc w:val="both"/>
        <w:ind w:left="800" w:right="119" w:hanging="369"/>
        <w:spacing w:after="0" w:line="287" w:lineRule="auto"/>
        <w:tabs>
          <w:tab w:leader="none" w:pos="79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order to give effect to any resolution in connection with distribution of dividends, or distribution of property, fully paid-up shares or debentures, the Board of Directors may resolve any difficulty that shall arise with distribution as it shall deem necessary, especially to issue certificates for fractional shares and to determine the value of certain property for purposes of distribution, and to decide that payment in cash shall be made to the member on the basis of the value decided for that purpose, or that fractions the value of which is less than one New Israeli Shekel shall not be taken into account for the purpose of co-ordinating the rights of all the parties. The Board of Directors shall be permitted, in this regard, to grant cash or property to trustees in escrow for the benefit of persons entitled thereto, as the directors shall see beneficial. Wherever required, an agreement shall be submitted to the registrar of companies and the directors may appoint a person to execute such an agreement in the name of the persons entitled to a dividend, property, fully paid up shares or debentures as shares or debentures as aforesaid, and such an appointment shall be valid.</w:t>
      </w:r>
    </w:p>
    <w:p>
      <w:pPr>
        <w:spacing w:after="0" w:line="172" w:lineRule="exact"/>
        <w:rPr>
          <w:rFonts w:ascii="Arial" w:cs="Arial" w:eastAsia="Arial" w:hAnsi="Arial"/>
          <w:sz w:val="16"/>
          <w:szCs w:val="16"/>
          <w:color w:val="auto"/>
        </w:rPr>
      </w:pPr>
    </w:p>
    <w:p>
      <w:pPr>
        <w:ind w:left="760" w:hanging="329"/>
        <w:spacing w:after="0"/>
        <w:tabs>
          <w:tab w:leader="none" w:pos="7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shall not be obligated to pay interest on a dividend.</w:t>
      </w:r>
    </w:p>
    <w:p>
      <w:pPr>
        <w:spacing w:after="0" w:line="225" w:lineRule="exact"/>
        <w:rPr>
          <w:rFonts w:ascii="Arial" w:cs="Arial" w:eastAsia="Arial" w:hAnsi="Arial"/>
          <w:sz w:val="18"/>
          <w:szCs w:val="18"/>
          <w:color w:val="auto"/>
        </w:rPr>
      </w:pPr>
    </w:p>
    <w:p>
      <w:pPr>
        <w:jc w:val="both"/>
        <w:ind w:left="800" w:right="119" w:hanging="369"/>
        <w:spacing w:after="0" w:line="264" w:lineRule="auto"/>
        <w:tabs>
          <w:tab w:leader="none" w:pos="79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of Directors may, with respect to all dividends not collected within one year after their declaration, invest or use them in another way for the benefit of the Company, until they shall be demanded. The Company shall not pay interest for dividends or interest not collected.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ACCOUNTS AND AUDIT</w:t>
      </w:r>
    </w:p>
    <w:p>
      <w:pPr>
        <w:spacing w:after="0" w:line="229" w:lineRule="exact"/>
        <w:rPr>
          <w:sz w:val="20"/>
          <w:szCs w:val="20"/>
          <w:color w:val="auto"/>
        </w:rPr>
      </w:pPr>
    </w:p>
    <w:p>
      <w:pPr>
        <w:ind w:left="820" w:right="119" w:hanging="695"/>
        <w:spacing w:after="0" w:line="277" w:lineRule="auto"/>
        <w:tabs>
          <w:tab w:leader="none" w:pos="46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The Board of Directors shall cause correct accounts to be kept in accordance with the provisions of the Law or any other applicable law:</w:t>
      </w:r>
    </w:p>
    <w:p>
      <w:pPr>
        <w:spacing w:after="0" w:line="170" w:lineRule="exact"/>
        <w:rPr>
          <w:rFonts w:ascii="Arial" w:cs="Arial" w:eastAsia="Arial" w:hAnsi="Arial"/>
          <w:sz w:val="18"/>
          <w:szCs w:val="18"/>
          <w:color w:val="auto"/>
        </w:rPr>
      </w:pPr>
    </w:p>
    <w:p>
      <w:pPr>
        <w:ind w:left="1280" w:hanging="345"/>
        <w:spacing w:after="0"/>
        <w:tabs>
          <w:tab w:leader="none" w:pos="128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of the assets and liabilities of the Company;</w:t>
      </w:r>
    </w:p>
    <w:p>
      <w:pPr>
        <w:spacing w:after="0" w:line="225" w:lineRule="exact"/>
        <w:rPr>
          <w:rFonts w:ascii="Arial" w:cs="Arial" w:eastAsia="Arial" w:hAnsi="Arial"/>
          <w:sz w:val="18"/>
          <w:szCs w:val="18"/>
          <w:color w:val="auto"/>
        </w:rPr>
      </w:pPr>
    </w:p>
    <w:p>
      <w:pPr>
        <w:ind w:left="1320" w:right="119" w:hanging="385"/>
        <w:spacing w:after="0" w:line="277" w:lineRule="auto"/>
        <w:tabs>
          <w:tab w:leader="none" w:pos="1374" w:val="left"/>
        </w:tabs>
        <w:numPr>
          <w:ilvl w:val="2"/>
          <w:numId w:val="181"/>
        </w:numPr>
        <w:rPr>
          <w:rFonts w:ascii="Arial" w:cs="Arial" w:eastAsia="Arial" w:hAnsi="Arial"/>
          <w:sz w:val="18"/>
          <w:szCs w:val="18"/>
          <w:color w:val="auto"/>
        </w:rPr>
      </w:pPr>
      <w:r>
        <w:rPr>
          <w:rFonts w:ascii="Arial" w:cs="Arial" w:eastAsia="Arial" w:hAnsi="Arial"/>
          <w:sz w:val="18"/>
          <w:szCs w:val="18"/>
          <w:color w:val="auto"/>
        </w:rPr>
        <w:t>of any amount of money received or expended by the Company and the matters for which such sum of money is expended or received; and</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of all purchases and sales made by the Company.</w:t>
      </w:r>
    </w:p>
    <w:p>
      <w:pPr>
        <w:spacing w:after="0" w:line="225" w:lineRule="exact"/>
        <w:rPr>
          <w:rFonts w:ascii="Arial" w:cs="Arial" w:eastAsia="Arial" w:hAnsi="Arial"/>
          <w:sz w:val="18"/>
          <w:szCs w:val="18"/>
          <w:color w:val="auto"/>
        </w:rPr>
      </w:pPr>
    </w:p>
    <w:p>
      <w:pPr>
        <w:ind w:left="940" w:right="159" w:hanging="383"/>
        <w:spacing w:after="0" w:line="277" w:lineRule="auto"/>
        <w:tabs>
          <w:tab w:leader="none" w:pos="90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account books shall be kept in the office or at such other place as the Board of Directors deem fit and they shall also be open for inspection by the directors.</w:t>
      </w:r>
    </w:p>
    <w:p>
      <w:pPr>
        <w:spacing w:after="0" w:line="170" w:lineRule="exact"/>
        <w:rPr>
          <w:rFonts w:ascii="Arial" w:cs="Arial" w:eastAsia="Arial" w:hAnsi="Arial"/>
          <w:sz w:val="18"/>
          <w:szCs w:val="18"/>
          <w:color w:val="auto"/>
        </w:rPr>
      </w:pPr>
    </w:p>
    <w:p>
      <w:pPr>
        <w:jc w:val="both"/>
        <w:ind w:left="440" w:right="119" w:hanging="315"/>
        <w:spacing w:after="0" w:line="259" w:lineRule="auto"/>
        <w:tabs>
          <w:tab w:leader="none" w:pos="40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shall prepare (i) financial reports that shall include a balance sheet as of December 31, and a profit and loss account for the preceding financial year; and (ii) unaudited, but reviewed quarterly financial statements within forty five (45) days after the end of each quarter. In addition, the Company shall prepare any additional financial reports as shall be required by accepted bookkeeping rules.</w:t>
      </w:r>
    </w:p>
    <w:p>
      <w:pPr>
        <w:spacing w:after="0" w:line="186" w:lineRule="exact"/>
        <w:rPr>
          <w:rFonts w:ascii="Arial" w:cs="Arial" w:eastAsia="Arial" w:hAnsi="Arial"/>
          <w:sz w:val="18"/>
          <w:szCs w:val="18"/>
          <w:color w:val="auto"/>
        </w:rPr>
      </w:pPr>
    </w:p>
    <w:p>
      <w:pPr>
        <w:ind w:left="940" w:right="119" w:hanging="815"/>
        <w:spacing w:after="0" w:line="286" w:lineRule="auto"/>
        <w:tabs>
          <w:tab w:leader="none" w:pos="46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The company shall prepare annual financial reports within three (3) months following the end of each fiscal year. At least once in every fiscal year the accounts of the Company shall be audited and the correctness of the profit and loss account and balance sheet certified by one or more duly qualified auditors.</w:t>
      </w:r>
    </w:p>
    <w:p>
      <w:pPr>
        <w:spacing w:after="0" w:line="165" w:lineRule="exact"/>
        <w:rPr>
          <w:rFonts w:ascii="Arial" w:cs="Arial" w:eastAsia="Arial" w:hAnsi="Arial"/>
          <w:sz w:val="17"/>
          <w:szCs w:val="17"/>
          <w:color w:val="auto"/>
        </w:rPr>
      </w:pPr>
    </w:p>
    <w:p>
      <w:pPr>
        <w:jc w:val="both"/>
        <w:ind w:left="940" w:right="119" w:hanging="383"/>
        <w:spacing w:after="0" w:line="254" w:lineRule="auto"/>
        <w:tabs>
          <w:tab w:leader="none" w:pos="96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appointment, authorities, rights and duties of the auditor(s) of the Company, shall be regulated by the Board of Directors and applicable law, provided, however, that in exercising its authority to fix the remuneration of the auditor(s), the members in the General Meeting may, by Ordinary Resolution, act (and in the absence of any action in connection therewith shall be deemed to have so acted) to authorize the Board of Directors to fix such remuneration subject to such criteria or standards, and if so such criteria or standards, if any, as may be provided in such Ordinary Resolution, and if no such criteria or standards are so provided, such remuneration shall be fixed in an amount commensurate with the volume and nature of the services rendered by such auditor(s).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left="440" w:right="119" w:hanging="315"/>
        <w:spacing w:after="0" w:line="264" w:lineRule="auto"/>
        <w:tabs>
          <w:tab w:leader="none" w:pos="41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notice or any other document may be served by the Company upon any member either personally or by sending it by facsimile, or telefax, addressed to such member at his address, wherever situated, as appearing in the register of members.</w:t>
      </w:r>
    </w:p>
    <w:p>
      <w:pPr>
        <w:spacing w:after="0" w:line="181" w:lineRule="exact"/>
        <w:rPr>
          <w:rFonts w:ascii="Arial" w:cs="Arial" w:eastAsia="Arial" w:hAnsi="Arial"/>
          <w:sz w:val="18"/>
          <w:szCs w:val="18"/>
          <w:color w:val="auto"/>
        </w:rPr>
      </w:pPr>
    </w:p>
    <w:p>
      <w:pPr>
        <w:ind w:left="480" w:right="119" w:hanging="355"/>
        <w:spacing w:after="0" w:line="342" w:lineRule="auto"/>
        <w:tabs>
          <w:tab w:leader="none" w:pos="49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All notices directed to be given to the members shall, with respect to any shares to which persons are jointly entitled, be given to one of the joint holders, and any notice so given shall be sufficient notice to the holders of such share.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0" w:name="page181"/>
    <w:bookmarkEnd w:id="180"/>
    <w:p>
      <w:pPr>
        <w:jc w:val="both"/>
        <w:ind w:left="480" w:right="119" w:hanging="355"/>
        <w:spacing w:after="0" w:line="279" w:lineRule="auto"/>
        <w:tabs>
          <w:tab w:leader="none" w:pos="52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Prior and timely notice of the convening of a General Meeting shall be given to each applicable shareholder, wherever situated, at the last address provided by such shareholder. Any member registered in the register who shall, from time to time, furnish the Company with an address at which notices may be served, shall be entitled to receive all notices he is entitled to receive according to these Articles at that address.</w:t>
      </w:r>
    </w:p>
    <w:p>
      <w:pPr>
        <w:spacing w:after="0" w:line="171" w:lineRule="exact"/>
        <w:rPr>
          <w:rFonts w:ascii="Arial" w:cs="Arial" w:eastAsia="Arial" w:hAnsi="Arial"/>
          <w:sz w:val="17"/>
          <w:szCs w:val="17"/>
          <w:color w:val="auto"/>
        </w:rPr>
      </w:pPr>
    </w:p>
    <w:p>
      <w:pPr>
        <w:jc w:val="both"/>
        <w:ind w:left="480" w:right="119" w:hanging="355"/>
        <w:spacing w:after="0" w:line="276" w:lineRule="auto"/>
        <w:tabs>
          <w:tab w:leader="none" w:pos="47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notice may be given by the Company to the persons entitled to a share in consequence of the death or bankruptcy of a member by sending it through the post in a prepaid letter or postcard or telefax, addressed to them by name, at the address, if any, in Israel furnished for the purpose by the persons claiming to be so entitled or, until such an address has been so furnished, by giving the notice in any manner in which the same might have been given if the death or bankruptcy had not occurred.</w:t>
      </w:r>
    </w:p>
    <w:p>
      <w:pPr>
        <w:spacing w:after="0" w:line="172" w:lineRule="exact"/>
        <w:rPr>
          <w:rFonts w:ascii="Arial" w:cs="Arial" w:eastAsia="Arial" w:hAnsi="Arial"/>
          <w:sz w:val="17"/>
          <w:szCs w:val="17"/>
          <w:color w:val="auto"/>
        </w:rPr>
      </w:pPr>
    </w:p>
    <w:p>
      <w:pPr>
        <w:jc w:val="both"/>
        <w:ind w:left="480" w:right="119" w:hanging="355"/>
        <w:spacing w:after="0" w:line="255" w:lineRule="auto"/>
        <w:tabs>
          <w:tab w:leader="none" w:pos="4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notice or other document if served or sent by post shall be deemed to have been served or delivered ten (10) days after the time when the letter or postcard or telefax containing the same was delivered to the post or at such time as the telefax was sent, and in proving such service it shall be sufficient to prove that the letter or postcard or telefax containing the notice was properly addressed and delivered at the post office or sent by telefax. Any list kept in the ordinary manner in any mail list of the Company or any copy of any telefax in the Company’s possession shall be prima facie proof of the delivery.</w:t>
      </w:r>
    </w:p>
    <w:p>
      <w:pPr>
        <w:spacing w:after="0" w:line="193" w:lineRule="exact"/>
        <w:rPr>
          <w:rFonts w:ascii="Arial" w:cs="Arial" w:eastAsia="Arial" w:hAnsi="Arial"/>
          <w:sz w:val="18"/>
          <w:szCs w:val="18"/>
          <w:color w:val="auto"/>
        </w:rPr>
      </w:pPr>
    </w:p>
    <w:p>
      <w:pPr>
        <w:ind w:left="940" w:right="119" w:hanging="815"/>
        <w:spacing w:after="0" w:line="277" w:lineRule="auto"/>
        <w:tabs>
          <w:tab w:leader="none" w:pos="4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In any case where it is necessary to give prior notice of a certain number of days or a notice valid for a certain period, the date of delivery shall be taken into account in the number of days or period.</w:t>
      </w:r>
    </w:p>
    <w:p>
      <w:pPr>
        <w:spacing w:after="0" w:line="170" w:lineRule="exact"/>
        <w:rPr>
          <w:rFonts w:ascii="Arial" w:cs="Arial" w:eastAsia="Arial" w:hAnsi="Arial"/>
          <w:sz w:val="18"/>
          <w:szCs w:val="18"/>
          <w:color w:val="auto"/>
        </w:rPr>
      </w:pPr>
    </w:p>
    <w:p>
      <w:pPr>
        <w:jc w:val="both"/>
        <w:ind w:left="940" w:right="119" w:hanging="383"/>
        <w:spacing w:after="0" w:line="259" w:lineRule="auto"/>
        <w:tabs>
          <w:tab w:leader="none" w:pos="94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addition to, but not as substitution therefore, the furnishing of a notice pursuant to the above Articles 99-104, the Company may furnish a notice to the shareholders entitled to receive notice, or to part of them, by publication of a notice in a newspaper distributed in the area wherein the office is located, or any other place, in Israel or abroad, as the Board of Directors shall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REORGANIZATION OF THE COMPANY</w:t>
      </w:r>
    </w:p>
    <w:p>
      <w:pPr>
        <w:spacing w:after="0" w:line="229" w:lineRule="exact"/>
        <w:rPr>
          <w:sz w:val="20"/>
          <w:szCs w:val="20"/>
          <w:color w:val="auto"/>
        </w:rPr>
      </w:pPr>
    </w:p>
    <w:p>
      <w:pPr>
        <w:jc w:val="both"/>
        <w:ind w:left="480" w:right="119" w:hanging="355"/>
        <w:spacing w:after="0" w:line="268" w:lineRule="auto"/>
        <w:tabs>
          <w:tab w:leader="none" w:pos="51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Subject to the provisions of these Articles, at the time of sale of the Company’s material assets the Board of Directors may, or at the time of liquidation of the Company the liquidators may, if authorized by a Special Resolution of the Company, receive shares paid in full or in part, debentures or other securities of any other Company, whether already existing at that time or whether about to be established for the purpose of acquiring the property of the Company, or a part thereof. The Board of Directors (if the profits of the Company so permit) or the liquidators (at the time of liquidation) may distribute among the members the shares or aforesaid securities or any other property of the Company without realizing them, or deposit them with trustees for the members, and every Special Resolution can resolve as to the distribution or the setting aside of cash, the shares or other securities and the rights or property of the Company in a manner not entirely identical with the legal rights of the members of the Company, or its participants, and such resolution may value the securities or property aforesaid at such price and in such manner as the meeting shall decide. All shareholders shall be required to accept all valuation or distribution decided as aforesaid and to waive all their rights in this regard, except, in the case where the Company is at a liquidation stage or in the process of liquidation, with respect to such legal rights (if any) which according to the provisions of the law cannot be altered or renounced.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INSURANCE</w:t>
      </w:r>
    </w:p>
    <w:p>
      <w:pPr>
        <w:spacing w:after="0" w:line="229" w:lineRule="exact"/>
        <w:rPr>
          <w:sz w:val="20"/>
          <w:szCs w:val="20"/>
          <w:color w:val="auto"/>
        </w:rPr>
      </w:pPr>
    </w:p>
    <w:p>
      <w:pPr>
        <w:jc w:val="both"/>
        <w:ind w:left="480" w:right="119" w:hanging="355"/>
        <w:spacing w:after="0" w:line="279" w:lineRule="auto"/>
        <w:tabs>
          <w:tab w:leader="none" w:pos="49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Subject to the provisions of the Law and to the extent permitted under law, and subject further to </w:t>
      </w:r>
      <w:r>
        <w:rPr>
          <w:rFonts w:ascii="Arial" w:cs="Arial" w:eastAsia="Arial" w:hAnsi="Arial"/>
          <w:sz w:val="17"/>
          <w:szCs w:val="17"/>
          <w:u w:val="single" w:color="auto"/>
          <w:color w:val="auto"/>
        </w:rPr>
        <w:t>Article 111</w:t>
      </w:r>
      <w:r>
        <w:rPr>
          <w:rFonts w:ascii="Arial" w:cs="Arial" w:eastAsia="Arial" w:hAnsi="Arial"/>
          <w:sz w:val="17"/>
          <w:szCs w:val="17"/>
          <w:color w:val="auto"/>
        </w:rPr>
        <w:t>, the Company may enter into a contract for the insurance of all or part of the liability of any of its Office Holders (as such term is defined in the Law) imposed on him in consequence of an act which such Office Holder has performed by virtue of being an Office Holder, including, in respect of one of the following:</w:t>
      </w:r>
    </w:p>
    <w:p>
      <w:pPr>
        <w:spacing w:after="0" w:line="171" w:lineRule="exact"/>
        <w:rPr>
          <w:rFonts w:ascii="Arial" w:cs="Arial" w:eastAsia="Arial" w:hAnsi="Arial"/>
          <w:sz w:val="17"/>
          <w:szCs w:val="17"/>
          <w:color w:val="auto"/>
        </w:rPr>
      </w:pPr>
    </w:p>
    <w:p>
      <w:pPr>
        <w:ind w:left="900" w:hanging="343"/>
        <w:spacing w:after="0"/>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breach of his duty of care to the Company or to another person;</w:t>
      </w:r>
    </w:p>
    <w:p>
      <w:pPr>
        <w:spacing w:after="0" w:line="225" w:lineRule="exact"/>
        <w:rPr>
          <w:rFonts w:ascii="Arial" w:cs="Arial" w:eastAsia="Arial" w:hAnsi="Arial"/>
          <w:sz w:val="18"/>
          <w:szCs w:val="18"/>
          <w:color w:val="auto"/>
        </w:rPr>
      </w:pPr>
    </w:p>
    <w:p>
      <w:pPr>
        <w:ind w:left="940" w:right="119" w:hanging="383"/>
        <w:spacing w:after="0" w:line="308" w:lineRule="auto"/>
        <w:tabs>
          <w:tab w:leader="none" w:pos="951"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 breach of his fiduciary duty to the Company; provided that the Office Holder acted in good faith and had reasonable cause to assume that such act would not prejudice the interests of the Company;</w:t>
      </w:r>
    </w:p>
    <w:p>
      <w:pPr>
        <w:spacing w:after="0" w:line="146" w:lineRule="exact"/>
        <w:rPr>
          <w:rFonts w:ascii="Arial" w:cs="Arial" w:eastAsia="Arial" w:hAnsi="Arial"/>
          <w:sz w:val="17"/>
          <w:szCs w:val="17"/>
          <w:color w:val="auto"/>
        </w:rPr>
      </w:pPr>
    </w:p>
    <w:p>
      <w:pPr>
        <w:ind w:left="900" w:hanging="343"/>
        <w:spacing w:after="0"/>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financial obligation imposed on him in favor of another person; and</w:t>
      </w:r>
    </w:p>
    <w:p>
      <w:pPr>
        <w:spacing w:after="0" w:line="225" w:lineRule="exact"/>
        <w:rPr>
          <w:rFonts w:ascii="Arial" w:cs="Arial" w:eastAsia="Arial" w:hAnsi="Arial"/>
          <w:sz w:val="18"/>
          <w:szCs w:val="18"/>
          <w:color w:val="auto"/>
        </w:rPr>
      </w:pPr>
    </w:p>
    <w:p>
      <w:pPr>
        <w:ind w:left="940" w:right="119" w:hanging="383"/>
        <w:spacing w:after="0" w:line="277" w:lineRule="auto"/>
        <w:tabs>
          <w:tab w:leader="none" w:pos="96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other circumstances arising under the law with respect to which the Company may, or will be able to, insure an Office Holder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ind w:left="120"/>
        <w:spacing w:after="0"/>
        <w:rPr>
          <w:sz w:val="20"/>
          <w:szCs w:val="20"/>
          <w:color w:val="auto"/>
        </w:rPr>
      </w:pPr>
      <w:r>
        <w:rPr>
          <w:rFonts w:ascii="Arial" w:cs="Arial" w:eastAsia="Arial" w:hAnsi="Arial"/>
          <w:sz w:val="18"/>
          <w:szCs w:val="18"/>
          <w:b w:val="1"/>
          <w:bCs w:val="1"/>
          <w:u w:val="single" w:color="auto"/>
          <w:color w:val="auto"/>
        </w:rPr>
        <w:t>INDEMNITY</w:t>
      </w:r>
    </w:p>
    <w:p>
      <w:pPr>
        <w:spacing w:after="0" w:line="229" w:lineRule="exact"/>
        <w:rPr>
          <w:sz w:val="20"/>
          <w:szCs w:val="20"/>
          <w:color w:val="auto"/>
        </w:rPr>
      </w:pPr>
    </w:p>
    <w:p>
      <w:pPr>
        <w:jc w:val="both"/>
        <w:ind w:left="480" w:right="119" w:hanging="355"/>
        <w:spacing w:after="0" w:line="257" w:lineRule="auto"/>
        <w:tabs>
          <w:tab w:leader="none" w:pos="4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Law and to the extent permitted under any applicable law, and subject further to </w:t>
      </w:r>
      <w:r>
        <w:rPr>
          <w:rFonts w:ascii="Arial" w:cs="Arial" w:eastAsia="Arial" w:hAnsi="Arial"/>
          <w:sz w:val="18"/>
          <w:szCs w:val="18"/>
          <w:u w:val="single" w:color="auto"/>
          <w:color w:val="auto"/>
        </w:rPr>
        <w:t>Article 111</w:t>
      </w:r>
      <w:r>
        <w:rPr>
          <w:rFonts w:ascii="Arial" w:cs="Arial" w:eastAsia="Arial" w:hAnsi="Arial"/>
          <w:sz w:val="18"/>
          <w:szCs w:val="18"/>
          <w:color w:val="auto"/>
        </w:rPr>
        <w:t>, the Company may indemnify an Office Holder, retroactively, in respect of any liability or expense for which indemnification may be provided under the Law, including the following liabilities or expenses, imposed on such Office Holder or incurred by him in consequence of an act which he has performed by virtue of being an Office Holder:</w:t>
      </w:r>
    </w:p>
    <w:p>
      <w:pPr>
        <w:spacing w:after="0" w:line="188" w:lineRule="exact"/>
        <w:rPr>
          <w:rFonts w:ascii="Arial" w:cs="Arial" w:eastAsia="Arial" w:hAnsi="Arial"/>
          <w:sz w:val="18"/>
          <w:szCs w:val="18"/>
          <w:color w:val="auto"/>
        </w:rPr>
      </w:pPr>
    </w:p>
    <w:p>
      <w:pPr>
        <w:jc w:val="both"/>
        <w:ind w:left="940" w:right="119" w:hanging="383"/>
        <w:spacing w:after="0" w:line="276" w:lineRule="auto"/>
        <w:tabs>
          <w:tab w:leader="none" w:pos="914"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 financial liability imposed on such Office Holder in favor of any person pursuant to a judgment, including a judgment rendered in the context of a settlement or an arbitrator’s award approved by a court; the term “</w:t>
      </w:r>
      <w:r>
        <w:rPr>
          <w:rFonts w:ascii="Arial" w:cs="Arial" w:eastAsia="Arial" w:hAnsi="Arial"/>
          <w:sz w:val="17"/>
          <w:szCs w:val="17"/>
          <w:b w:val="1"/>
          <w:bCs w:val="1"/>
          <w:color w:val="auto"/>
        </w:rPr>
        <w:t>person</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Article 107</w:t>
      </w:r>
      <w:r>
        <w:rPr>
          <w:rFonts w:ascii="Arial" w:cs="Arial" w:eastAsia="Arial" w:hAnsi="Arial"/>
          <w:sz w:val="17"/>
          <w:szCs w:val="17"/>
          <w:color w:val="auto"/>
        </w:rPr>
        <w:t xml:space="preserve"> shall include, without limitation, a natural person, firm, partnership, joint venture, trust, company, corporation, limited liability entity, unincorporated organization, estate, government, municipality, or any political, governmental, regulatory or similar agency or body;</w:t>
      </w:r>
    </w:p>
    <w:p>
      <w:pPr>
        <w:spacing w:after="0" w:line="172" w:lineRule="exact"/>
        <w:rPr>
          <w:rFonts w:ascii="Arial" w:cs="Arial" w:eastAsia="Arial" w:hAnsi="Arial"/>
          <w:sz w:val="17"/>
          <w:szCs w:val="17"/>
          <w:color w:val="auto"/>
        </w:rPr>
      </w:pPr>
    </w:p>
    <w:p>
      <w:pPr>
        <w:jc w:val="both"/>
        <w:ind w:left="940" w:right="119" w:hanging="383"/>
        <w:spacing w:after="0" w:line="268" w:lineRule="auto"/>
        <w:tabs>
          <w:tab w:leader="none" w:pos="95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reasonable Litigation Expenses (as defined below) expended incurred by an Office Holder as a result of an investigation or any proceeding instituted against him by an authority that is authorized to conduct an investigation or proceeding, and that was concluded without filing an indictment against the Office Holder and without imposing on the Office Holder a financial obligation in lieu of a criminal proceeding, or that was concluded without filing an indictment against the Office Holder but with imposing a financial obligation in lieu of a criminal proceeding in an offence that does not require proof of </w:t>
      </w:r>
      <w:r>
        <w:rPr>
          <w:rFonts w:ascii="Arial" w:cs="Arial" w:eastAsia="Arial" w:hAnsi="Arial"/>
          <w:sz w:val="17"/>
          <w:szCs w:val="17"/>
          <w:i w:val="1"/>
          <w:iCs w:val="1"/>
          <w:color w:val="auto"/>
        </w:rPr>
        <w:t>mens rea</w:t>
      </w:r>
      <w:r>
        <w:rPr>
          <w:rFonts w:ascii="Arial" w:cs="Arial" w:eastAsia="Arial" w:hAnsi="Arial"/>
          <w:sz w:val="17"/>
          <w:szCs w:val="17"/>
          <w:color w:val="auto"/>
        </w:rPr>
        <w:t>. In this section the terms “conclusion of a proceeding without filing an indictment in a matter in which a criminal investigation has been instigated” and “financial liability in lieu of a criminal proceeding” shall have the meaning ascribed to such terms under the Law. The term “</w:t>
      </w:r>
      <w:r>
        <w:rPr>
          <w:rFonts w:ascii="Arial" w:cs="Arial" w:eastAsia="Arial" w:hAnsi="Arial"/>
          <w:sz w:val="17"/>
          <w:szCs w:val="17"/>
          <w:b w:val="1"/>
          <w:bCs w:val="1"/>
          <w:color w:val="auto"/>
        </w:rPr>
        <w:t>Litigation Expenses</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Article 107</w:t>
      </w:r>
      <w:r>
        <w:rPr>
          <w:rFonts w:ascii="Arial" w:cs="Arial" w:eastAsia="Arial" w:hAnsi="Arial"/>
          <w:sz w:val="17"/>
          <w:szCs w:val="17"/>
          <w:color w:val="auto"/>
        </w:rPr>
        <w:t xml:space="preserve"> shall include, without limitation, attorneys’ fees and all other costs, expenses and obligations paid or incurred in connection with investigating, defending, being a witness in or participating in (including on appeal), or preparing to defend, be a witness in or participate in any claim relating to any matter for which indemnification hereunder may be provided;</w:t>
      </w:r>
    </w:p>
    <w:p>
      <w:pPr>
        <w:spacing w:after="0" w:line="187" w:lineRule="exact"/>
        <w:rPr>
          <w:rFonts w:ascii="Arial" w:cs="Arial" w:eastAsia="Arial" w:hAnsi="Arial"/>
          <w:sz w:val="17"/>
          <w:szCs w:val="17"/>
          <w:color w:val="auto"/>
        </w:rPr>
      </w:pPr>
    </w:p>
    <w:p>
      <w:pPr>
        <w:jc w:val="both"/>
        <w:ind w:left="940" w:right="119" w:hanging="383"/>
        <w:spacing w:after="0" w:line="259" w:lineRule="auto"/>
        <w:tabs>
          <w:tab w:leader="none" w:pos="9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reasonable litigation expenses, including attorneys’ fees, incurred by an Officer or charged to him by a court, in a proceeding instituted against him by the Company or on its behalf or by another person, or in a criminal charge from which he was acquitted or in which he was convicted of an offence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940" w:right="439" w:hanging="383"/>
        <w:spacing w:after="0" w:line="277" w:lineRule="auto"/>
        <w:tabs>
          <w:tab w:leader="none" w:pos="90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other event, occurrence or circumstances in respect of which the Company may lawfully indemnify an Office Holder of the Company.</w:t>
      </w:r>
    </w:p>
    <w:p>
      <w:pPr>
        <w:spacing w:after="0" w:line="170" w:lineRule="exact"/>
        <w:rPr>
          <w:rFonts w:ascii="Arial" w:cs="Arial" w:eastAsia="Arial" w:hAnsi="Arial"/>
          <w:sz w:val="18"/>
          <w:szCs w:val="18"/>
          <w:color w:val="auto"/>
        </w:rPr>
      </w:pPr>
    </w:p>
    <w:p>
      <w:pPr>
        <w:jc w:val="both"/>
        <w:ind w:left="480" w:right="119" w:hanging="355"/>
        <w:spacing w:after="0" w:line="259" w:lineRule="auto"/>
        <w:tabs>
          <w:tab w:leader="none" w:pos="49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Law and to the extent permitted under law, and subject further to </w:t>
      </w:r>
      <w:r>
        <w:rPr>
          <w:rFonts w:ascii="Arial" w:cs="Arial" w:eastAsia="Arial" w:hAnsi="Arial"/>
          <w:sz w:val="18"/>
          <w:szCs w:val="18"/>
          <w:u w:val="single" w:color="auto"/>
          <w:color w:val="auto"/>
        </w:rPr>
        <w:t>Article 107</w:t>
      </w:r>
      <w:r>
        <w:rPr>
          <w:rFonts w:ascii="Arial" w:cs="Arial" w:eastAsia="Arial" w:hAnsi="Arial"/>
          <w:sz w:val="18"/>
          <w:szCs w:val="18"/>
          <w:color w:val="auto"/>
        </w:rPr>
        <w:t>, the Company may undertake to indemnify an Office Holder, in advance, in respect of the following liabilities or expenses, imposed on such Office Holder or incurred by him in consequence of an act which he has performed by virtue of being an Office Holder:</w:t>
      </w:r>
    </w:p>
    <w:p>
      <w:pPr>
        <w:spacing w:after="0" w:line="186" w:lineRule="exact"/>
        <w:rPr>
          <w:rFonts w:ascii="Arial" w:cs="Arial" w:eastAsia="Arial" w:hAnsi="Arial"/>
          <w:sz w:val="18"/>
          <w:szCs w:val="18"/>
          <w:color w:val="auto"/>
        </w:rPr>
      </w:pPr>
    </w:p>
    <w:p>
      <w:pPr>
        <w:jc w:val="both"/>
        <w:ind w:left="940" w:right="119" w:hanging="383"/>
        <w:spacing w:after="0" w:line="257" w:lineRule="auto"/>
        <w:tabs>
          <w:tab w:leader="none" w:pos="91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Article 107(a)</w:t>
      </w:r>
      <w:r>
        <w:rPr>
          <w:rFonts w:ascii="Arial" w:cs="Arial" w:eastAsia="Arial" w:hAnsi="Arial"/>
          <w:sz w:val="18"/>
          <w:szCs w:val="18"/>
          <w:color w:val="auto"/>
        </w:rPr>
        <w:t>, provided that the undertaking to indemnity shall be limited to events which the Board of Directors believes are predictable in light of the Company’s business de facto at the time the undertaking to indemnify is granted, and to amounts or criterion that the Board of Directors had determined to be reasonable in the circumstances, and that the undertaking to indemnity shall specify such predictable event and the amounts or criterion so determined.</w:t>
      </w:r>
    </w:p>
    <w:p>
      <w:pPr>
        <w:spacing w:after="0" w:line="188" w:lineRule="exact"/>
        <w:rPr>
          <w:rFonts w:ascii="Arial" w:cs="Arial" w:eastAsia="Arial" w:hAnsi="Arial"/>
          <w:sz w:val="18"/>
          <w:szCs w:val="18"/>
          <w:color w:val="auto"/>
        </w:rPr>
      </w:pPr>
    </w:p>
    <w:p>
      <w:pPr>
        <w:ind w:left="900" w:hanging="343"/>
        <w:spacing w:after="0"/>
        <w:tabs>
          <w:tab w:leader="none" w:pos="9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As set forth in Articles 107(b) to 107(c), and to the extent permitted by law, in Article 107(d).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RELEASE</w:t>
      </w:r>
    </w:p>
    <w:p>
      <w:pPr>
        <w:spacing w:after="0" w:line="229" w:lineRule="exact"/>
        <w:rPr>
          <w:sz w:val="20"/>
          <w:szCs w:val="20"/>
          <w:color w:val="auto"/>
        </w:rPr>
      </w:pPr>
    </w:p>
    <w:p>
      <w:pPr>
        <w:jc w:val="both"/>
        <w:ind w:left="480" w:right="119" w:hanging="355"/>
        <w:spacing w:after="0" w:line="264" w:lineRule="auto"/>
        <w:tabs>
          <w:tab w:leader="none" w:pos="49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Subject to the provisions of the Law and to the extent permitted under law, and subject further to Article 111, the Company may release, in advance, an Office Holder from all or any part of the liability due to damages arising out of the breach of duty of care towards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ind w:left="120"/>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480" w:right="119" w:hanging="355"/>
        <w:spacing w:after="0" w:line="264" w:lineRule="auto"/>
        <w:tabs>
          <w:tab w:leader="none" w:pos="5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subject to applicable law, these Articles are not intended, and shall not be interpreted, to restrict the Company in any manner in respect of the procurement of insurance and/or in respect of indemnification:</w:t>
      </w:r>
    </w:p>
    <w:p>
      <w:pPr>
        <w:spacing w:after="0" w:line="181" w:lineRule="exact"/>
        <w:rPr>
          <w:rFonts w:ascii="Arial" w:cs="Arial" w:eastAsia="Arial" w:hAnsi="Arial"/>
          <w:sz w:val="18"/>
          <w:szCs w:val="18"/>
          <w:color w:val="auto"/>
        </w:rPr>
      </w:pPr>
    </w:p>
    <w:p>
      <w:pPr>
        <w:ind w:left="940" w:right="119" w:hanging="383"/>
        <w:spacing w:after="0" w:line="277" w:lineRule="auto"/>
        <w:tabs>
          <w:tab w:leader="none" w:pos="89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 connection with any person who is not an Office Holder, including, without limitation, any employee, agent, consultant or contractor of the Company who is not an Office Holder; and/or</w:t>
      </w:r>
    </w:p>
    <w:p>
      <w:pPr>
        <w:spacing w:after="0" w:line="170" w:lineRule="exact"/>
        <w:rPr>
          <w:rFonts w:ascii="Arial" w:cs="Arial" w:eastAsia="Arial" w:hAnsi="Arial"/>
          <w:sz w:val="18"/>
          <w:szCs w:val="18"/>
          <w:color w:val="auto"/>
        </w:rPr>
      </w:pPr>
    </w:p>
    <w:p>
      <w:pPr>
        <w:ind w:left="940" w:right="939" w:hanging="383"/>
        <w:spacing w:after="0" w:line="277" w:lineRule="auto"/>
        <w:tabs>
          <w:tab w:leader="none" w:pos="90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 connection with any Office Holder to the extent that such insurance and/or indemnification is not specifically prohibited under law;</w:t>
      </w:r>
    </w:p>
    <w:p>
      <w:pPr>
        <w:spacing w:after="0" w:line="170" w:lineRule="exact"/>
        <w:rPr>
          <w:sz w:val="20"/>
          <w:szCs w:val="20"/>
          <w:color w:val="auto"/>
        </w:rPr>
      </w:pPr>
    </w:p>
    <w:p>
      <w:pPr>
        <w:ind w:left="940" w:right="119"/>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has an Audit Committee, the procurement of any such insurance and/or the provision of any such indemnification shall be approved by the Audit Committee of the Company.</w:t>
      </w:r>
    </w:p>
    <w:p>
      <w:pPr>
        <w:spacing w:after="0" w:line="147" w:lineRule="exact"/>
        <w:rPr>
          <w:sz w:val="20"/>
          <w:szCs w:val="20"/>
          <w:color w:val="auto"/>
        </w:rPr>
      </w:pPr>
    </w:p>
    <w:p>
      <w:pPr>
        <w:jc w:val="both"/>
        <w:ind w:left="480" w:right="119" w:hanging="355"/>
        <w:spacing w:after="0" w:line="286" w:lineRule="auto"/>
        <w:tabs>
          <w:tab w:leader="none" w:pos="46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anything to the contrary in these Articles or any other agreement or instrument, the Company shall not insure, indemnify or release the Office Holder with respect to events or circumstances for which insurance, indemnification or release are not permitted under law.</w:t>
      </w:r>
    </w:p>
    <w:p>
      <w:pPr>
        <w:spacing w:after="0" w:line="165" w:lineRule="exact"/>
        <w:rPr>
          <w:rFonts w:ascii="Arial" w:cs="Arial" w:eastAsia="Arial" w:hAnsi="Arial"/>
          <w:sz w:val="17"/>
          <w:szCs w:val="17"/>
          <w:color w:val="auto"/>
        </w:rPr>
      </w:pPr>
    </w:p>
    <w:p>
      <w:pPr>
        <w:jc w:val="both"/>
        <w:ind w:left="480" w:right="119" w:hanging="355"/>
        <w:spacing w:after="0" w:line="279" w:lineRule="auto"/>
        <w:tabs>
          <w:tab w:leader="none" w:pos="47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amendment to the Companies Law or other applicable law adversely affecting the right of any Office Holder to be indemnified, insured or released pursuant to Articles 106 to 110 above shall be prospective in effect, and shall not affect the Company’s obligation or ability to indemnify or insure an Office Holder for any act or omission occurring prior to such amendment, unless otherwise provided by applicable law.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WINDING UP</w:t>
      </w:r>
    </w:p>
    <w:p>
      <w:pPr>
        <w:spacing w:after="0" w:line="229" w:lineRule="exact"/>
        <w:rPr>
          <w:sz w:val="20"/>
          <w:szCs w:val="20"/>
          <w:color w:val="auto"/>
        </w:rPr>
      </w:pPr>
    </w:p>
    <w:p>
      <w:pPr>
        <w:ind w:left="940" w:right="119" w:hanging="815"/>
        <w:spacing w:after="0" w:line="286" w:lineRule="auto"/>
        <w:tabs>
          <w:tab w:leader="none" w:pos="47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 In the event of winding up of the Company, the Company’s property distributable among the shareholders shall be distributed in the rate proportionate to the sum paid on account of the nominal value of the shares held by them, of any class, without taking into account premiums paid in excess of the nominal value.</w:t>
      </w:r>
    </w:p>
    <w:p>
      <w:pPr>
        <w:spacing w:after="0" w:line="165" w:lineRule="exact"/>
        <w:rPr>
          <w:rFonts w:ascii="Arial" w:cs="Arial" w:eastAsia="Arial" w:hAnsi="Arial"/>
          <w:sz w:val="17"/>
          <w:szCs w:val="17"/>
          <w:color w:val="auto"/>
        </w:rPr>
      </w:pPr>
    </w:p>
    <w:p>
      <w:pPr>
        <w:jc w:val="both"/>
        <w:ind w:left="920" w:right="119" w:hanging="381"/>
        <w:spacing w:after="0" w:line="272" w:lineRule="auto"/>
        <w:tabs>
          <w:tab w:leader="none" w:pos="92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If the Company is voluntarily wound up, the liquidators may, divide among the members the property as is, and they shall be entitled with a similar authorization to deposit any part of the Company’s property with trustees in escrow for the benefit of members, as they deem correct. A resolution confirming such a distribution may confirm also a distribution in a manner other than in accordance with the legal rights of the members and it may grant special rights to any class of members. However, in the event of the adoption of a resolution enabling a distribution not in accordance with the legal rights of the members, a member adversely affected thereby shall have the right to object pursuant to the provisions of the Law.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WINDING UP OF BUSINESS</w:t>
      </w:r>
    </w:p>
    <w:p>
      <w:pPr>
        <w:spacing w:after="0" w:line="229" w:lineRule="exact"/>
        <w:rPr>
          <w:sz w:val="20"/>
          <w:szCs w:val="20"/>
          <w:color w:val="auto"/>
        </w:rPr>
      </w:pPr>
    </w:p>
    <w:p>
      <w:pPr>
        <w:jc w:val="both"/>
        <w:ind w:left="480" w:right="119" w:hanging="355"/>
        <w:spacing w:after="0" w:line="289" w:lineRule="auto"/>
        <w:tabs>
          <w:tab w:leader="none" w:pos="46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that at the time of liquidation of the Company the Company’s property available for distribution among the members shall not suffice to return all the paid up capital and subject to, and without derogating from, any rights or surplus rights or existing restrictions at that time of any special class of shares forming part of the capital of the Company, such property shall be divided so that the losses shall, as much as possible, be borne by the members in a pro-rata rate to the paid up capital or that shall have been paid at the commencement of the liquidation on the shares held by each of them. If, at the time of liquidation, the Company’s property designated for distribution among the members is in excess of the amount necessary for the return of all capital paid up at the beginning of the liquidation, it shall belong and be delivered to the members pro rata to the amount paid on the nominal value of each share held by them at the commencement of the liquidation.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3" w:name="page184"/>
    <w:bookmarkEnd w:id="183"/>
    <w:p>
      <w:pPr>
        <w:ind w:left="778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4"/>
          <w:szCs w:val="14"/>
          <w:b w:val="1"/>
          <w:bCs w:val="1"/>
          <w:color w:val="auto"/>
        </w:rPr>
        <w:t>ORNIT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IGITAL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2004 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4"/>
          <w:szCs w:val="14"/>
          <w:b w:val="1"/>
          <w:bCs w:val="1"/>
          <w:color w:val="auto"/>
        </w:rPr>
        <w:t>AS AMENDED</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15, 2005)</w:t>
      </w:r>
    </w:p>
    <w:p>
      <w:pPr>
        <w:spacing w:after="0" w:line="247" w:lineRule="exact"/>
        <w:rPr>
          <w:sz w:val="20"/>
          <w:szCs w:val="20"/>
          <w:color w:val="auto"/>
        </w:rPr>
      </w:pPr>
    </w:p>
    <w:p>
      <w:pPr>
        <w:ind w:left="560" w:hanging="435"/>
        <w:spacing w:after="0"/>
        <w:tabs>
          <w:tab w:leader="none" w:pos="56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URPOSE</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The purpose of this Share Option Plan is to secure for Kornit digital Ltd. and its shareholders the benefits arising from ownership of share capital by employees, officers and directors of the Company and its Affiliates (as defined below), who are expected to contribute to the Company’s future growth and success.</w:t>
      </w:r>
    </w:p>
    <w:p>
      <w:pPr>
        <w:spacing w:after="0" w:line="179" w:lineRule="exact"/>
        <w:rPr>
          <w:sz w:val="20"/>
          <w:szCs w:val="20"/>
          <w:color w:val="auto"/>
        </w:rPr>
      </w:pPr>
    </w:p>
    <w:p>
      <w:pPr>
        <w:ind w:left="560" w:hanging="435"/>
        <w:spacing w:after="0"/>
        <w:tabs>
          <w:tab w:leader="none" w:pos="56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2.1  D</w:t>
      </w:r>
      <w:r>
        <w:rPr>
          <w:rFonts w:ascii="Arial" w:cs="Arial" w:eastAsia="Arial" w:hAnsi="Arial"/>
          <w:sz w:val="13"/>
          <w:szCs w:val="13"/>
          <w:color w:val="auto"/>
        </w:rPr>
        <w:t>EFINED</w:t>
      </w:r>
      <w:r>
        <w:rPr>
          <w:rFonts w:ascii="Arial" w:cs="Arial" w:eastAsia="Arial" w:hAnsi="Arial"/>
          <w:sz w:val="20"/>
          <w:szCs w:val="20"/>
          <w:color w:val="auto"/>
        </w:rPr>
        <w:t xml:space="preserve"> T</w:t>
      </w:r>
      <w:r>
        <w:rPr>
          <w:rFonts w:ascii="Arial" w:cs="Arial" w:eastAsia="Arial" w:hAnsi="Arial"/>
          <w:sz w:val="13"/>
          <w:szCs w:val="13"/>
          <w:color w:val="auto"/>
        </w:rPr>
        <w:t>ERMS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Initially capitalized terms, as used in this Plan, shall have the meaning ascribed thereto as set forth below:</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500" w:type="dxa"/>
            <w:vAlign w:val="bottom"/>
          </w:tcPr>
          <w:p>
            <w:pPr>
              <w:ind w:left="400"/>
              <w:spacing w:after="0"/>
              <w:rPr>
                <w:sz w:val="20"/>
                <w:szCs w:val="20"/>
                <w:color w:val="auto"/>
              </w:rPr>
            </w:pPr>
            <w:r>
              <w:rPr>
                <w:rFonts w:ascii="Arial" w:cs="Arial" w:eastAsia="Arial" w:hAnsi="Arial"/>
                <w:sz w:val="18"/>
                <w:szCs w:val="18"/>
                <w:color w:val="auto"/>
              </w:rPr>
              <w:t>“Administrator”</w:t>
            </w: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means the Board of Directors of the Company, or the compensation committee</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2"/>
              </w:rPr>
              <w:t>appointed by the Board. Subject to the Articles of Association of the Company, as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may be amended from time to time, the Administrator, if it is a committee, shall</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consist of such number of members (but not less than two (2)) as may be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determined by the Board.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“Affiliate(s)”</w:t>
            </w: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means a present or future company that either (i) Controls Kornit digital Ltd. or is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Controlled by Kornit digital Ltd.; or (ii) is Controlled by the same person or entity</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that Controls Kornit digital Ltd.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“Allocate” or “Allocated”</w:t>
            </w: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with respect to Options, means the allocation of Options by the Company to the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Trustee on behalf of a Participant.</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“Cause”</w:t>
            </w:r>
          </w:p>
        </w:tc>
        <w:tc>
          <w:tcPr>
            <w:tcW w:w="6260" w:type="dxa"/>
            <w:vAlign w:val="bottom"/>
          </w:tcPr>
          <w:p>
            <w:pPr>
              <w:ind w:left="220"/>
              <w:spacing w:after="0"/>
              <w:rPr>
                <w:sz w:val="20"/>
                <w:szCs w:val="20"/>
                <w:color w:val="auto"/>
              </w:rPr>
            </w:pPr>
            <w:r>
              <w:rPr>
                <w:rFonts w:ascii="Arial" w:cs="Arial" w:eastAsia="Arial" w:hAnsi="Arial"/>
                <w:sz w:val="18"/>
                <w:szCs w:val="18"/>
                <w:color w:val="auto"/>
                <w:w w:val="98"/>
              </w:rPr>
              <w:t>means,  when  used  in  connection  with  the  termination  of  a  Participant’s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employment with, or service to the Company or an Affiliate, as a result of a basis</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for termination, including, but not limited to: dishonesty toward the Company or</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6"/>
              </w:rPr>
              <w:t>Affiliate,  insubordination,  substantial  malfeasance  or  nonfeasance  of  duty,</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8"/>
              </w:rPr>
              <w:t>unauthorized disclosure of confidential information, and conduct substantially</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prejudicial to the business of the Company or Affiliate; or, any substantial breach</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7"/>
              </w:rPr>
              <w:t>by the Participant of (i) his or her employment or service agreement or (ii) any</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other obligations toward Company or Affiliate.</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“Commencement Date”</w:t>
            </w:r>
          </w:p>
        </w:tc>
        <w:tc>
          <w:tcPr>
            <w:tcW w:w="6260" w:type="dxa"/>
            <w:vAlign w:val="bottom"/>
          </w:tcPr>
          <w:p>
            <w:pPr>
              <w:ind w:left="220"/>
              <w:spacing w:after="0"/>
              <w:rPr>
                <w:sz w:val="20"/>
                <w:szCs w:val="20"/>
                <w:color w:val="auto"/>
              </w:rPr>
            </w:pPr>
            <w:r>
              <w:rPr>
                <w:rFonts w:ascii="Arial" w:cs="Arial" w:eastAsia="Arial" w:hAnsi="Arial"/>
                <w:sz w:val="18"/>
                <w:szCs w:val="18"/>
                <w:color w:val="auto"/>
                <w:w w:val="89"/>
              </w:rPr>
              <w:t>means the date of commencement of the vesting schedule with respect to a Grant of</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1"/>
              </w:rPr>
              <w:t>Options which, unless otherwise determined by the Administrator, shall be the date</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on which such Grant of Options shall be Allocated.</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“Company”</w:t>
            </w:r>
          </w:p>
        </w:tc>
        <w:tc>
          <w:tcPr>
            <w:tcW w:w="6260" w:type="dxa"/>
            <w:vAlign w:val="bottom"/>
          </w:tcPr>
          <w:p>
            <w:pPr>
              <w:ind w:left="220"/>
              <w:spacing w:after="0"/>
              <w:rPr>
                <w:sz w:val="20"/>
                <w:szCs w:val="20"/>
                <w:color w:val="auto"/>
              </w:rPr>
            </w:pPr>
            <w:r>
              <w:rPr>
                <w:rFonts w:ascii="Arial" w:cs="Arial" w:eastAsia="Arial" w:hAnsi="Arial"/>
                <w:sz w:val="18"/>
                <w:szCs w:val="18"/>
                <w:color w:val="auto"/>
                <w:w w:val="94"/>
              </w:rPr>
              <w:t>means Kornit digital Ltd., a company incorporated under the laws of the State of</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Israel.</w:t>
            </w:r>
          </w:p>
        </w:tc>
      </w:tr>
      <w:tr>
        <w:trPr>
          <w:trHeight w:val="432"/>
        </w:trPr>
        <w:tc>
          <w:tcPr>
            <w:tcW w:w="2500" w:type="dxa"/>
            <w:vAlign w:val="bottom"/>
          </w:tcPr>
          <w:p>
            <w:pPr>
              <w:ind w:left="400"/>
              <w:spacing w:after="0"/>
              <w:rPr>
                <w:sz w:val="20"/>
                <w:szCs w:val="20"/>
                <w:color w:val="auto"/>
              </w:rPr>
            </w:pPr>
            <w:r>
              <w:rPr>
                <w:rFonts w:ascii="Arial" w:cs="Arial" w:eastAsia="Arial" w:hAnsi="Arial"/>
                <w:sz w:val="18"/>
                <w:szCs w:val="18"/>
                <w:color w:val="auto"/>
              </w:rPr>
              <w:t>“Control” or “Controlled”</w:t>
            </w:r>
          </w:p>
        </w:tc>
        <w:tc>
          <w:tcPr>
            <w:tcW w:w="6260" w:type="dxa"/>
            <w:vAlign w:val="bottom"/>
          </w:tcPr>
          <w:p>
            <w:pPr>
              <w:ind w:left="220"/>
              <w:spacing w:after="0"/>
              <w:rPr>
                <w:sz w:val="20"/>
                <w:szCs w:val="20"/>
                <w:color w:val="auto"/>
              </w:rPr>
            </w:pPr>
            <w:r>
              <w:rPr>
                <w:rFonts w:ascii="Arial" w:cs="Arial" w:eastAsia="Arial" w:hAnsi="Arial"/>
                <w:sz w:val="18"/>
                <w:szCs w:val="18"/>
                <w:color w:val="auto"/>
              </w:rPr>
              <w:t>shall have the meaning ascribed thereto in Section 102.</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“Disability”</w:t>
            </w:r>
          </w:p>
        </w:tc>
        <w:tc>
          <w:tcPr>
            <w:tcW w:w="6260" w:type="dxa"/>
            <w:vAlign w:val="bottom"/>
          </w:tcPr>
          <w:p>
            <w:pPr>
              <w:ind w:left="220"/>
              <w:spacing w:after="0"/>
              <w:rPr>
                <w:sz w:val="20"/>
                <w:szCs w:val="20"/>
                <w:color w:val="auto"/>
              </w:rPr>
            </w:pPr>
            <w:r>
              <w:rPr>
                <w:rFonts w:ascii="Arial" w:cs="Arial" w:eastAsia="Arial" w:hAnsi="Arial"/>
                <w:sz w:val="18"/>
                <w:szCs w:val="18"/>
                <w:color w:val="auto"/>
              </w:rPr>
              <w:t>means physical or mental impairment or sickness of a Participant, making it</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impossible for the Participant to continue such Participant’s employment with or</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service to the Company or Affiliate.</w:t>
            </w:r>
          </w:p>
        </w:tc>
      </w:tr>
      <w:tr>
        <w:trPr>
          <w:trHeight w:val="418"/>
        </w:trPr>
        <w:tc>
          <w:tcPr>
            <w:tcW w:w="2500" w:type="dxa"/>
            <w:vAlign w:val="bottom"/>
          </w:tcPr>
          <w:p>
            <w:pPr>
              <w:ind w:left="400"/>
              <w:spacing w:after="0"/>
              <w:rPr>
                <w:sz w:val="20"/>
                <w:szCs w:val="20"/>
                <w:color w:val="auto"/>
              </w:rPr>
            </w:pPr>
            <w:r>
              <w:rPr>
                <w:rFonts w:ascii="Arial" w:cs="Arial" w:eastAsia="Arial" w:hAnsi="Arial"/>
                <w:sz w:val="18"/>
                <w:szCs w:val="18"/>
                <w:color w:val="auto"/>
              </w:rPr>
              <w:t>“Exercise Price”</w:t>
            </w:r>
          </w:p>
        </w:tc>
        <w:tc>
          <w:tcPr>
            <w:tcW w:w="6260" w:type="dxa"/>
            <w:vAlign w:val="bottom"/>
          </w:tcPr>
          <w:p>
            <w:pPr>
              <w:ind w:left="220"/>
              <w:spacing w:after="0"/>
              <w:rPr>
                <w:sz w:val="20"/>
                <w:szCs w:val="20"/>
                <w:color w:val="auto"/>
              </w:rPr>
            </w:pPr>
            <w:r>
              <w:rPr>
                <w:rFonts w:ascii="Arial" w:cs="Arial" w:eastAsia="Arial" w:hAnsi="Arial"/>
                <w:sz w:val="18"/>
                <w:szCs w:val="18"/>
                <w:color w:val="auto"/>
                <w:w w:val="93"/>
              </w:rPr>
              <w:t>means, the price determined by the Administrator in accordance with Section 7.1</w:t>
            </w:r>
          </w:p>
        </w:tc>
      </w:tr>
      <w:tr>
        <w:trPr>
          <w:trHeight w:val="216"/>
        </w:trPr>
        <w:tc>
          <w:tcPr>
            <w:tcW w:w="250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w w:val="95"/>
              </w:rPr>
              <w:t>below which is to be paid to the Company in order to exercise a Granted Option</w:t>
            </w:r>
          </w:p>
        </w:tc>
      </w:tr>
      <w:tr>
        <w:trPr>
          <w:trHeight w:val="230"/>
        </w:trPr>
        <w:tc>
          <w:tcPr>
            <w:tcW w:w="25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and convert such Option into an Underlying Share.</w:t>
            </w:r>
          </w:p>
        </w:tc>
      </w:tr>
      <w:tr>
        <w:trPr>
          <w:trHeight w:val="284"/>
        </w:trPr>
        <w:tc>
          <w:tcPr>
            <w:tcW w:w="25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184" w:name="page185"/>
    <w:bookmarkEnd w:id="184"/>
    <w:p>
      <w:pPr>
        <w:ind w:left="540"/>
        <w:spacing w:after="0"/>
        <w:tabs>
          <w:tab w:leader="none" w:pos="2840" w:val="left"/>
        </w:tabs>
        <w:rPr>
          <w:sz w:val="20"/>
          <w:szCs w:val="20"/>
          <w:color w:val="auto"/>
        </w:rPr>
      </w:pPr>
      <w:r>
        <w:rPr>
          <w:rFonts w:ascii="Arial" w:cs="Arial" w:eastAsia="Arial" w:hAnsi="Arial"/>
          <w:sz w:val="18"/>
          <w:szCs w:val="18"/>
          <w:color w:val="auto"/>
        </w:rPr>
        <w:t>“Grant Letter”</w:t>
      </w:r>
      <w:r>
        <w:rPr>
          <w:sz w:val="20"/>
          <w:szCs w:val="20"/>
          <w:color w:val="auto"/>
        </w:rPr>
        <w:tab/>
      </w:r>
      <w:r>
        <w:rPr>
          <w:rFonts w:ascii="Arial" w:cs="Arial" w:eastAsia="Arial" w:hAnsi="Arial"/>
          <w:sz w:val="18"/>
          <w:szCs w:val="18"/>
          <w:color w:val="auto"/>
        </w:rPr>
        <w:t>means a letter from the Company or Affiliate to a Participant in which the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Participant is notified of the decision to Grant to the Participant Options according</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to the terms of the Plan. The Grant Letter shall specify (i) the Tax Track that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Company selected according to Section 11 of the Plan; (ii) the Exercise Price; (iii)</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vesting period; and (iv) the number of Options Granted to the Participant.</w:t>
      </w:r>
    </w:p>
    <w:p>
      <w:pPr>
        <w:spacing w:after="0" w:line="222"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“Grant of Options”</w:t>
      </w:r>
      <w:r>
        <w:rPr>
          <w:sz w:val="20"/>
          <w:szCs w:val="20"/>
          <w:color w:val="auto"/>
        </w:rPr>
        <w:tab/>
      </w:r>
      <w:r>
        <w:rPr>
          <w:rFonts w:ascii="Arial" w:cs="Arial" w:eastAsia="Arial" w:hAnsi="Arial"/>
          <w:sz w:val="18"/>
          <w:szCs w:val="18"/>
          <w:color w:val="auto"/>
        </w:rPr>
        <w:t>with respect to Options, means the grant of Options by the Company to a</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Participant pursuant to a Grant Letter.</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“Holding Period”</w:t>
      </w:r>
      <w:r>
        <w:rPr>
          <w:sz w:val="20"/>
          <w:szCs w:val="20"/>
          <w:color w:val="auto"/>
        </w:rPr>
        <w:tab/>
      </w:r>
      <w:r>
        <w:rPr>
          <w:rFonts w:ascii="Arial" w:cs="Arial" w:eastAsia="Arial" w:hAnsi="Arial"/>
          <w:sz w:val="16"/>
          <w:szCs w:val="16"/>
          <w:color w:val="auto"/>
        </w:rPr>
        <w:t>means the period in which the Allocated Options granted to a Participant or, upon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exercise thereof the Underlying Shares, are to be held by the Trustee on behalf of</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Participant, in accordance with Section 102, and pursuant to the Tax Track</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which the Company selects.</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“IPO”</w:t>
      </w:r>
      <w:r>
        <w:rPr>
          <w:sz w:val="20"/>
          <w:szCs w:val="20"/>
          <w:color w:val="auto"/>
        </w:rPr>
        <w:tab/>
      </w:r>
      <w:r>
        <w:rPr>
          <w:rFonts w:ascii="Arial" w:cs="Arial" w:eastAsia="Arial" w:hAnsi="Arial"/>
          <w:sz w:val="17"/>
          <w:szCs w:val="17"/>
          <w:color w:val="auto"/>
        </w:rPr>
        <w:t>means the initial public offering of shares of the Company and the listing of such</w:t>
      </w:r>
    </w:p>
    <w:p>
      <w:pPr>
        <w:spacing w:after="0" w:line="35"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shares for trading on any recognized stock exchange or over-the-counter or computerized securities trading system.</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“Law”</w:t>
      </w:r>
      <w:r>
        <w:rPr>
          <w:sz w:val="20"/>
          <w:szCs w:val="20"/>
          <w:color w:val="auto"/>
        </w:rPr>
        <w:tab/>
      </w:r>
      <w:r>
        <w:rPr>
          <w:rFonts w:ascii="Arial" w:cs="Arial" w:eastAsia="Arial" w:hAnsi="Arial"/>
          <w:sz w:val="18"/>
          <w:szCs w:val="18"/>
          <w:color w:val="auto"/>
        </w:rPr>
        <w:t>means the laws of the State of Israel as are in effect from time to time.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“Merger Transaction”</w:t>
      </w:r>
      <w:r>
        <w:rPr>
          <w:sz w:val="20"/>
          <w:szCs w:val="20"/>
          <w:color w:val="auto"/>
        </w:rPr>
        <w:tab/>
      </w:r>
      <w:r>
        <w:rPr>
          <w:rFonts w:ascii="Arial" w:cs="Arial" w:eastAsia="Arial" w:hAnsi="Arial"/>
          <w:sz w:val="18"/>
          <w:szCs w:val="18"/>
          <w:color w:val="auto"/>
        </w:rPr>
        <w:t>(i) a sale of all or substantially all of the assets of the Company; or (ii) a sale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(including an exchange) of all or substantially all of the shares of the capital stock</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of the Company; or (iii) a merger, consolidation or like transaction of the Company</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with or into another corporation.</w:t>
      </w:r>
    </w:p>
    <w:p>
      <w:pPr>
        <w:spacing w:after="0" w:line="207"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“Notice of Exercise”</w:t>
      </w:r>
      <w:r>
        <w:rPr>
          <w:sz w:val="20"/>
          <w:szCs w:val="20"/>
          <w:color w:val="auto"/>
        </w:rPr>
        <w:tab/>
      </w:r>
      <w:r>
        <w:rPr>
          <w:rFonts w:ascii="Arial" w:cs="Arial" w:eastAsia="Arial" w:hAnsi="Arial"/>
          <w:sz w:val="16"/>
          <w:szCs w:val="16"/>
          <w:color w:val="auto"/>
        </w:rPr>
        <w:t xml:space="preserve">shall have the meaning set forth in Section </w:t>
      </w:r>
      <w:r>
        <w:rPr>
          <w:rFonts w:ascii="Arial" w:cs="Arial" w:eastAsia="Arial" w:hAnsi="Arial"/>
          <w:sz w:val="16"/>
          <w:szCs w:val="16"/>
          <w:b w:val="1"/>
          <w:bCs w:val="1"/>
          <w:color w:val="auto"/>
        </w:rPr>
        <w:t>7.4</w:t>
      </w:r>
      <w:r>
        <w:rPr>
          <w:rFonts w:ascii="Arial" w:cs="Arial" w:eastAsia="Arial" w:hAnsi="Arial"/>
          <w:sz w:val="16"/>
          <w:szCs w:val="16"/>
          <w:color w:val="auto"/>
        </w:rPr>
        <w:t xml:space="preserve"> below.</w:t>
      </w:r>
    </w:p>
    <w:p>
      <w:pPr>
        <w:spacing w:after="0" w:line="229"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“Option”</w:t>
      </w:r>
      <w:r>
        <w:rPr>
          <w:sz w:val="20"/>
          <w:szCs w:val="20"/>
          <w:color w:val="auto"/>
        </w:rPr>
        <w:tab/>
      </w:r>
      <w:r>
        <w:rPr>
          <w:rFonts w:ascii="Arial" w:cs="Arial" w:eastAsia="Arial" w:hAnsi="Arial"/>
          <w:sz w:val="18"/>
          <w:szCs w:val="18"/>
          <w:color w:val="auto"/>
        </w:rPr>
        <w:t>means an option to purchase one Share of the Company.</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“Participant”</w:t>
      </w:r>
      <w:r>
        <w:rPr>
          <w:sz w:val="20"/>
          <w:szCs w:val="20"/>
          <w:color w:val="auto"/>
        </w:rPr>
        <w:tab/>
      </w:r>
      <w:r>
        <w:rPr>
          <w:rFonts w:ascii="Arial" w:cs="Arial" w:eastAsia="Arial" w:hAnsi="Arial"/>
          <w:sz w:val="17"/>
          <w:szCs w:val="17"/>
          <w:color w:val="auto"/>
        </w:rPr>
        <w:t>means an employee, officer or director of the Company or any Affiliate (provided</w:t>
      </w:r>
    </w:p>
    <w:p>
      <w:pPr>
        <w:spacing w:after="0" w:line="35" w:lineRule="exact"/>
        <w:rPr>
          <w:sz w:val="20"/>
          <w:szCs w:val="20"/>
          <w:color w:val="auto"/>
        </w:rPr>
      </w:pPr>
    </w:p>
    <w:p>
      <w:pPr>
        <w:ind w:left="2860" w:right="119"/>
        <w:spacing w:after="0" w:line="290" w:lineRule="auto"/>
        <w:rPr>
          <w:sz w:val="20"/>
          <w:szCs w:val="20"/>
          <w:color w:val="auto"/>
        </w:rPr>
      </w:pPr>
      <w:r>
        <w:rPr>
          <w:rFonts w:ascii="Arial" w:cs="Arial" w:eastAsia="Arial" w:hAnsi="Arial"/>
          <w:sz w:val="17"/>
          <w:szCs w:val="17"/>
          <w:color w:val="auto"/>
        </w:rPr>
        <w:t>that such person does not Control the Company as such term is defined in the Tax Ordinance), on behalf of whom an Option is Granted pursuant to the Plan.</w:t>
      </w:r>
    </w:p>
    <w:p>
      <w:pPr>
        <w:spacing w:after="0" w:line="162"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“Plan” or “Option Plan”</w:t>
      </w:r>
      <w:r>
        <w:rPr>
          <w:sz w:val="20"/>
          <w:szCs w:val="20"/>
          <w:color w:val="auto"/>
        </w:rPr>
        <w:tab/>
      </w:r>
      <w:r>
        <w:rPr>
          <w:rFonts w:ascii="Arial" w:cs="Arial" w:eastAsia="Arial" w:hAnsi="Arial"/>
          <w:sz w:val="16"/>
          <w:szCs w:val="16"/>
          <w:color w:val="auto"/>
        </w:rPr>
        <w:t>means this Share Option Plan, as may be amended from time to time.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7"/>
          <w:szCs w:val="17"/>
          <w:color w:val="auto"/>
        </w:rPr>
        <w:t>“Retirement”</w:t>
      </w:r>
      <w:r>
        <w:rPr>
          <w:sz w:val="20"/>
          <w:szCs w:val="20"/>
          <w:color w:val="auto"/>
        </w:rPr>
        <w:tab/>
      </w:r>
      <w:r>
        <w:rPr>
          <w:rFonts w:ascii="Arial" w:cs="Arial" w:eastAsia="Arial" w:hAnsi="Arial"/>
          <w:sz w:val="17"/>
          <w:szCs w:val="17"/>
          <w:color w:val="auto"/>
        </w:rPr>
        <w:t>means the termination of a Participant’s employment as a result of his or her</w:t>
      </w:r>
    </w:p>
    <w:p>
      <w:pPr>
        <w:spacing w:after="0" w:line="35"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reaching the earlier of (i) the age of retirement as defined by Law; or (ii) the age of retirement specified in the Participant’s employment agreement.</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means Section 102 of the Tax Ordinance.</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“Section 102 Rules”</w:t>
      </w:r>
      <w:r>
        <w:rPr>
          <w:sz w:val="20"/>
          <w:szCs w:val="20"/>
          <w:color w:val="auto"/>
        </w:rPr>
        <w:tab/>
      </w:r>
      <w:r>
        <w:rPr>
          <w:rFonts w:ascii="Arial" w:cs="Arial" w:eastAsia="Arial" w:hAnsi="Arial"/>
          <w:sz w:val="17"/>
          <w:szCs w:val="17"/>
          <w:color w:val="auto"/>
        </w:rPr>
        <w:t>means the Income Tax Rules (Tax Relief for Issuance of Shares to Employees),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2003.</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means an ordinary share of the Company, having a par value of NIS 0.1.</w:t>
      </w:r>
    </w:p>
    <w:p>
      <w:pPr>
        <w:spacing w:after="0" w:line="225"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“Tax Ordinance”</w:t>
      </w:r>
      <w:r>
        <w:rPr>
          <w:sz w:val="20"/>
          <w:szCs w:val="20"/>
          <w:color w:val="auto"/>
        </w:rPr>
        <w:tab/>
      </w:r>
      <w:r>
        <w:rPr>
          <w:rFonts w:ascii="Arial" w:cs="Arial" w:eastAsia="Arial" w:hAnsi="Arial"/>
          <w:sz w:val="16"/>
          <w:szCs w:val="16"/>
          <w:color w:val="auto"/>
        </w:rPr>
        <w:t>means the Israeli Income Tax Ordinance [New Version], 1961, as amended, and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any regulations, rules, orders or procedures promulgated thereunder.</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“Tax Track”</w:t>
      </w:r>
      <w:r>
        <w:rPr>
          <w:sz w:val="20"/>
          <w:szCs w:val="20"/>
          <w:color w:val="auto"/>
        </w:rPr>
        <w:tab/>
      </w:r>
      <w:r>
        <w:rPr>
          <w:rFonts w:ascii="Arial" w:cs="Arial" w:eastAsia="Arial" w:hAnsi="Arial"/>
          <w:sz w:val="16"/>
          <w:szCs w:val="16"/>
          <w:color w:val="auto"/>
        </w:rPr>
        <w:t>means one of the three tax tracks described under Section 102, specifically: (1) the</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“Capital Gains Track Through a Trustee”; (2) “Income Tax Track Through 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Trustee”; or (3) the “Income Tax Track Without a Trustee”; each as defined in</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Sections 11.1-11.2 of this Plan, respectively.</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“Term of the Options”</w:t>
      </w:r>
      <w:r>
        <w:rPr>
          <w:sz w:val="20"/>
          <w:szCs w:val="20"/>
          <w:color w:val="auto"/>
        </w:rPr>
        <w:tab/>
      </w:r>
      <w:r>
        <w:rPr>
          <w:rFonts w:ascii="Arial" w:cs="Arial" w:eastAsia="Arial" w:hAnsi="Arial"/>
          <w:sz w:val="16"/>
          <w:szCs w:val="16"/>
          <w:color w:val="auto"/>
        </w:rPr>
        <w:t>means, with respect to Granted but unexercised Options, the time period set forth in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b w:val="1"/>
          <w:bCs w:val="1"/>
          <w:color w:val="auto"/>
        </w:rPr>
        <w:t>9</w:t>
      </w:r>
      <w:r>
        <w:rPr>
          <w:rFonts w:ascii="Arial" w:cs="Arial" w:eastAsia="Arial" w:hAnsi="Arial"/>
          <w:sz w:val="18"/>
          <w:szCs w:val="18"/>
          <w:color w:val="auto"/>
        </w:rPr>
        <w:t xml:space="preserve"> below.</w:t>
      </w:r>
    </w:p>
    <w:p>
      <w:pPr>
        <w:spacing w:after="0" w:line="211"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6"/>
          <w:szCs w:val="16"/>
          <w:color w:val="auto"/>
        </w:rPr>
        <w:t>“Trustee”</w:t>
      </w:r>
      <w:r>
        <w:rPr>
          <w:sz w:val="20"/>
          <w:szCs w:val="20"/>
          <w:color w:val="auto"/>
        </w:rPr>
        <w:tab/>
      </w:r>
      <w:r>
        <w:rPr>
          <w:rFonts w:ascii="Arial" w:cs="Arial" w:eastAsia="Arial" w:hAnsi="Arial"/>
          <w:sz w:val="16"/>
          <w:szCs w:val="16"/>
          <w:color w:val="auto"/>
        </w:rPr>
        <w:t>means a Trustee appointed by the Company to hold in trust, Allocated Options and</w:t>
      </w:r>
    </w:p>
    <w:p>
      <w:pPr>
        <w:spacing w:after="0" w:line="46" w:lineRule="exact"/>
        <w:rPr>
          <w:sz w:val="20"/>
          <w:szCs w:val="20"/>
          <w:color w:val="auto"/>
        </w:rPr>
      </w:pPr>
    </w:p>
    <w:p>
      <w:pPr>
        <w:ind w:left="2860" w:right="119"/>
        <w:spacing w:after="0" w:line="261" w:lineRule="auto"/>
        <w:rPr>
          <w:sz w:val="20"/>
          <w:szCs w:val="20"/>
          <w:color w:val="auto"/>
        </w:rPr>
      </w:pPr>
      <w:r>
        <w:rPr>
          <w:rFonts w:ascii="Arial" w:cs="Arial" w:eastAsia="Arial" w:hAnsi="Arial"/>
          <w:sz w:val="18"/>
          <w:szCs w:val="18"/>
          <w:color w:val="auto"/>
        </w:rPr>
        <w:t>the Underlying Shares issued upon exercise of such Options, on behalf of Participants.</w:t>
      </w:r>
    </w:p>
    <w:p>
      <w:pPr>
        <w:spacing w:after="0" w:line="184" w:lineRule="exact"/>
        <w:rPr>
          <w:sz w:val="20"/>
          <w:szCs w:val="20"/>
          <w:color w:val="auto"/>
        </w:rPr>
      </w:pPr>
    </w:p>
    <w:p>
      <w:pPr>
        <w:ind w:left="540"/>
        <w:spacing w:after="0"/>
        <w:tabs>
          <w:tab w:leader="none" w:pos="2840" w:val="left"/>
        </w:tabs>
        <w:rPr>
          <w:sz w:val="20"/>
          <w:szCs w:val="20"/>
          <w:color w:val="auto"/>
        </w:rPr>
      </w:pPr>
      <w:r>
        <w:rPr>
          <w:rFonts w:ascii="Arial" w:cs="Arial" w:eastAsia="Arial" w:hAnsi="Arial"/>
          <w:sz w:val="18"/>
          <w:szCs w:val="18"/>
          <w:color w:val="auto"/>
        </w:rPr>
        <w:t>“Underlying Shares”</w:t>
      </w:r>
      <w:r>
        <w:rPr>
          <w:sz w:val="20"/>
          <w:szCs w:val="20"/>
          <w:color w:val="auto"/>
        </w:rPr>
        <w:tab/>
      </w:r>
      <w:r>
        <w:rPr>
          <w:rFonts w:ascii="Arial" w:cs="Arial" w:eastAsia="Arial" w:hAnsi="Arial"/>
          <w:sz w:val="17"/>
          <w:szCs w:val="17"/>
          <w:color w:val="auto"/>
        </w:rPr>
        <w:t>means Shares issued or to be issued upon exercise of Granted Options all in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accordance with the Plan.</w:t>
      </w:r>
    </w:p>
    <w:p>
      <w:pPr>
        <w:sectPr>
          <w:pgSz w:w="11900" w:h="16838" w:orient="portrait"/>
          <w:cols w:equalWidth="0" w:num="1">
            <w:col w:w="9019"/>
          </w:cols>
          <w:pgMar w:left="1440" w:top="12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5" w:name="page186"/>
    <w:bookmarkEnd w:id="185"/>
    <w:p>
      <w:pPr>
        <w:ind w:left="120"/>
        <w:spacing w:after="0"/>
        <w:rPr>
          <w:sz w:val="20"/>
          <w:szCs w:val="20"/>
          <w:color w:val="auto"/>
        </w:rPr>
      </w:pPr>
      <w:r>
        <w:rPr>
          <w:rFonts w:ascii="Arial" w:cs="Arial" w:eastAsia="Arial" w:hAnsi="Arial"/>
          <w:sz w:val="22"/>
          <w:szCs w:val="22"/>
          <w:color w:val="auto"/>
        </w:rPr>
        <w:t>2.2  G</w:t>
      </w:r>
      <w:r>
        <w:rPr>
          <w:rFonts w:ascii="Arial" w:cs="Arial" w:eastAsia="Arial" w:hAnsi="Arial"/>
          <w:sz w:val="14"/>
          <w:szCs w:val="14"/>
          <w:color w:val="auto"/>
        </w:rPr>
        <w:t>ENERAL</w:t>
      </w:r>
    </w:p>
    <w:p>
      <w:pPr>
        <w:spacing w:after="0" w:line="227"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Without derogating from the meanings ascribed to the capitalized terms above, all singular references in this Plan shall include the plural and vice versa, and reference to one gender shall include the other, unless otherwise required by the context.</w:t>
      </w:r>
    </w:p>
    <w:p>
      <w:pPr>
        <w:spacing w:after="0" w:line="195" w:lineRule="exact"/>
        <w:rPr>
          <w:sz w:val="20"/>
          <w:szCs w:val="20"/>
          <w:color w:val="auto"/>
        </w:rPr>
      </w:pPr>
    </w:p>
    <w:p>
      <w:pPr>
        <w:ind w:left="560" w:hanging="435"/>
        <w:spacing w:after="0"/>
        <w:tabs>
          <w:tab w:leader="none" w:pos="56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VAILABLE FOR</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The total number of Underlying Shares reserved for issuance under the Plan and any modification thereof, shall be determined from time to time by the Board of Directors of the Company. Such number of Shares shall be subject to adjustment as required for the implementation of the provisions of the Plan, in accordance with Section 4 below.</w:t>
      </w:r>
    </w:p>
    <w:p>
      <w:pPr>
        <w:spacing w:after="0" w:line="147"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In the event that Options Allocated under the Plan expire or otherwise terminate in accordance with the provisions of the Plan, such expired or terminated Options shall become available for future Grants and Allocations under the Plan.</w:t>
      </w:r>
    </w:p>
    <w:p>
      <w:pPr>
        <w:spacing w:after="0" w:line="195" w:lineRule="exact"/>
        <w:rPr>
          <w:sz w:val="20"/>
          <w:szCs w:val="20"/>
          <w:color w:val="auto"/>
        </w:rPr>
      </w:pPr>
    </w:p>
    <w:p>
      <w:pPr>
        <w:ind w:left="540" w:hanging="415"/>
        <w:spacing w:after="0"/>
        <w:tabs>
          <w:tab w:leader="none" w:pos="540"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w:t>
      </w:r>
    </w:p>
    <w:p>
      <w:pPr>
        <w:spacing w:after="0" w:line="233" w:lineRule="exact"/>
        <w:rPr>
          <w:sz w:val="20"/>
          <w:szCs w:val="20"/>
          <w:color w:val="auto"/>
        </w:rPr>
      </w:pPr>
    </w:p>
    <w:p>
      <w:pPr>
        <w:jc w:val="both"/>
        <w:ind w:left="580" w:right="119"/>
        <w:spacing w:after="0" w:line="289" w:lineRule="auto"/>
        <w:rPr>
          <w:sz w:val="20"/>
          <w:szCs w:val="20"/>
          <w:color w:val="auto"/>
        </w:rPr>
      </w:pPr>
      <w:r>
        <w:rPr>
          <w:rFonts w:ascii="Arial" w:cs="Arial" w:eastAsia="Arial" w:hAnsi="Arial"/>
          <w:sz w:val="16"/>
          <w:szCs w:val="16"/>
          <w:color w:val="auto"/>
        </w:rPr>
        <w:t>In the event that any dividend or other distribution (whether in the form of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that may be delivered under the Plan and/or the number, class, and price of Shares covered by each outstanding Option or Share Purchase Right. Upon the occurrence of any such adjustment, references in this Plan to Shares and Underlying Shares shall be construed to mean the Shares of the Company subject to the Plan as so determined by the Administrator, following such adjustment.</w:t>
      </w:r>
    </w:p>
    <w:p>
      <w:pPr>
        <w:spacing w:after="0" w:line="167"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If the Change in Capitalization is the distribution of a cash dividend, the Company shall transfer to the Trustee the amount of dividend resulting from the Underlying Shares held by the Trustee for the benefit of Participants in accordance with the provisions of this Plan. The Trustee shall deduct all applicable taxes from the dividend amount and transfer the remaining dividend amount to such Participants.</w:t>
      </w:r>
    </w:p>
    <w:p>
      <w:pPr>
        <w:spacing w:after="0" w:line="201" w:lineRule="exact"/>
        <w:rPr>
          <w:sz w:val="20"/>
          <w:szCs w:val="20"/>
          <w:color w:val="auto"/>
        </w:rPr>
      </w:pPr>
    </w:p>
    <w:p>
      <w:pPr>
        <w:ind w:left="560" w:hanging="435"/>
        <w:spacing w:after="0"/>
        <w:tabs>
          <w:tab w:leader="none" w:pos="56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5.1  P</w:t>
      </w:r>
      <w:r>
        <w:rPr>
          <w:rFonts w:ascii="Arial" w:cs="Arial" w:eastAsia="Arial" w:hAnsi="Arial"/>
          <w:sz w:val="13"/>
          <w:szCs w:val="13"/>
          <w:color w:val="auto"/>
        </w:rPr>
        <w:t>OWER</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Subject to the Law, the Articles of Association of the Company, and any resolution to the contrary by the Company’s Board of Directors, the Administrator is authorized, in its sole and absolute discretion, to exercise all powers and authorities either specifically granted to it under the Plan or necessary or advisable in the administration of the Plan; including, without limitation,</w:t>
      </w:r>
    </w:p>
    <w:p>
      <w:pPr>
        <w:spacing w:after="0" w:line="187" w:lineRule="exact"/>
        <w:rPr>
          <w:sz w:val="20"/>
          <w:szCs w:val="20"/>
          <w:color w:val="auto"/>
        </w:rPr>
      </w:pPr>
    </w:p>
    <w:p>
      <w:pPr>
        <w:ind w:left="1000" w:hanging="425"/>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determine:</w:t>
      </w:r>
    </w:p>
    <w:p>
      <w:pPr>
        <w:spacing w:after="0" w:line="225" w:lineRule="exact"/>
        <w:rPr>
          <w:rFonts w:ascii="Arial" w:cs="Arial" w:eastAsia="Arial" w:hAnsi="Arial"/>
          <w:sz w:val="18"/>
          <w:szCs w:val="18"/>
          <w:color w:val="auto"/>
        </w:rPr>
      </w:pPr>
    </w:p>
    <w:p>
      <w:pPr>
        <w:ind w:left="1320" w:hanging="349"/>
        <w:spacing w:after="0"/>
        <w:tabs>
          <w:tab w:leader="none" w:pos="132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Participants in the Plan, and the number of Options to be Granted for each Participant’s benefit;</w:t>
      </w:r>
    </w:p>
    <w:p>
      <w:pPr>
        <w:spacing w:after="0" w:line="236" w:lineRule="exact"/>
        <w:rPr>
          <w:rFonts w:ascii="Arial" w:cs="Arial" w:eastAsia="Arial" w:hAnsi="Arial"/>
          <w:sz w:val="17"/>
          <w:szCs w:val="17"/>
          <w:color w:val="auto"/>
        </w:rPr>
      </w:pPr>
    </w:p>
    <w:p>
      <w:pPr>
        <w:ind w:left="1320" w:hanging="349"/>
        <w:spacing w:after="0"/>
        <w:tabs>
          <w:tab w:leader="none" w:pos="13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time or times at which Options shall be Granted;</w:t>
      </w:r>
    </w:p>
    <w:p>
      <w:pPr>
        <w:spacing w:after="0" w:line="225" w:lineRule="exact"/>
        <w:rPr>
          <w:rFonts w:ascii="Arial" w:cs="Arial" w:eastAsia="Arial" w:hAnsi="Arial"/>
          <w:sz w:val="18"/>
          <w:szCs w:val="18"/>
          <w:color w:val="auto"/>
        </w:rPr>
      </w:pPr>
    </w:p>
    <w:p>
      <w:pPr>
        <w:ind w:left="1340" w:hanging="369"/>
        <w:spacing w:after="0"/>
        <w:tabs>
          <w:tab w:leader="none" w:pos="13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Exercise Price for any Granted Option (subject to the approval of the Board);</w:t>
      </w:r>
    </w:p>
    <w:p>
      <w:pPr>
        <w:spacing w:after="0" w:line="225" w:lineRule="exact"/>
        <w:rPr>
          <w:rFonts w:ascii="Arial" w:cs="Arial" w:eastAsia="Arial" w:hAnsi="Arial"/>
          <w:sz w:val="18"/>
          <w:szCs w:val="18"/>
          <w:color w:val="auto"/>
        </w:rPr>
      </w:pPr>
    </w:p>
    <w:p>
      <w:pPr>
        <w:ind w:left="1340" w:right="119" w:hanging="369"/>
        <w:spacing w:after="0" w:line="277" w:lineRule="auto"/>
        <w:tabs>
          <w:tab w:leader="none" w:pos="136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whether, to what extent, and under what circumstances an Option may be settled, canceled, forfeited, exchanged, or surrendered;</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41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terms and conditions in addition to those specified in the Plan under which an Option may be Granted; and</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42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measures, and to take actions, as deemed necessary or advisable for the administration and implementation of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45" w:right="1440" w:bottom="1440" w:gutter="0" w:footer="0" w:header="0"/>
        </w:sectPr>
      </w:pPr>
    </w:p>
    <w:bookmarkStart w:id="186" w:name="page187"/>
    <w:bookmarkEnd w:id="186"/>
    <w:p>
      <w:pPr>
        <w:ind w:left="980" w:hanging="423"/>
        <w:spacing w:after="0"/>
        <w:tabs>
          <w:tab w:leader="none" w:pos="9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interpret the provisions of the Plan and to take all actions resulting therefrom including without limitation;</w:t>
      </w:r>
    </w:p>
    <w:p>
      <w:pPr>
        <w:spacing w:after="0" w:line="248" w:lineRule="exact"/>
        <w:rPr>
          <w:rFonts w:ascii="Arial" w:cs="Arial" w:eastAsia="Arial" w:hAnsi="Arial"/>
          <w:sz w:val="16"/>
          <w:szCs w:val="16"/>
          <w:color w:val="auto"/>
        </w:rPr>
      </w:pPr>
    </w:p>
    <w:p>
      <w:pPr>
        <w:ind w:left="1340" w:right="119" w:hanging="369"/>
        <w:spacing w:after="0" w:line="277" w:lineRule="auto"/>
        <w:tabs>
          <w:tab w:leader="none" w:pos="142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Section 7, to accelerate the date on which any Allocated Option under the Plan becomes exercisable;</w:t>
      </w:r>
    </w:p>
    <w:p>
      <w:pPr>
        <w:spacing w:after="0" w:line="170" w:lineRule="exact"/>
        <w:rPr>
          <w:rFonts w:ascii="Arial" w:cs="Arial" w:eastAsia="Arial" w:hAnsi="Arial"/>
          <w:sz w:val="18"/>
          <w:szCs w:val="18"/>
          <w:color w:val="auto"/>
        </w:rPr>
      </w:pPr>
    </w:p>
    <w:p>
      <w:pPr>
        <w:ind w:left="1340" w:right="119" w:hanging="369"/>
        <w:spacing w:after="0" w:line="277" w:lineRule="auto"/>
        <w:tabs>
          <w:tab w:leader="none" w:pos="137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to waive or amend Plan provisions relating to exercise of Options, including exercise of Options after termination of employment, for any reason; and</w:t>
      </w:r>
    </w:p>
    <w:p>
      <w:pPr>
        <w:spacing w:after="0" w:line="170" w:lineRule="exact"/>
        <w:rPr>
          <w:rFonts w:ascii="Arial" w:cs="Arial" w:eastAsia="Arial" w:hAnsi="Arial"/>
          <w:sz w:val="18"/>
          <w:szCs w:val="18"/>
          <w:color w:val="auto"/>
        </w:rPr>
      </w:pPr>
    </w:p>
    <w:p>
      <w:pPr>
        <w:ind w:left="1340" w:hanging="369"/>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to amend any of the terms of the Plan, or any prior determinations of the Administrator;</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5.2  L</w:t>
      </w:r>
      <w:r>
        <w:rPr>
          <w:rFonts w:ascii="Arial" w:cs="Arial" w:eastAsia="Arial" w:hAnsi="Arial"/>
          <w:sz w:val="13"/>
          <w:szCs w:val="13"/>
          <w:color w:val="auto"/>
        </w:rPr>
        <w:t>IMITATIONS</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Notwithstanding the provisions of Section 5.1 above, no interpretations, determinations or actions of the Administrator shall contradict the provisions of Section 102, and no waiver or amendment with respect to the Plan shall have a material adverse affect on any Participant’s rights in connection with any Granted Option under the Plan without receiving the consent of such Participant.</w:t>
      </w:r>
    </w:p>
    <w:p>
      <w:pPr>
        <w:spacing w:after="0" w:line="201" w:lineRule="exact"/>
        <w:rPr>
          <w:sz w:val="20"/>
          <w:szCs w:val="20"/>
          <w:color w:val="auto"/>
        </w:rPr>
      </w:pPr>
    </w:p>
    <w:p>
      <w:pPr>
        <w:ind w:left="560" w:hanging="435"/>
        <w:spacing w:after="0"/>
        <w:tabs>
          <w:tab w:leader="none" w:pos="56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LLOCATION OF OPTIONS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6.1  C</w:t>
      </w:r>
      <w:r>
        <w:rPr>
          <w:rFonts w:ascii="Arial" w:cs="Arial" w:eastAsia="Arial" w:hAnsi="Arial"/>
          <w:sz w:val="13"/>
          <w:szCs w:val="13"/>
          <w:color w:val="auto"/>
        </w:rPr>
        <w:t>ONDITIONS FOR</w:t>
      </w:r>
      <w:r>
        <w:rPr>
          <w:rFonts w:ascii="Arial" w:cs="Arial" w:eastAsia="Arial" w:hAnsi="Arial"/>
          <w:sz w:val="20"/>
          <w:szCs w:val="20"/>
          <w:color w:val="auto"/>
        </w:rPr>
        <w:t xml:space="preserve"> A</w:t>
      </w:r>
      <w:r>
        <w:rPr>
          <w:rFonts w:ascii="Arial" w:cs="Arial" w:eastAsia="Arial" w:hAnsi="Arial"/>
          <w:sz w:val="13"/>
          <w:szCs w:val="13"/>
          <w:color w:val="auto"/>
        </w:rPr>
        <w:t>LLOCATION OF</w:t>
      </w:r>
      <w:r>
        <w:rPr>
          <w:rFonts w:ascii="Arial" w:cs="Arial" w:eastAsia="Arial" w:hAnsi="Arial"/>
          <w:sz w:val="20"/>
          <w:szCs w:val="20"/>
          <w:color w:val="auto"/>
        </w:rPr>
        <w:t xml:space="preserve"> O</w:t>
      </w:r>
      <w:r>
        <w:rPr>
          <w:rFonts w:ascii="Arial" w:cs="Arial" w:eastAsia="Arial" w:hAnsi="Arial"/>
          <w:sz w:val="13"/>
          <w:szCs w:val="13"/>
          <w:color w:val="auto"/>
        </w:rPr>
        <w:t>PTIONS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Options may be Allocated at any time after:</w:t>
      </w:r>
    </w:p>
    <w:p>
      <w:pPr>
        <w:spacing w:after="0" w:line="225" w:lineRule="exact"/>
        <w:rPr>
          <w:sz w:val="20"/>
          <w:szCs w:val="20"/>
          <w:color w:val="auto"/>
        </w:rPr>
      </w:pPr>
    </w:p>
    <w:p>
      <w:pPr>
        <w:ind w:left="940" w:hanging="383"/>
        <w:spacing w:after="0"/>
        <w:tabs>
          <w:tab w:leader="none" w:pos="9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Plan has been approved by the necessary corporate bodies of the Company; and</w:t>
      </w:r>
    </w:p>
    <w:p>
      <w:pPr>
        <w:spacing w:after="0" w:line="225" w:lineRule="exact"/>
        <w:rPr>
          <w:rFonts w:ascii="Arial" w:cs="Arial" w:eastAsia="Arial" w:hAnsi="Arial"/>
          <w:sz w:val="18"/>
          <w:szCs w:val="18"/>
          <w:color w:val="auto"/>
        </w:rPr>
      </w:pPr>
    </w:p>
    <w:p>
      <w:pPr>
        <w:ind w:left="940" w:right="119" w:hanging="383"/>
        <w:spacing w:after="0" w:line="308" w:lineRule="auto"/>
        <w:tabs>
          <w:tab w:leader="none" w:pos="94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30-day waiting period beginning on the date on which the Company has filed all required documents with the Israeli Tax Authorities as specified in Section 102 and the Rules, has elapsed; and</w:t>
      </w:r>
    </w:p>
    <w:p>
      <w:pPr>
        <w:spacing w:after="0" w:line="146" w:lineRule="exact"/>
        <w:rPr>
          <w:rFonts w:ascii="Arial" w:cs="Arial" w:eastAsia="Arial" w:hAnsi="Arial"/>
          <w:sz w:val="17"/>
          <w:szCs w:val="17"/>
          <w:color w:val="auto"/>
        </w:rPr>
      </w:pPr>
    </w:p>
    <w:p>
      <w:pPr>
        <w:ind w:left="940" w:hanging="383"/>
        <w:spacing w:after="0"/>
        <w:tabs>
          <w:tab w:leader="none" w:pos="9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other approvals, consents or requirements necessary by Law have been received or met.</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LLOCATION</w:t>
      </w:r>
    </w:p>
    <w:p>
      <w:pPr>
        <w:spacing w:after="0" w:line="224"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date on which Options shall be deemed Allocated under the Plan shall be the date on which the Company shall notify the Trustee that such Allocated Options have been Allocated in the name of the Trustee on behalf of a Participant.</w:t>
      </w:r>
    </w:p>
    <w:p>
      <w:pPr>
        <w:spacing w:after="0" w:line="195" w:lineRule="exact"/>
        <w:rPr>
          <w:sz w:val="20"/>
          <w:szCs w:val="20"/>
          <w:color w:val="auto"/>
        </w:rPr>
      </w:pPr>
    </w:p>
    <w:p>
      <w:pPr>
        <w:ind w:left="560" w:hanging="435"/>
        <w:spacing w:after="0"/>
        <w:tabs>
          <w:tab w:leader="none" w:pos="56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XERCISE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7.1  E</w:t>
      </w:r>
      <w:r>
        <w:rPr>
          <w:rFonts w:ascii="Arial" w:cs="Arial" w:eastAsia="Arial" w:hAnsi="Arial"/>
          <w:sz w:val="13"/>
          <w:szCs w:val="13"/>
          <w:color w:val="auto"/>
        </w:rPr>
        <w:t>XERCISE</w:t>
      </w:r>
      <w:r>
        <w:rPr>
          <w:rFonts w:ascii="Arial" w:cs="Arial" w:eastAsia="Arial" w:hAnsi="Arial"/>
          <w:sz w:val="20"/>
          <w:szCs w:val="20"/>
          <w:color w:val="auto"/>
        </w:rPr>
        <w:t xml:space="preserve"> P</w:t>
      </w:r>
      <w:r>
        <w:rPr>
          <w:rFonts w:ascii="Arial" w:cs="Arial" w:eastAsia="Arial" w:hAnsi="Arial"/>
          <w:sz w:val="13"/>
          <w:szCs w:val="13"/>
          <w:color w:val="auto"/>
        </w:rPr>
        <w:t>RICE</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The Exercise Price per Underlying Share deliverable upon the exercise of an Option shall be determined by the Administrator. The Exercise Price shall be set forth in the Grant Letter.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7.2  V</w:t>
      </w:r>
      <w:r>
        <w:rPr>
          <w:rFonts w:ascii="Arial" w:cs="Arial" w:eastAsia="Arial" w:hAnsi="Arial"/>
          <w:sz w:val="13"/>
          <w:szCs w:val="13"/>
          <w:color w:val="auto"/>
        </w:rPr>
        <w:t>ESTING</w:t>
      </w:r>
      <w:r>
        <w:rPr>
          <w:rFonts w:ascii="Arial" w:cs="Arial" w:eastAsia="Arial" w:hAnsi="Arial"/>
          <w:sz w:val="20"/>
          <w:szCs w:val="20"/>
          <w:color w:val="auto"/>
        </w:rPr>
        <w:t xml:space="preserve"> S</w:t>
      </w:r>
      <w:r>
        <w:rPr>
          <w:rFonts w:ascii="Arial" w:cs="Arial" w:eastAsia="Arial" w:hAnsi="Arial"/>
          <w:sz w:val="13"/>
          <w:szCs w:val="13"/>
          <w:color w:val="auto"/>
        </w:rPr>
        <w:t>CHEDULE</w:t>
      </w:r>
    </w:p>
    <w:p>
      <w:pPr>
        <w:spacing w:after="0" w:line="218"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Unless otherwise determined by the Administrator, all Options allocated on a certain date shall, subject to continued employment with or service to the Company or Affiliate by the Participant, become vested and exercisable in accordance with the vesting schedule specified in the Grant Letter.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7.3  M</w:t>
      </w:r>
      <w:r>
        <w:rPr>
          <w:rFonts w:ascii="Arial" w:cs="Arial" w:eastAsia="Arial" w:hAnsi="Arial"/>
          <w:sz w:val="13"/>
          <w:szCs w:val="13"/>
          <w:color w:val="auto"/>
        </w:rPr>
        <w:t>INIMUM</w:t>
      </w:r>
      <w:r>
        <w:rPr>
          <w:rFonts w:ascii="Arial" w:cs="Arial" w:eastAsia="Arial" w:hAnsi="Arial"/>
          <w:sz w:val="20"/>
          <w:szCs w:val="20"/>
          <w:color w:val="auto"/>
        </w:rPr>
        <w:t xml:space="preserve"> E</w:t>
      </w:r>
      <w:r>
        <w:rPr>
          <w:rFonts w:ascii="Arial" w:cs="Arial" w:eastAsia="Arial" w:hAnsi="Arial"/>
          <w:sz w:val="13"/>
          <w:szCs w:val="13"/>
          <w:color w:val="auto"/>
        </w:rPr>
        <w:t>XERCISE</w:t>
      </w:r>
    </w:p>
    <w:p>
      <w:pPr>
        <w:spacing w:after="0" w:line="218"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exercise of Options by any Participant shall be for an aggregate Exercise Price of less than $500, or such other minimum sum determined by the Administrator, unless the exercise is of all of the Participant’s Options that are vested as of the date of exercise.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7" w:name="page188"/>
    <w:bookmarkEnd w:id="187"/>
    <w:p>
      <w:pPr>
        <w:ind w:left="580"/>
        <w:spacing w:after="0"/>
        <w:rPr>
          <w:sz w:val="20"/>
          <w:szCs w:val="20"/>
          <w:color w:val="auto"/>
        </w:rPr>
      </w:pPr>
      <w:r>
        <w:rPr>
          <w:rFonts w:ascii="Arial" w:cs="Arial" w:eastAsia="Arial" w:hAnsi="Arial"/>
          <w:sz w:val="18"/>
          <w:szCs w:val="18"/>
          <w:color w:val="auto"/>
        </w:rPr>
        <w:t>An Option may not be exercised for fractional shares or for less than ten Shares.</w:t>
      </w:r>
    </w:p>
    <w:p>
      <w:pPr>
        <w:spacing w:after="0" w:line="225"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The exercise of a portion of the Options Granted shall not cause the expiration, termination or cancellation of the remaining unexercised Options held by the Trustee on behalf of the Participant.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7.4  M</w:t>
      </w:r>
      <w:r>
        <w:rPr>
          <w:rFonts w:ascii="Arial" w:cs="Arial" w:eastAsia="Arial" w:hAnsi="Arial"/>
          <w:sz w:val="13"/>
          <w:szCs w:val="13"/>
          <w:color w:val="auto"/>
        </w:rPr>
        <w:t>ANNER OF</w:t>
      </w:r>
      <w:r>
        <w:rPr>
          <w:rFonts w:ascii="Arial" w:cs="Arial" w:eastAsia="Arial" w:hAnsi="Arial"/>
          <w:sz w:val="20"/>
          <w:szCs w:val="20"/>
          <w:color w:val="auto"/>
        </w:rPr>
        <w:t xml:space="preserve"> E</w:t>
      </w:r>
      <w:r>
        <w:rPr>
          <w:rFonts w:ascii="Arial" w:cs="Arial" w:eastAsia="Arial" w:hAnsi="Arial"/>
          <w:sz w:val="13"/>
          <w:szCs w:val="13"/>
          <w:color w:val="auto"/>
        </w:rPr>
        <w:t>XERCISE</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Option may be exercised by and upon the fulfillment of the following: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Notice of Exercise</w:t>
      </w:r>
    </w:p>
    <w:p>
      <w:pPr>
        <w:spacing w:after="0" w:line="225" w:lineRule="exact"/>
        <w:rPr>
          <w:sz w:val="20"/>
          <w:szCs w:val="20"/>
          <w:color w:val="auto"/>
        </w:rPr>
      </w:pPr>
    </w:p>
    <w:p>
      <w:pPr>
        <w:jc w:val="both"/>
        <w:ind w:left="940" w:right="119" w:hanging="55"/>
        <w:spacing w:after="0" w:line="259" w:lineRule="auto"/>
        <w:rPr>
          <w:sz w:val="20"/>
          <w:szCs w:val="20"/>
          <w:color w:val="auto"/>
        </w:rPr>
      </w:pPr>
      <w:r>
        <w:rPr>
          <w:rFonts w:ascii="Arial" w:cs="Arial" w:eastAsia="Arial" w:hAnsi="Arial"/>
          <w:sz w:val="18"/>
          <w:szCs w:val="18"/>
          <w:color w:val="auto"/>
        </w:rPr>
        <w:t>The signing by the Participant, and delivery to both the Company (at its principal office) and the Trustee (if the Options are held by a Trustee), of an exercise notice form as prescribed by the Administrator, including but not limited to: (i) the identity of the Participant, (ii) the number of Options to be exercised, and (iii) the Exercise Price to be paid (the “Notice of Exercise”).</w:t>
      </w:r>
    </w:p>
    <w:p>
      <w:pPr>
        <w:spacing w:after="0" w:line="187" w:lineRule="exact"/>
        <w:rPr>
          <w:sz w:val="20"/>
          <w:szCs w:val="20"/>
          <w:color w:val="auto"/>
        </w:rPr>
      </w:pPr>
    </w:p>
    <w:p>
      <w:pPr>
        <w:ind w:left="940" w:hanging="383"/>
        <w:spacing w:after="0"/>
        <w:tabs>
          <w:tab w:leader="none" w:pos="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225" w:lineRule="exact"/>
        <w:rPr>
          <w:rFonts w:ascii="Arial" w:cs="Arial" w:eastAsia="Arial" w:hAnsi="Arial"/>
          <w:sz w:val="18"/>
          <w:szCs w:val="18"/>
          <w:color w:val="auto"/>
        </w:rPr>
      </w:pPr>
    </w:p>
    <w:p>
      <w:pPr>
        <w:ind w:left="940" w:right="119" w:hanging="16"/>
        <w:spacing w:after="0" w:line="342" w:lineRule="auto"/>
        <w:rPr>
          <w:rFonts w:ascii="Arial" w:cs="Arial" w:eastAsia="Arial" w:hAnsi="Arial"/>
          <w:sz w:val="18"/>
          <w:szCs w:val="18"/>
          <w:color w:val="auto"/>
        </w:rPr>
      </w:pPr>
      <w:r>
        <w:rPr>
          <w:rFonts w:ascii="Arial" w:cs="Arial" w:eastAsia="Arial" w:hAnsi="Arial"/>
          <w:sz w:val="16"/>
          <w:szCs w:val="16"/>
          <w:color w:val="auto"/>
        </w:rPr>
        <w:t>The payment by the Participant to the Company, in such manner as shall be determined by the Administrator, of the Exercise Price with respect to all the Options exercised, as set forth in the Notice of Exercise.</w:t>
      </w:r>
    </w:p>
    <w:p>
      <w:pPr>
        <w:spacing w:after="0" w:line="123" w:lineRule="exact"/>
        <w:rPr>
          <w:rFonts w:ascii="Arial" w:cs="Arial" w:eastAsia="Arial" w:hAnsi="Arial"/>
          <w:sz w:val="18"/>
          <w:szCs w:val="18"/>
          <w:color w:val="auto"/>
        </w:rPr>
      </w:pPr>
    </w:p>
    <w:p>
      <w:pPr>
        <w:ind w:left="940" w:hanging="383"/>
        <w:spacing w:after="0"/>
        <w:tabs>
          <w:tab w:leader="none" w:pos="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Allocation of Shares</w:t>
      </w:r>
    </w:p>
    <w:p>
      <w:pPr>
        <w:spacing w:after="0" w:line="225" w:lineRule="exact"/>
        <w:rPr>
          <w:rFonts w:ascii="Arial" w:cs="Arial" w:eastAsia="Arial" w:hAnsi="Arial"/>
          <w:sz w:val="18"/>
          <w:szCs w:val="18"/>
          <w:color w:val="auto"/>
        </w:rPr>
      </w:pPr>
    </w:p>
    <w:p>
      <w:pPr>
        <w:jc w:val="both"/>
        <w:ind w:left="940" w:right="119" w:hanging="16"/>
        <w:spacing w:after="0" w:line="286" w:lineRule="auto"/>
        <w:rPr>
          <w:rFonts w:ascii="Arial" w:cs="Arial" w:eastAsia="Arial" w:hAnsi="Arial"/>
          <w:sz w:val="18"/>
          <w:szCs w:val="18"/>
          <w:color w:val="auto"/>
        </w:rPr>
      </w:pPr>
      <w:r>
        <w:rPr>
          <w:rFonts w:ascii="Arial" w:cs="Arial" w:eastAsia="Arial" w:hAnsi="Arial"/>
          <w:sz w:val="17"/>
          <w:szCs w:val="17"/>
          <w:color w:val="auto"/>
        </w:rPr>
        <w:t>Upon the delivery of a duly signed Notice of Exercise and the payment to the Company of the Exercise Price with respect to all the Options specified therein, the Company shall issue the Underlying Shares to the Trustee (according to the applicable Holding Period) or to the Participant, as the case may be.</w:t>
      </w:r>
    </w:p>
    <w:p>
      <w:pPr>
        <w:spacing w:after="0" w:line="179" w:lineRule="exact"/>
        <w:rPr>
          <w:rFonts w:ascii="Arial" w:cs="Arial" w:eastAsia="Arial" w:hAnsi="Arial"/>
          <w:sz w:val="18"/>
          <w:szCs w:val="18"/>
          <w:color w:val="auto"/>
        </w:rPr>
      </w:pPr>
    </w:p>
    <w:p>
      <w:pPr>
        <w:ind w:left="560" w:hanging="435"/>
        <w:spacing w:after="0"/>
        <w:tabs>
          <w:tab w:leader="none" w:pos="56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AIVER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At any time prior to the expiration of any Granted (but unexercised) Options, a Participant may waive his rights to the Options or to some of the Options by a written notice to the Company’s principal office. Such notice shall specify the number of Options, which the Participant waives, and shall be signed by the Participant.</w:t>
      </w:r>
    </w:p>
    <w:p>
      <w:pPr>
        <w:spacing w:after="0" w:line="166"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Upon receipt by the Company of a notice of waiver of such rights, such Options shall expire and shall become available for future Grants and Allocations under the Plan.</w:t>
      </w:r>
    </w:p>
    <w:p>
      <w:pPr>
        <w:spacing w:after="0" w:line="184" w:lineRule="exact"/>
        <w:rPr>
          <w:sz w:val="20"/>
          <w:szCs w:val="20"/>
          <w:color w:val="auto"/>
        </w:rPr>
      </w:pPr>
    </w:p>
    <w:p>
      <w:pPr>
        <w:ind w:left="560" w:hanging="435"/>
        <w:spacing w:after="0"/>
        <w:tabs>
          <w:tab w:leader="none" w:pos="56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OF THE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jc w:val="both"/>
        <w:ind w:left="580" w:right="119"/>
        <w:spacing w:after="0" w:line="211" w:lineRule="auto"/>
        <w:rPr>
          <w:sz w:val="20"/>
          <w:szCs w:val="20"/>
          <w:color w:val="auto"/>
        </w:rPr>
      </w:pPr>
      <w:r>
        <w:rPr>
          <w:rFonts w:ascii="Arial" w:cs="Arial" w:eastAsia="Arial" w:hAnsi="Arial"/>
          <w:sz w:val="18"/>
          <w:szCs w:val="18"/>
          <w:color w:val="auto"/>
        </w:rPr>
        <w:t>Unless earlier terminated pursuant to the provisions of this Plan, all Granted but unexercised Options shall expire and cease to be exercisable at 5:00 p.m. Israel time on the 7</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anniversary of the Commencement Date of such Options.</w:t>
      </w:r>
    </w:p>
    <w:p>
      <w:pPr>
        <w:spacing w:after="0" w:line="218" w:lineRule="exact"/>
        <w:rPr>
          <w:sz w:val="20"/>
          <w:szCs w:val="20"/>
          <w:color w:val="auto"/>
        </w:rPr>
      </w:pPr>
    </w:p>
    <w:p>
      <w:pPr>
        <w:ind w:left="560" w:hanging="435"/>
        <w:spacing w:after="0"/>
        <w:tabs>
          <w:tab w:leader="none" w:pos="56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10.1 T</w:t>
      </w:r>
      <w:r>
        <w:rPr>
          <w:rFonts w:ascii="Arial" w:cs="Arial" w:eastAsia="Arial" w:hAnsi="Arial"/>
          <w:sz w:val="13"/>
          <w:szCs w:val="13"/>
          <w:color w:val="auto"/>
        </w:rPr>
        <w:t>ERMINATION OF</w:t>
      </w:r>
      <w:r>
        <w:rPr>
          <w:rFonts w:ascii="Arial" w:cs="Arial" w:eastAsia="Arial" w:hAnsi="Arial"/>
          <w:sz w:val="20"/>
          <w:szCs w:val="20"/>
          <w:color w:val="auto"/>
        </w:rPr>
        <w:t xml:space="preserve"> E</w:t>
      </w:r>
      <w:r>
        <w:rPr>
          <w:rFonts w:ascii="Arial" w:cs="Arial" w:eastAsia="Arial" w:hAnsi="Arial"/>
          <w:sz w:val="13"/>
          <w:szCs w:val="13"/>
          <w:color w:val="auto"/>
        </w:rPr>
        <w:t>MPLOYMENT</w:t>
      </w:r>
    </w:p>
    <w:p>
      <w:pPr>
        <w:spacing w:after="0" w:line="218"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If a Participant ceases to be an employee, director, or officer of the Company or Affiliate for any reason (“Termination of Employment”) other than death, Retirement, Disability or Cause, then any vested but unexercised Options on the date of Termination of Employment (as shall be determined by the Company or Affiliate, in its sole discretion), Allocated on the Participant’s behalf (“Exercisable Options”) may be exercised, if not previously expired, not later than the earlier of (i) 90 days after the date of Termination of Employment; or (ii) the Term of the Options.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other Granted Options for the benefit of Participant shall expire upon the date of Termination of Employment.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8" w:name="page189"/>
    <w:bookmarkEnd w:id="188"/>
    <w:p>
      <w:pPr>
        <w:ind w:left="120"/>
        <w:spacing w:after="0"/>
        <w:rPr>
          <w:sz w:val="20"/>
          <w:szCs w:val="20"/>
          <w:color w:val="auto"/>
        </w:rPr>
      </w:pPr>
      <w:r>
        <w:rPr>
          <w:rFonts w:ascii="Arial" w:cs="Arial" w:eastAsia="Arial" w:hAnsi="Arial"/>
          <w:sz w:val="20"/>
          <w:szCs w:val="20"/>
          <w:color w:val="auto"/>
        </w:rPr>
        <w:t>10.2 T</w:t>
      </w:r>
      <w:r>
        <w:rPr>
          <w:rFonts w:ascii="Arial" w:cs="Arial" w:eastAsia="Arial" w:hAnsi="Arial"/>
          <w:sz w:val="13"/>
          <w:szCs w:val="13"/>
          <w:color w:val="auto"/>
        </w:rPr>
        <w:t>ERMINATION FOR</w:t>
      </w:r>
      <w:r>
        <w:rPr>
          <w:rFonts w:ascii="Arial" w:cs="Arial" w:eastAsia="Arial" w:hAnsi="Arial"/>
          <w:sz w:val="20"/>
          <w:szCs w:val="20"/>
          <w:color w:val="auto"/>
        </w:rPr>
        <w:t xml:space="preserve"> C</w:t>
      </w:r>
      <w:r>
        <w:rPr>
          <w:rFonts w:ascii="Arial" w:cs="Arial" w:eastAsia="Arial" w:hAnsi="Arial"/>
          <w:sz w:val="13"/>
          <w:szCs w:val="13"/>
          <w:color w:val="auto"/>
        </w:rPr>
        <w:t>AUSE</w:t>
      </w:r>
    </w:p>
    <w:p>
      <w:pPr>
        <w:spacing w:after="0" w:line="219"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In the event of Termination of Employment of a Participant for Cause, the Participant’s right to exercise any unexercised Options, Granted to such Participant, whether vested or not on the date of Termination of Employment, shall cease as of such date of Termination of Employment, and the Options shall thereupon expire.</w:t>
      </w:r>
    </w:p>
    <w:p>
      <w:pPr>
        <w:spacing w:after="0" w:line="147"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If subsequent to the Participant’s Termination of Employment, but prior to the exercise of Options Granted to such Participant, the Administrator determines that either prior or subsequent to the Participant’s Termination of Employment, the Participant engaged in conduct which would constitute Cause, then the Participant’s right to exercise the Options Granted to such Participant shall immediately cease upon such determination and the Options shall thereupon expire.</w:t>
      </w:r>
    </w:p>
    <w:p>
      <w:pPr>
        <w:spacing w:after="0" w:line="18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The determination by the Administrator as to the occurrence of Cause shall be final and conclusive for all purposes of this Plan.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10.3 T</w:t>
      </w:r>
      <w:r>
        <w:rPr>
          <w:rFonts w:ascii="Arial" w:cs="Arial" w:eastAsia="Arial" w:hAnsi="Arial"/>
          <w:sz w:val="13"/>
          <w:szCs w:val="13"/>
          <w:color w:val="auto"/>
        </w:rPr>
        <w:t>ERMINATION BY</w:t>
      </w:r>
      <w:r>
        <w:rPr>
          <w:rFonts w:ascii="Arial" w:cs="Arial" w:eastAsia="Arial" w:hAnsi="Arial"/>
          <w:sz w:val="20"/>
          <w:szCs w:val="20"/>
          <w:color w:val="auto"/>
        </w:rPr>
        <w:t xml:space="preserve"> R</w:t>
      </w:r>
      <w:r>
        <w:rPr>
          <w:rFonts w:ascii="Arial" w:cs="Arial" w:eastAsia="Arial" w:hAnsi="Arial"/>
          <w:sz w:val="13"/>
          <w:szCs w:val="13"/>
          <w:color w:val="auto"/>
        </w:rPr>
        <w:t>EASON OF</w:t>
      </w:r>
      <w:r>
        <w:rPr>
          <w:rFonts w:ascii="Arial" w:cs="Arial" w:eastAsia="Arial" w:hAnsi="Arial"/>
          <w:sz w:val="20"/>
          <w:szCs w:val="20"/>
          <w:color w:val="auto"/>
        </w:rPr>
        <w:t xml:space="preserve"> D</w:t>
      </w:r>
      <w:r>
        <w:rPr>
          <w:rFonts w:ascii="Arial" w:cs="Arial" w:eastAsia="Arial" w:hAnsi="Arial"/>
          <w:sz w:val="13"/>
          <w:szCs w:val="13"/>
          <w:color w:val="auto"/>
        </w:rPr>
        <w:t>EATH</w:t>
      </w:r>
      <w:r>
        <w:rPr>
          <w:rFonts w:ascii="Arial" w:cs="Arial" w:eastAsia="Arial" w:hAnsi="Arial"/>
          <w:sz w:val="20"/>
          <w:szCs w:val="20"/>
          <w:color w:val="auto"/>
        </w:rPr>
        <w:t>, R</w:t>
      </w:r>
      <w:r>
        <w:rPr>
          <w:rFonts w:ascii="Arial" w:cs="Arial" w:eastAsia="Arial" w:hAnsi="Arial"/>
          <w:sz w:val="13"/>
          <w:szCs w:val="13"/>
          <w:color w:val="auto"/>
        </w:rPr>
        <w:t>ETIREMENT</w:t>
      </w:r>
      <w:r>
        <w:rPr>
          <w:rFonts w:ascii="Arial" w:cs="Arial" w:eastAsia="Arial" w:hAnsi="Arial"/>
          <w:sz w:val="20"/>
          <w:szCs w:val="20"/>
          <w:color w:val="auto"/>
        </w:rPr>
        <w:t xml:space="preserve">, </w:t>
      </w:r>
      <w:r>
        <w:rPr>
          <w:rFonts w:ascii="Arial" w:cs="Arial" w:eastAsia="Arial" w:hAnsi="Arial"/>
          <w:sz w:val="13"/>
          <w:szCs w:val="13"/>
          <w:color w:val="auto"/>
        </w:rPr>
        <w:t>OR</w:t>
      </w:r>
      <w:r>
        <w:rPr>
          <w:rFonts w:ascii="Arial" w:cs="Arial" w:eastAsia="Arial" w:hAnsi="Arial"/>
          <w:sz w:val="20"/>
          <w:szCs w:val="20"/>
          <w:color w:val="auto"/>
        </w:rPr>
        <w:t xml:space="preserve"> D</w:t>
      </w:r>
      <w:r>
        <w:rPr>
          <w:rFonts w:ascii="Arial" w:cs="Arial" w:eastAsia="Arial" w:hAnsi="Arial"/>
          <w:sz w:val="13"/>
          <w:szCs w:val="13"/>
          <w:color w:val="auto"/>
        </w:rPr>
        <w:t>ISABILITY</w:t>
      </w:r>
    </w:p>
    <w:p>
      <w:pPr>
        <w:spacing w:after="0" w:line="218"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In the event of Termination of Employment of a Participant by reason of death, Retirement, or Disability, any vested but unexercised Options shall be exercisable in the case of death, by his or her estate, personal representative or beneficiary, or in the case of Retirement or Disability, by the Participant or his or her personal representative (as the case may be), until the earlier of (i)12 months after the date of Termination of Employment; or (ii) the Term of the Options.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other Granted Options for the benefit of Participant shall expire upon the date of Termination of Employment.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10.4 E</w:t>
      </w:r>
      <w:r>
        <w:rPr>
          <w:rFonts w:ascii="Arial" w:cs="Arial" w:eastAsia="Arial" w:hAnsi="Arial"/>
          <w:sz w:val="13"/>
          <w:szCs w:val="13"/>
          <w:color w:val="auto"/>
        </w:rPr>
        <w:t>XCEPTIONS</w:t>
      </w:r>
    </w:p>
    <w:p>
      <w:pPr>
        <w:spacing w:after="0" w:line="218"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In special circumstances, pertaining to the Termination of Employment of a certain Participant, the Administrator may in its discretion decide to extend any of the periods stated above in Sections 10.1-10.3.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10.5 T</w:t>
      </w:r>
      <w:r>
        <w:rPr>
          <w:rFonts w:ascii="Arial" w:cs="Arial" w:eastAsia="Arial" w:hAnsi="Arial"/>
          <w:sz w:val="13"/>
          <w:szCs w:val="13"/>
          <w:color w:val="auto"/>
        </w:rPr>
        <w:t>RANSFER OF</w:t>
      </w:r>
      <w:r>
        <w:rPr>
          <w:rFonts w:ascii="Arial" w:cs="Arial" w:eastAsia="Arial" w:hAnsi="Arial"/>
          <w:sz w:val="20"/>
          <w:szCs w:val="20"/>
          <w:color w:val="auto"/>
        </w:rPr>
        <w:t xml:space="preserve"> E</w:t>
      </w:r>
      <w:r>
        <w:rPr>
          <w:rFonts w:ascii="Arial" w:cs="Arial" w:eastAsia="Arial" w:hAnsi="Arial"/>
          <w:sz w:val="13"/>
          <w:szCs w:val="13"/>
          <w:color w:val="auto"/>
        </w:rPr>
        <w:t>MPLOYMENT OR</w:t>
      </w:r>
      <w:r>
        <w:rPr>
          <w:rFonts w:ascii="Arial" w:cs="Arial" w:eastAsia="Arial" w:hAnsi="Arial"/>
          <w:sz w:val="20"/>
          <w:szCs w:val="20"/>
          <w:color w:val="auto"/>
        </w:rPr>
        <w:t xml:space="preserve"> S</w:t>
      </w:r>
      <w:r>
        <w:rPr>
          <w:rFonts w:ascii="Arial" w:cs="Arial" w:eastAsia="Arial" w:hAnsi="Arial"/>
          <w:sz w:val="13"/>
          <w:szCs w:val="13"/>
          <w:color w:val="auto"/>
        </w:rPr>
        <w:t>ERVICE</w:t>
      </w:r>
    </w:p>
    <w:p>
      <w:pPr>
        <w:spacing w:after="0" w:line="218"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Subject to the receipt of appropriate approvals from the Israeli Tax Authorities, a Participant’s right to Options or the exercise thereof that were Granted to him or her under this Plan, shall not be terminated or expire solely as a result of the fact that the Participant’s employment or service as an employee, officer or director changes from the Company to an Affiliate or vice versa.</w:t>
      </w:r>
    </w:p>
    <w:p>
      <w:pPr>
        <w:spacing w:after="0" w:line="201" w:lineRule="exact"/>
        <w:rPr>
          <w:sz w:val="20"/>
          <w:szCs w:val="20"/>
          <w:color w:val="auto"/>
        </w:rPr>
      </w:pPr>
    </w:p>
    <w:p>
      <w:pPr>
        <w:ind w:left="540" w:hanging="415"/>
        <w:spacing w:after="0"/>
        <w:tabs>
          <w:tab w:leader="none" w:pos="54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RUST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RRANGEMENT AND</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OLDING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11.1 T</w:t>
      </w:r>
      <w:r>
        <w:rPr>
          <w:rFonts w:ascii="Arial" w:cs="Arial" w:eastAsia="Arial" w:hAnsi="Arial"/>
          <w:sz w:val="13"/>
          <w:szCs w:val="13"/>
          <w:color w:val="auto"/>
        </w:rPr>
        <w:t>RUSTEE</w:t>
      </w:r>
      <w:r>
        <w:rPr>
          <w:rFonts w:ascii="Arial" w:cs="Arial" w:eastAsia="Arial" w:hAnsi="Arial"/>
          <w:sz w:val="20"/>
          <w:szCs w:val="20"/>
          <w:color w:val="auto"/>
        </w:rPr>
        <w:t xml:space="preserve"> T</w:t>
      </w:r>
      <w:r>
        <w:rPr>
          <w:rFonts w:ascii="Arial" w:cs="Arial" w:eastAsia="Arial" w:hAnsi="Arial"/>
          <w:sz w:val="13"/>
          <w:szCs w:val="13"/>
          <w:color w:val="auto"/>
        </w:rPr>
        <w:t>AX</w:t>
      </w:r>
      <w:r>
        <w:rPr>
          <w:rFonts w:ascii="Arial" w:cs="Arial" w:eastAsia="Arial" w:hAnsi="Arial"/>
          <w:sz w:val="20"/>
          <w:szCs w:val="20"/>
          <w:color w:val="auto"/>
        </w:rPr>
        <w:t xml:space="preserve"> T</w:t>
      </w:r>
      <w:r>
        <w:rPr>
          <w:rFonts w:ascii="Arial" w:cs="Arial" w:eastAsia="Arial" w:hAnsi="Arial"/>
          <w:sz w:val="13"/>
          <w:szCs w:val="13"/>
          <w:color w:val="auto"/>
        </w:rPr>
        <w:t>RACKS</w:t>
      </w:r>
    </w:p>
    <w:p>
      <w:pPr>
        <w:spacing w:after="0" w:line="218" w:lineRule="exact"/>
        <w:rPr>
          <w:sz w:val="20"/>
          <w:szCs w:val="20"/>
          <w:color w:val="auto"/>
        </w:rPr>
      </w:pPr>
    </w:p>
    <w:p>
      <w:pPr>
        <w:jc w:val="both"/>
        <w:ind w:left="580" w:right="119"/>
        <w:spacing w:after="0" w:line="279" w:lineRule="auto"/>
        <w:rPr>
          <w:sz w:val="20"/>
          <w:szCs w:val="20"/>
          <w:color w:val="auto"/>
        </w:rPr>
      </w:pPr>
      <w:r>
        <w:rPr>
          <w:rFonts w:ascii="Arial" w:cs="Arial" w:eastAsia="Arial" w:hAnsi="Arial"/>
          <w:sz w:val="17"/>
          <w:szCs w:val="17"/>
          <w:color w:val="auto"/>
        </w:rPr>
        <w:t>If the Company elects to Grant Options through (i) the Capital Gains Track Through a Trustee, or (ii) the Income Tax Track Through a Trustee, then, in accordance with the requirements of Section 102, the Company shall appoint a Trustee who will hold in trust on behalf of each Participant the Allocated Options and the Underlying Shares issued upon exercise of such Options in trust on behalf of each Participant.</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Holding Period for the Options will be as follows:</w:t>
      </w:r>
    </w:p>
    <w:p>
      <w:pPr>
        <w:spacing w:after="0" w:line="225" w:lineRule="exact"/>
        <w:rPr>
          <w:sz w:val="20"/>
          <w:szCs w:val="20"/>
          <w:color w:val="auto"/>
        </w:rPr>
      </w:pPr>
    </w:p>
    <w:p>
      <w:pPr>
        <w:jc w:val="both"/>
        <w:ind w:left="940" w:right="119" w:hanging="383"/>
        <w:spacing w:after="0" w:line="259" w:lineRule="auto"/>
        <w:tabs>
          <w:tab w:leader="none" w:pos="94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The Capital Gains Tax Track Through a Trustee </w:t>
      </w:r>
      <w:r>
        <w:rPr>
          <w:rFonts w:ascii="Arial" w:cs="Arial" w:eastAsia="Arial" w:hAnsi="Arial"/>
          <w:sz w:val="18"/>
          <w:szCs w:val="18"/>
          <w:color w:val="auto"/>
        </w:rPr>
        <w:t>— if the Company elects to Allocate the Options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this track, then the Holding Period will be 24 months from the end of the tax year in which the Options were Allocated to the Trustee on behalf of the Participant, or such period as may be approved by the Israeli Tax Authorities or imposed by Law.</w:t>
      </w:r>
    </w:p>
    <w:p>
      <w:pPr>
        <w:spacing w:after="0" w:line="186" w:lineRule="exact"/>
        <w:rPr>
          <w:rFonts w:ascii="Arial" w:cs="Arial" w:eastAsia="Arial" w:hAnsi="Arial"/>
          <w:sz w:val="18"/>
          <w:szCs w:val="18"/>
          <w:color w:val="auto"/>
        </w:rPr>
      </w:pPr>
    </w:p>
    <w:p>
      <w:pPr>
        <w:jc w:val="both"/>
        <w:ind w:left="940" w:right="119" w:hanging="383"/>
        <w:spacing w:after="0" w:line="259" w:lineRule="auto"/>
        <w:tabs>
          <w:tab w:leader="none" w:pos="937"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Income Tax Track Through a Trustee </w:t>
      </w:r>
      <w:r>
        <w:rPr>
          <w:rFonts w:ascii="Arial" w:cs="Arial" w:eastAsia="Arial" w:hAnsi="Arial"/>
          <w:sz w:val="18"/>
          <w:szCs w:val="18"/>
          <w:color w:val="auto"/>
        </w:rPr>
        <w:t>— if the Company elects to Allocate Options according to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track, then the Holding Period will be 12 months from the end of the tax year in which the Options were Allocated to the Trustee on behalf of the Participant, or such period as may be approved by the Israeli Tax Authorities or imposed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9" w:name="page190"/>
    <w:bookmarkEnd w:id="189"/>
    <w:p>
      <w:pPr>
        <w:jc w:val="both"/>
        <w:ind w:left="580" w:right="119"/>
        <w:spacing w:after="0" w:line="279" w:lineRule="auto"/>
        <w:rPr>
          <w:sz w:val="20"/>
          <w:szCs w:val="20"/>
          <w:color w:val="auto"/>
        </w:rPr>
      </w:pPr>
      <w:r>
        <w:rPr>
          <w:rFonts w:ascii="Arial" w:cs="Arial" w:eastAsia="Arial" w:hAnsi="Arial"/>
          <w:sz w:val="17"/>
          <w:szCs w:val="17"/>
          <w:color w:val="auto"/>
        </w:rPr>
        <w:t>Subject to Section 102 and the Rules, Participants shall not be able to receive from the Trustee, nor shall they be able to sell or dispose of Underlying Shares before the end of the applicable Holding Period. If a Participant sells or removes the Underlying Shares form the Trustee before the end of the applicable Holding Period (“Breach”), the Participant shall pay all applicable taxes imposed on such Breach by Section 7 of the Rules.</w:t>
      </w:r>
    </w:p>
    <w:p>
      <w:pPr>
        <w:spacing w:after="0" w:line="185"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In the event of a distribution of rights, including an issuance of bonus shares, in connection with Options originally Allocated (the “Additional Rights”), all such Additional Rights shall be Allocated and/or issued to the Trustee for the benefit of Participants, and shall be held by the Trustee for the remainder of the Holding Period applicable to the Options originally Allocated. Such Additional Rights shall be treated in accordance with the provisions of the applicable Tax Track.</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11.2 I</w:t>
      </w:r>
      <w:r>
        <w:rPr>
          <w:rFonts w:ascii="Arial" w:cs="Arial" w:eastAsia="Arial" w:hAnsi="Arial"/>
          <w:sz w:val="13"/>
          <w:szCs w:val="13"/>
          <w:color w:val="auto"/>
        </w:rPr>
        <w:t>NCOME</w:t>
      </w:r>
      <w:r>
        <w:rPr>
          <w:rFonts w:ascii="Arial" w:cs="Arial" w:eastAsia="Arial" w:hAnsi="Arial"/>
          <w:sz w:val="20"/>
          <w:szCs w:val="20"/>
          <w:color w:val="auto"/>
        </w:rPr>
        <w:t xml:space="preserve"> T</w:t>
      </w:r>
      <w:r>
        <w:rPr>
          <w:rFonts w:ascii="Arial" w:cs="Arial" w:eastAsia="Arial" w:hAnsi="Arial"/>
          <w:sz w:val="13"/>
          <w:szCs w:val="13"/>
          <w:color w:val="auto"/>
        </w:rPr>
        <w:t>AX</w:t>
      </w:r>
      <w:r>
        <w:rPr>
          <w:rFonts w:ascii="Arial" w:cs="Arial" w:eastAsia="Arial" w:hAnsi="Arial"/>
          <w:sz w:val="20"/>
          <w:szCs w:val="20"/>
          <w:color w:val="auto"/>
        </w:rPr>
        <w:t xml:space="preserve"> T</w:t>
      </w:r>
      <w:r>
        <w:rPr>
          <w:rFonts w:ascii="Arial" w:cs="Arial" w:eastAsia="Arial" w:hAnsi="Arial"/>
          <w:sz w:val="13"/>
          <w:szCs w:val="13"/>
          <w:color w:val="auto"/>
        </w:rPr>
        <w:t>RACK</w:t>
      </w:r>
      <w:r>
        <w:rPr>
          <w:rFonts w:ascii="Arial" w:cs="Arial" w:eastAsia="Arial" w:hAnsi="Arial"/>
          <w:sz w:val="20"/>
          <w:szCs w:val="20"/>
          <w:color w:val="auto"/>
        </w:rPr>
        <w:t xml:space="preserve"> W</w:t>
      </w:r>
      <w:r>
        <w:rPr>
          <w:rFonts w:ascii="Arial" w:cs="Arial" w:eastAsia="Arial" w:hAnsi="Arial"/>
          <w:sz w:val="13"/>
          <w:szCs w:val="13"/>
          <w:color w:val="auto"/>
        </w:rPr>
        <w:t>ITHOUT A</w:t>
      </w:r>
      <w:r>
        <w:rPr>
          <w:rFonts w:ascii="Arial" w:cs="Arial" w:eastAsia="Arial" w:hAnsi="Arial"/>
          <w:sz w:val="20"/>
          <w:szCs w:val="20"/>
          <w:color w:val="auto"/>
        </w:rPr>
        <w:t xml:space="preserve"> T</w:t>
      </w:r>
      <w:r>
        <w:rPr>
          <w:rFonts w:ascii="Arial" w:cs="Arial" w:eastAsia="Arial" w:hAnsi="Arial"/>
          <w:sz w:val="13"/>
          <w:szCs w:val="13"/>
          <w:color w:val="auto"/>
        </w:rPr>
        <w:t>RUSTEE</w:t>
      </w:r>
    </w:p>
    <w:p>
      <w:pPr>
        <w:spacing w:after="0" w:line="232"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If the Company elects to Allocate Options according to the provisions of this track, then the Options will not be subject to a Holding Period. However, upon exercise of Options under this Tax Track, the Trustee shall hold such Underlying Shares for the benefit of the Participant in accordance with the provisions of Section 15 of this Plan.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11.3 T</w:t>
      </w:r>
      <w:r>
        <w:rPr>
          <w:rFonts w:ascii="Arial" w:cs="Arial" w:eastAsia="Arial" w:hAnsi="Arial"/>
          <w:sz w:val="13"/>
          <w:szCs w:val="13"/>
          <w:color w:val="auto"/>
        </w:rPr>
        <w:t>RACK</w:t>
      </w:r>
      <w:r>
        <w:rPr>
          <w:rFonts w:ascii="Arial" w:cs="Arial" w:eastAsia="Arial" w:hAnsi="Arial"/>
          <w:sz w:val="20"/>
          <w:szCs w:val="20"/>
          <w:color w:val="auto"/>
        </w:rPr>
        <w:t xml:space="preserve"> S</w:t>
      </w:r>
      <w:r>
        <w:rPr>
          <w:rFonts w:ascii="Arial" w:cs="Arial" w:eastAsia="Arial" w:hAnsi="Arial"/>
          <w:sz w:val="13"/>
          <w:szCs w:val="13"/>
          <w:color w:val="auto"/>
        </w:rPr>
        <w:t>ELECTION</w:t>
      </w:r>
    </w:p>
    <w:p>
      <w:pPr>
        <w:spacing w:after="0" w:line="245"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The Company, in its sole discretion, shall elect under which of above three Tax Tracks each Option is Granted and shall notify the Participant in the Grant Letter, which Tax Track applies to each Granted Option.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11.4 C</w:t>
      </w:r>
      <w:r>
        <w:rPr>
          <w:rFonts w:ascii="Arial" w:cs="Arial" w:eastAsia="Arial" w:hAnsi="Arial"/>
          <w:sz w:val="13"/>
          <w:szCs w:val="13"/>
          <w:color w:val="auto"/>
        </w:rPr>
        <w:t>ONCURRENT</w:t>
      </w:r>
      <w:r>
        <w:rPr>
          <w:rFonts w:ascii="Arial" w:cs="Arial" w:eastAsia="Arial" w:hAnsi="Arial"/>
          <w:sz w:val="20"/>
          <w:szCs w:val="20"/>
          <w:color w:val="auto"/>
        </w:rPr>
        <w:t xml:space="preserve"> C</w:t>
      </w:r>
      <w:r>
        <w:rPr>
          <w:rFonts w:ascii="Arial" w:cs="Arial" w:eastAsia="Arial" w:hAnsi="Arial"/>
          <w:sz w:val="13"/>
          <w:szCs w:val="13"/>
          <w:color w:val="auto"/>
        </w:rPr>
        <w:t>ONDITIONS</w:t>
      </w:r>
    </w:p>
    <w:p>
      <w:pPr>
        <w:spacing w:after="0" w:line="232"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Holding Period, if any, is in addition to the vesting period as specified in the Grant Letter. The Holding Period and vesting period may run concurrently, but neither is a substitute for the other, and each are independent terms and conditions for Options Granted.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11.5 T</w:t>
      </w:r>
      <w:r>
        <w:rPr>
          <w:rFonts w:ascii="Arial" w:cs="Arial" w:eastAsia="Arial" w:hAnsi="Arial"/>
          <w:sz w:val="13"/>
          <w:szCs w:val="13"/>
          <w:color w:val="auto"/>
        </w:rPr>
        <w:t>RUST</w:t>
      </w:r>
      <w:r>
        <w:rPr>
          <w:rFonts w:ascii="Arial" w:cs="Arial" w:eastAsia="Arial" w:hAnsi="Arial"/>
          <w:sz w:val="20"/>
          <w:szCs w:val="20"/>
          <w:color w:val="auto"/>
        </w:rPr>
        <w:t xml:space="preserve"> A</w:t>
      </w:r>
      <w:r>
        <w:rPr>
          <w:rFonts w:ascii="Arial" w:cs="Arial" w:eastAsia="Arial" w:hAnsi="Arial"/>
          <w:sz w:val="13"/>
          <w:szCs w:val="13"/>
          <w:color w:val="auto"/>
        </w:rPr>
        <w:t>GREEMENT</w:t>
      </w:r>
    </w:p>
    <w:p>
      <w:pPr>
        <w:spacing w:after="0" w:line="232" w:lineRule="exact"/>
        <w:rPr>
          <w:sz w:val="20"/>
          <w:szCs w:val="20"/>
          <w:color w:val="auto"/>
        </w:rPr>
      </w:pPr>
    </w:p>
    <w:p>
      <w:pPr>
        <w:jc w:val="both"/>
        <w:ind w:left="580" w:right="119"/>
        <w:spacing w:after="0" w:line="342" w:lineRule="auto"/>
        <w:rPr>
          <w:sz w:val="20"/>
          <w:szCs w:val="20"/>
          <w:color w:val="auto"/>
        </w:rPr>
      </w:pPr>
      <w:r>
        <w:rPr>
          <w:rFonts w:ascii="Arial" w:cs="Arial" w:eastAsia="Arial" w:hAnsi="Arial"/>
          <w:sz w:val="16"/>
          <w:szCs w:val="16"/>
          <w:color w:val="auto"/>
        </w:rPr>
        <w:t>The terms and conditions applicable to the trust relating to the Tax Track selected by the Company, as appropriate, shall be set forth in an agreement signed by the Company and the Trustee (the “Trust Agreement”).</w:t>
      </w:r>
    </w:p>
    <w:p>
      <w:pPr>
        <w:spacing w:after="0" w:line="151" w:lineRule="exact"/>
        <w:rPr>
          <w:sz w:val="20"/>
          <w:szCs w:val="20"/>
          <w:color w:val="auto"/>
        </w:rPr>
      </w:pPr>
    </w:p>
    <w:p>
      <w:pPr>
        <w:ind w:left="560" w:hanging="435"/>
        <w:spacing w:after="0"/>
        <w:tabs>
          <w:tab w:leader="none" w:pos="56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ELD</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RUST</w:t>
      </w:r>
    </w:p>
    <w:p>
      <w:pPr>
        <w:spacing w:after="0" w:line="260"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Underlying Shares or Additional Rights issued by the Company to the Trustee, shall be held by the Trustee on behalf of the Participant for a period longer than seven (7) years after the end of the Term of the Options. The Administrator shall instruct the Trustee as to the transfer of these Shares.</w:t>
      </w:r>
    </w:p>
    <w:p>
      <w:pPr>
        <w:spacing w:after="0" w:line="209" w:lineRule="exact"/>
        <w:rPr>
          <w:sz w:val="20"/>
          <w:szCs w:val="20"/>
          <w:color w:val="auto"/>
        </w:rPr>
      </w:pPr>
    </w:p>
    <w:p>
      <w:pPr>
        <w:ind w:left="560" w:hanging="435"/>
        <w:spacing w:after="0"/>
        <w:tabs>
          <w:tab w:leader="none" w:pos="560"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IGHTS AS A</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HAREHOLDER</w:t>
      </w:r>
    </w:p>
    <w:p>
      <w:pPr>
        <w:spacing w:after="0" w:line="246"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Unless otherwise specified in the Plan, a Participant shall not have any rights as a shareholder with respect to Shares issued under this Plan, until such time as the Shares shall be registered in the name of the Participant in the Company’s register of shareholders.</w:t>
      </w:r>
    </w:p>
    <w:p>
      <w:pPr>
        <w:spacing w:after="0" w:line="222" w:lineRule="exact"/>
        <w:rPr>
          <w:sz w:val="20"/>
          <w:szCs w:val="20"/>
          <w:color w:val="auto"/>
        </w:rPr>
      </w:pPr>
    </w:p>
    <w:p>
      <w:pPr>
        <w:ind w:left="560" w:hanging="435"/>
        <w:spacing w:after="0"/>
        <w:tabs>
          <w:tab w:leader="none" w:pos="560"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PECIAL</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p>
    <w:p>
      <w:pPr>
        <w:spacing w:after="0" w:line="246" w:lineRule="exact"/>
        <w:rPr>
          <w:sz w:val="20"/>
          <w:szCs w:val="20"/>
          <w:color w:val="auto"/>
        </w:rPr>
      </w:pPr>
    </w:p>
    <w:p>
      <w:pPr>
        <w:jc w:val="both"/>
        <w:ind w:left="580" w:right="119"/>
        <w:spacing w:after="0" w:line="312" w:lineRule="auto"/>
        <w:rPr>
          <w:sz w:val="20"/>
          <w:szCs w:val="20"/>
          <w:color w:val="auto"/>
        </w:rPr>
      </w:pPr>
      <w:r>
        <w:rPr>
          <w:rFonts w:ascii="Arial" w:cs="Arial" w:eastAsia="Arial" w:hAnsi="Arial"/>
          <w:sz w:val="16"/>
          <w:szCs w:val="16"/>
          <w:color w:val="auto"/>
        </w:rPr>
        <w:t>Nothing contained in this Plan shall confer upon any Participant any right with respect to the continuation of employment by or service to the Company or Affiliate or to interfere in any way with the right of the Company or Affiliate, to terminate such employment or service or to increase or decrease the compensation of the Participant.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0" w:name="page191"/>
    <w:bookmarkEnd w:id="190"/>
    <w:p>
      <w:pPr>
        <w:ind w:left="560" w:hanging="435"/>
        <w:spacing w:after="0"/>
        <w:tabs>
          <w:tab w:leader="none" w:pos="56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ESTRICTIONS 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15.1 O</w:t>
      </w:r>
      <w:r>
        <w:rPr>
          <w:rFonts w:ascii="Arial" w:cs="Arial" w:eastAsia="Arial" w:hAnsi="Arial"/>
          <w:sz w:val="13"/>
          <w:szCs w:val="13"/>
          <w:color w:val="auto"/>
        </w:rPr>
        <w:t>PTIONS</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Options may not be sold, assigned, transferred, pledged, hypothecated or otherwise disposed of, except by will or the laws of descent.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15.2 S</w:t>
      </w:r>
      <w:r>
        <w:rPr>
          <w:rFonts w:ascii="Arial" w:cs="Arial" w:eastAsia="Arial" w:hAnsi="Arial"/>
          <w:sz w:val="13"/>
          <w:szCs w:val="13"/>
          <w:color w:val="auto"/>
        </w:rPr>
        <w:t>HARES</w:t>
      </w:r>
    </w:p>
    <w:p>
      <w:pPr>
        <w:spacing w:after="0" w:line="218"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Unless otherwise determined by the Administrator, prior to the Company’s IPO, the Shares may not be sold assigned, transferred, pledged, hypothecated or otherwise disposed of, except as stated below in this Section 15. Unless otherwise determined by the Administrator, any Underlying Shares issued upon exercise of Options, granted under any of the tax tracks detailed in Section 11 above, will be held by the Trustee until the earlier to occur of a Merger, as detailed in Section 15.3 below, or an IPO.</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15.3 M</w:t>
      </w:r>
      <w:r>
        <w:rPr>
          <w:rFonts w:ascii="Arial" w:cs="Arial" w:eastAsia="Arial" w:hAnsi="Arial"/>
          <w:sz w:val="13"/>
          <w:szCs w:val="13"/>
          <w:color w:val="auto"/>
        </w:rPr>
        <w:t>ERGERS</w:t>
      </w:r>
    </w:p>
    <w:p>
      <w:pPr>
        <w:spacing w:after="0" w:line="218" w:lineRule="exact"/>
        <w:rPr>
          <w:sz w:val="20"/>
          <w:szCs w:val="20"/>
          <w:color w:val="auto"/>
        </w:rPr>
      </w:pPr>
    </w:p>
    <w:p>
      <w:pPr>
        <w:jc w:val="both"/>
        <w:ind w:left="580" w:right="119"/>
        <w:spacing w:after="0" w:line="277" w:lineRule="auto"/>
        <w:rPr>
          <w:sz w:val="20"/>
          <w:szCs w:val="20"/>
          <w:color w:val="auto"/>
        </w:rPr>
      </w:pPr>
      <w:r>
        <w:rPr>
          <w:rFonts w:ascii="Arial" w:cs="Arial" w:eastAsia="Arial" w:hAnsi="Arial"/>
          <w:sz w:val="18"/>
          <w:szCs w:val="18"/>
          <w:color w:val="auto"/>
        </w:rPr>
        <w:t>In the event of a Merger Transaction, then, subject to obtaining the applicable approvals of the Israeli Tax Authorities, the Administrator in its sole discretion, shall decide:</w:t>
      </w:r>
    </w:p>
    <w:p>
      <w:pPr>
        <w:spacing w:after="0" w:line="170" w:lineRule="exact"/>
        <w:rPr>
          <w:sz w:val="20"/>
          <w:szCs w:val="20"/>
          <w:color w:val="auto"/>
        </w:rPr>
      </w:pPr>
    </w:p>
    <w:p>
      <w:pPr>
        <w:ind w:left="940" w:hanging="383"/>
        <w:spacing w:after="0"/>
        <w:tabs>
          <w:tab w:leader="none" w:pos="9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and how unvested Options shall be canceled, replaced or accelerated;</w:t>
      </w:r>
    </w:p>
    <w:p>
      <w:pPr>
        <w:spacing w:after="0" w:line="225" w:lineRule="exact"/>
        <w:rPr>
          <w:rFonts w:ascii="Arial" w:cs="Arial" w:eastAsia="Arial" w:hAnsi="Arial"/>
          <w:sz w:val="18"/>
          <w:szCs w:val="18"/>
          <w:color w:val="auto"/>
        </w:rPr>
      </w:pPr>
    </w:p>
    <w:p>
      <w:pPr>
        <w:jc w:val="both"/>
        <w:ind w:left="940" w:right="119" w:hanging="383"/>
        <w:spacing w:after="0" w:line="264" w:lineRule="auto"/>
        <w:tabs>
          <w:tab w:leader="none" w:pos="97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and how vested Options (including Options with respect to which the vesting period has been accelerated according to Section 15.3.(a) shall be exercised, replaced and/or sold by the Trustee or the Company (as the case may be) on the behalf of Participants; and</w:t>
      </w:r>
    </w:p>
    <w:p>
      <w:pPr>
        <w:spacing w:after="0" w:line="181" w:lineRule="exact"/>
        <w:rPr>
          <w:rFonts w:ascii="Arial" w:cs="Arial" w:eastAsia="Arial" w:hAnsi="Arial"/>
          <w:sz w:val="18"/>
          <w:szCs w:val="18"/>
          <w:color w:val="auto"/>
        </w:rPr>
      </w:pPr>
    </w:p>
    <w:p>
      <w:pPr>
        <w:ind w:left="940" w:right="119" w:hanging="383"/>
        <w:spacing w:after="0" w:line="277" w:lineRule="auto"/>
        <w:tabs>
          <w:tab w:leader="none" w:pos="9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how Underlying Shares issued upon exercise of the Options and held by the Trustee on behalf of Participants shall be replaced and/or sold by the Trustee on behalf of the Participant.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15.4 A</w:t>
      </w:r>
      <w:r>
        <w:rPr>
          <w:rFonts w:ascii="Arial" w:cs="Arial" w:eastAsia="Arial" w:hAnsi="Arial"/>
          <w:sz w:val="13"/>
          <w:szCs w:val="13"/>
          <w:color w:val="auto"/>
        </w:rPr>
        <w:t>CCELERATION</w:t>
      </w:r>
      <w:r>
        <w:rPr>
          <w:rFonts w:ascii="Arial" w:cs="Arial" w:eastAsia="Arial" w:hAnsi="Arial"/>
          <w:sz w:val="20"/>
          <w:szCs w:val="20"/>
          <w:color w:val="auto"/>
        </w:rPr>
        <w:t xml:space="preserve"> P</w:t>
      </w:r>
      <w:r>
        <w:rPr>
          <w:rFonts w:ascii="Arial" w:cs="Arial" w:eastAsia="Arial" w:hAnsi="Arial"/>
          <w:sz w:val="13"/>
          <w:szCs w:val="13"/>
          <w:color w:val="auto"/>
        </w:rPr>
        <w:t>ROVISION</w:t>
      </w:r>
    </w:p>
    <w:p>
      <w:pPr>
        <w:spacing w:after="0" w:line="245" w:lineRule="exact"/>
        <w:rPr>
          <w:sz w:val="20"/>
          <w:szCs w:val="20"/>
          <w:color w:val="auto"/>
        </w:rPr>
      </w:pPr>
    </w:p>
    <w:p>
      <w:pPr>
        <w:jc w:val="both"/>
        <w:ind w:left="580" w:right="119"/>
        <w:spacing w:after="0" w:line="308" w:lineRule="auto"/>
        <w:rPr>
          <w:sz w:val="20"/>
          <w:szCs w:val="20"/>
          <w:color w:val="auto"/>
        </w:rPr>
      </w:pPr>
      <w:r>
        <w:rPr>
          <w:rFonts w:ascii="Arial" w:cs="Arial" w:eastAsia="Arial" w:hAnsi="Arial"/>
          <w:sz w:val="17"/>
          <w:szCs w:val="17"/>
          <w:color w:val="auto"/>
        </w:rPr>
        <w:t>The Administrator, in its sole discretion, may decide to add a provision in certain Grant Letters, according to which in case of a Merger, all or some of the unvested Options, shall automatically accelerate.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15.5 L</w:t>
      </w:r>
      <w:r>
        <w:rPr>
          <w:rFonts w:ascii="Arial" w:cs="Arial" w:eastAsia="Arial" w:hAnsi="Arial"/>
          <w:sz w:val="13"/>
          <w:szCs w:val="13"/>
          <w:color w:val="auto"/>
        </w:rPr>
        <w:t>OCK</w:t>
      </w:r>
      <w:r>
        <w:rPr>
          <w:rFonts w:ascii="Arial" w:cs="Arial" w:eastAsia="Arial" w:hAnsi="Arial"/>
          <w:sz w:val="20"/>
          <w:szCs w:val="20"/>
          <w:color w:val="auto"/>
        </w:rPr>
        <w:t xml:space="preserve"> U</w:t>
      </w:r>
      <w:r>
        <w:rPr>
          <w:rFonts w:ascii="Arial" w:cs="Arial" w:eastAsia="Arial" w:hAnsi="Arial"/>
          <w:sz w:val="13"/>
          <w:szCs w:val="13"/>
          <w:color w:val="auto"/>
        </w:rPr>
        <w:t>P</w:t>
      </w:r>
    </w:p>
    <w:p>
      <w:pPr>
        <w:spacing w:after="0" w:line="245"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Notwithstanding the Holding Period, following the Company’s IPO, at the request of the underwriter, the Administrator may determine that the Underlying Shares issued pursuant to the exercise of Options may be subject to a lock-up period of up to180 days, or such longer period of time as may be recommended by the Company’s Board of Directors, during which time Participants shall not be allowed to sell Shares.</w:t>
      </w:r>
    </w:p>
    <w:p>
      <w:pPr>
        <w:spacing w:after="0" w:line="228" w:lineRule="exact"/>
        <w:rPr>
          <w:sz w:val="20"/>
          <w:szCs w:val="20"/>
          <w:color w:val="auto"/>
        </w:rPr>
      </w:pPr>
    </w:p>
    <w:p>
      <w:pPr>
        <w:ind w:left="560" w:hanging="435"/>
        <w:spacing w:after="0"/>
        <w:tabs>
          <w:tab w:leader="none" w:pos="56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V</w:t>
      </w:r>
      <w:r>
        <w:rPr>
          <w:rFonts w:ascii="Arial" w:cs="Arial" w:eastAsia="Arial" w:hAnsi="Arial"/>
          <w:sz w:val="14"/>
          <w:szCs w:val="14"/>
          <w:b w:val="1"/>
          <w:bCs w:val="1"/>
          <w:color w:val="auto"/>
        </w:rPr>
        <w:t>OTING</w:t>
      </w:r>
    </w:p>
    <w:p>
      <w:pPr>
        <w:spacing w:after="0" w:line="260"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Until consummation of the Company’s IPO, Shares issued to a Participant or to the Trustee for the benefit of a Participant, shall be voted by an irrevocable proxy assigned to a representative appointed by the Company’s Board of Directors (the “Representative”).</w:t>
      </w:r>
    </w:p>
    <w:p>
      <w:pPr>
        <w:spacing w:after="0" w:line="181" w:lineRule="exact"/>
        <w:rPr>
          <w:sz w:val="20"/>
          <w:szCs w:val="20"/>
          <w:color w:val="auto"/>
        </w:rPr>
      </w:pPr>
    </w:p>
    <w:p>
      <w:pPr>
        <w:ind w:left="940" w:hanging="383"/>
        <w:spacing w:after="0"/>
        <w:tabs>
          <w:tab w:leader="none" w:pos="9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Company’s Board of Directors may, at its discretion, replace the Representative from time to time.</w:t>
      </w:r>
    </w:p>
    <w:p>
      <w:pPr>
        <w:spacing w:after="0" w:line="236" w:lineRule="exact"/>
        <w:rPr>
          <w:rFonts w:ascii="Arial" w:cs="Arial" w:eastAsia="Arial" w:hAnsi="Arial"/>
          <w:sz w:val="17"/>
          <w:szCs w:val="17"/>
          <w:color w:val="auto"/>
        </w:rPr>
      </w:pPr>
    </w:p>
    <w:p>
      <w:pPr>
        <w:ind w:left="940" w:right="119" w:hanging="383"/>
        <w:spacing w:after="0" w:line="342" w:lineRule="auto"/>
        <w:tabs>
          <w:tab w:leader="none" w:pos="99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Shares subject to proxy shall be voted by the Representative on any issue or resolution brought before the shareholders of the Company in accordance with instructions of the Board of Directors of the Company.</w:t>
      </w:r>
    </w:p>
    <w:p>
      <w:pPr>
        <w:spacing w:after="0" w:line="123" w:lineRule="exact"/>
        <w:rPr>
          <w:rFonts w:ascii="Arial" w:cs="Arial" w:eastAsia="Arial" w:hAnsi="Arial"/>
          <w:sz w:val="16"/>
          <w:szCs w:val="16"/>
          <w:color w:val="auto"/>
        </w:rPr>
      </w:pPr>
    </w:p>
    <w:p>
      <w:pPr>
        <w:ind w:left="940" w:right="119" w:hanging="383"/>
        <w:spacing w:after="0" w:line="277" w:lineRule="auto"/>
        <w:tabs>
          <w:tab w:leader="none" w:pos="111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Participant, upon execution of the irrevocable proxy specified above, undertakes to hold the Representative harmless from any and all claims related or connected to said proxy.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91" w:name="page192"/>
    <w:bookmarkEnd w:id="191"/>
    <w:p>
      <w:pPr>
        <w:jc w:val="both"/>
        <w:ind w:left="940" w:right="119" w:hanging="383"/>
        <w:spacing w:after="0" w:line="290" w:lineRule="auto"/>
        <w:tabs>
          <w:tab w:leader="none" w:pos="102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Representative shall be indemnified and held harmless by the Company against any cost or expense (including attorneys’ fees) reasonably incurred by the Representative, or any liability (including any sum paid in settlement of a claim with the approval of the Company) arising out of any act or omission to act in connection with the voting of the Shares subject to proxy, unless arising out of the Representative’s own fraud or gross negligence, to the extent permitted by applicable law. In the event the Representative shall have indemnification by virtue of other functions or services he or she performs for the Company or Affiliate (whether by agreement, insurance policy or decision of the appropriate corporate body(ies) of the Company and/or Affiliate) , this indemnification shall be in addition to any such other indemnification.</w:t>
      </w:r>
    </w:p>
    <w:p>
      <w:pPr>
        <w:spacing w:after="0" w:line="180" w:lineRule="exact"/>
        <w:rPr>
          <w:rFonts w:ascii="Arial" w:cs="Arial" w:eastAsia="Arial" w:hAnsi="Arial"/>
          <w:sz w:val="16"/>
          <w:szCs w:val="16"/>
          <w:color w:val="auto"/>
        </w:rPr>
      </w:pPr>
    </w:p>
    <w:p>
      <w:pPr>
        <w:ind w:left="560" w:hanging="435"/>
        <w:spacing w:after="0"/>
        <w:tabs>
          <w:tab w:leader="none" w:pos="56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19"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This Plan shall be governed by, and shall conform with and be interpreted so as to comply with, the requirements of Section 102 and any written approval from the Israeli Tax Authorities. All tax consequences under any applicable law (other than stamp duty) which may arise from the Grant or Allocation of Options, from the exercise thereof or from the holding or sale of Underlying Shares (or other securities issued under the Plan) by or on behalf of the Participant, shall be borne solely by the Participant. The Participant shall indemnify the Company and/or Affiliate, as the case may be, and hold them harmless, against and from any liability for any such tax or any penalty, interest or indexing.</w:t>
      </w:r>
    </w:p>
    <w:p>
      <w:pPr>
        <w:spacing w:after="0" w:line="162"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If the Company elects to Allocate Options according to the provisions of the Income Tax Track Without a Trustee (Section 11.2 of this Plan), and if prior to the exercise of any and/or all of these Options, such Participant ceases to be an employee, director, or officer of the Company or Affiliate, the Participant shall deposit with the Company a guarantee or other security as required by law, in order to ensure the payment of applicable taxes upon the Exercise of such Options.</w:t>
      </w:r>
    </w:p>
    <w:p>
      <w:pPr>
        <w:spacing w:after="0" w:line="189" w:lineRule="exact"/>
        <w:rPr>
          <w:sz w:val="20"/>
          <w:szCs w:val="20"/>
          <w:color w:val="auto"/>
        </w:rPr>
      </w:pPr>
    </w:p>
    <w:p>
      <w:pPr>
        <w:ind w:left="540" w:hanging="415"/>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AXES</w:t>
      </w:r>
    </w:p>
    <w:p>
      <w:pPr>
        <w:spacing w:after="0" w:line="233" w:lineRule="exact"/>
        <w:rPr>
          <w:sz w:val="20"/>
          <w:szCs w:val="20"/>
          <w:color w:val="auto"/>
        </w:rPr>
      </w:pPr>
    </w:p>
    <w:p>
      <w:pPr>
        <w:jc w:val="both"/>
        <w:ind w:left="580" w:right="119"/>
        <w:spacing w:after="0" w:line="289" w:lineRule="auto"/>
        <w:rPr>
          <w:sz w:val="20"/>
          <w:szCs w:val="20"/>
          <w:color w:val="auto"/>
        </w:rPr>
      </w:pPr>
      <w:r>
        <w:rPr>
          <w:rFonts w:ascii="Arial" w:cs="Arial" w:eastAsia="Arial" w:hAnsi="Arial"/>
          <w:sz w:val="16"/>
          <w:szCs w:val="16"/>
          <w:color w:val="auto"/>
        </w:rPr>
        <w:t>Whenever an amount with respect to withholding tax relating to Options Granted to a Participant and/or Underlying Shares issued upon the exercise thereof is due from the Participant and/or the Company and/or an Affiliate, the Company and/or an Affiliate shall have the right to demand from a Participant such amount sufficient to satisfy any applicable withholding tax requirements related thereto, and whenever Shares or any other non-cash assets are to be delivered pursuant to the exercise of an Option, or transferred thereafter, the Company and/or an Affiliate shall have the right to require the Participant to remit to the Company and/or to the Affiliate, or to the Trustee an amount in cash sufficient to satisfy any applicable withholding tax requirements related thereto. If such amount is not timely remitted, the Company and/or the Affiliate shall have the right to withhold or set-off (subject to Law) such Shares or any other non-cash assets pending payment by the Participant of such amounts.</w:t>
      </w:r>
    </w:p>
    <w:p>
      <w:pPr>
        <w:spacing w:after="0" w:line="140" w:lineRule="exact"/>
        <w:rPr>
          <w:sz w:val="20"/>
          <w:szCs w:val="20"/>
          <w:color w:val="auto"/>
        </w:rPr>
      </w:pPr>
    </w:p>
    <w:p>
      <w:pPr>
        <w:jc w:val="both"/>
        <w:ind w:left="580" w:right="119"/>
        <w:spacing w:after="0" w:line="255" w:lineRule="auto"/>
        <w:rPr>
          <w:sz w:val="20"/>
          <w:szCs w:val="20"/>
          <w:color w:val="auto"/>
        </w:rPr>
      </w:pPr>
      <w:r>
        <w:rPr>
          <w:rFonts w:ascii="Arial" w:cs="Arial" w:eastAsia="Arial" w:hAnsi="Arial"/>
          <w:sz w:val="18"/>
          <w:szCs w:val="18"/>
          <w:color w:val="auto"/>
        </w:rPr>
        <w:t>Until all taxes have been paid in accordance with Rule 7 of the Section 102 Rules, Options and/or Underlying Shares may not be sold, transferred, assigned, pledged, encumbered, or otherwise willfully hypothecated or disposed of, and no power of attorney or deed of transfer, whether for immediate or future use may be validly given. Notwithstanding the foregoing, the Options and/or Underlying Shares may be validly transferred in accordance with Section 20 below, provided that the transferee thereof shall be subject to the provisions of Section 102 and the Section 102 Rules as would have been applicable to the deceased Participant were he or she to have survived.</w:t>
      </w:r>
    </w:p>
    <w:p>
      <w:pPr>
        <w:spacing w:after="0" w:line="190" w:lineRule="exact"/>
        <w:rPr>
          <w:sz w:val="20"/>
          <w:szCs w:val="20"/>
          <w:color w:val="auto"/>
        </w:rPr>
      </w:pPr>
    </w:p>
    <w:p>
      <w:pPr>
        <w:ind w:left="560" w:hanging="435"/>
        <w:spacing w:after="0"/>
        <w:tabs>
          <w:tab w:leader="none" w:pos="56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RANSFER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19"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The Trustee shall not transfer Options to any third party, including a Participant, except in accordance with instructions received from the Administrator.</w:t>
      </w:r>
    </w:p>
    <w:p>
      <w:pPr>
        <w:spacing w:after="0" w:line="157" w:lineRule="exact"/>
        <w:rPr>
          <w:sz w:val="20"/>
          <w:szCs w:val="20"/>
          <w:color w:val="auto"/>
        </w:rPr>
      </w:pPr>
    </w:p>
    <w:p>
      <w:pPr>
        <w:ind w:left="560" w:hanging="435"/>
        <w:spacing w:after="0"/>
        <w:tabs>
          <w:tab w:leader="none" w:pos="560"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EATH</w:t>
      </w:r>
    </w:p>
    <w:p>
      <w:pPr>
        <w:spacing w:after="0" w:line="219"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No transfer of any right to an Option or Underlying Share issued upon the exercise thereof by will or by the laws of descent shall be effective to bind the Company unless the Company shall have been furnished with the following signed and notarized documents:</w:t>
      </w:r>
    </w:p>
    <w:p>
      <w:pPr>
        <w:spacing w:after="0" w:line="168" w:lineRule="exact"/>
        <w:rPr>
          <w:sz w:val="20"/>
          <w:szCs w:val="20"/>
          <w:color w:val="auto"/>
        </w:rPr>
      </w:pPr>
    </w:p>
    <w:p>
      <w:pPr>
        <w:ind w:left="940" w:right="119" w:hanging="383"/>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written request for such transfer and a copy of the legal documents creating and confirming the right of the person acting with respect to the Participant’s estate and of the transferee;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2" w:name="page193"/>
    <w:bookmarkEnd w:id="192"/>
    <w:p>
      <w:pPr>
        <w:ind w:left="940" w:right="119" w:hanging="383"/>
        <w:spacing w:after="0" w:line="342" w:lineRule="auto"/>
        <w:tabs>
          <w:tab w:leader="none" w:pos="94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 written consent by the transferee to pay any amounts in connection with the Options and Underlying Shares any payment due according to the provisions of the Plan and otherwise abide by all the terms of the Plan; and</w:t>
      </w:r>
    </w:p>
    <w:p>
      <w:pPr>
        <w:spacing w:after="0" w:line="123" w:lineRule="exact"/>
        <w:rPr>
          <w:rFonts w:ascii="Arial" w:cs="Arial" w:eastAsia="Arial" w:hAnsi="Arial"/>
          <w:sz w:val="16"/>
          <w:szCs w:val="16"/>
          <w:color w:val="auto"/>
        </w:rPr>
      </w:pPr>
    </w:p>
    <w:p>
      <w:pPr>
        <w:ind w:left="940" w:right="119" w:hanging="383"/>
        <w:spacing w:after="0" w:line="308" w:lineRule="auto"/>
        <w:tabs>
          <w:tab w:leader="none" w:pos="96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any such other evidence as the Administrator may deem necessary to establish the right to the transfer of the Option or Underlying Share issued upon the exercise thereof and the validity of the transfer.</w:t>
      </w:r>
    </w:p>
    <w:p>
      <w:pPr>
        <w:spacing w:after="0" w:line="160" w:lineRule="exact"/>
        <w:rPr>
          <w:rFonts w:ascii="Arial" w:cs="Arial" w:eastAsia="Arial" w:hAnsi="Arial"/>
          <w:sz w:val="17"/>
          <w:szCs w:val="17"/>
          <w:color w:val="auto"/>
        </w:rPr>
      </w:pPr>
    </w:p>
    <w:p>
      <w:pPr>
        <w:ind w:left="560" w:hanging="435"/>
        <w:spacing w:after="0"/>
        <w:tabs>
          <w:tab w:leader="none" w:pos="56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THERS 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p>
    <w:p>
      <w:pPr>
        <w:spacing w:after="0" w:line="233"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Subject to the provisions of the Plan, no person other than the Participant shall have any right with respect to Options Granted to the Participant’s under the Plan.</w:t>
      </w:r>
    </w:p>
    <w:p>
      <w:pPr>
        <w:spacing w:after="0" w:line="184" w:lineRule="exact"/>
        <w:rPr>
          <w:sz w:val="20"/>
          <w:szCs w:val="20"/>
          <w:color w:val="auto"/>
        </w:rPr>
      </w:pPr>
    </w:p>
    <w:p>
      <w:pPr>
        <w:ind w:left="560" w:hanging="435"/>
        <w:spacing w:after="0"/>
        <w:tabs>
          <w:tab w:leader="none" w:pos="56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XPENSES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ECEIPTS</w:t>
      </w:r>
    </w:p>
    <w:p>
      <w:pPr>
        <w:spacing w:after="0" w:line="233" w:lineRule="exact"/>
        <w:rPr>
          <w:sz w:val="20"/>
          <w:szCs w:val="20"/>
          <w:color w:val="auto"/>
        </w:rPr>
      </w:pPr>
    </w:p>
    <w:p>
      <w:pPr>
        <w:jc w:val="both"/>
        <w:ind w:left="580" w:right="119"/>
        <w:spacing w:after="0" w:line="264" w:lineRule="auto"/>
        <w:rPr>
          <w:sz w:val="20"/>
          <w:szCs w:val="20"/>
          <w:color w:val="auto"/>
        </w:rPr>
      </w:pPr>
      <w:r>
        <w:rPr>
          <w:rFonts w:ascii="Arial" w:cs="Arial" w:eastAsia="Arial" w:hAnsi="Arial"/>
          <w:sz w:val="18"/>
          <w:szCs w:val="18"/>
          <w:color w:val="auto"/>
        </w:rPr>
        <w:t>The expenses incurred in connection with the administration and implementation of the Plan (including any applicable stamp duty) shall be borne by the Company. Any proceeds received by the Company in connection with the exercise of any Option may be used for general corporate purposes.</w:t>
      </w:r>
    </w:p>
    <w:p>
      <w:pPr>
        <w:spacing w:after="0" w:line="195" w:lineRule="exact"/>
        <w:rPr>
          <w:sz w:val="20"/>
          <w:szCs w:val="20"/>
          <w:color w:val="auto"/>
        </w:rPr>
      </w:pPr>
    </w:p>
    <w:p>
      <w:pPr>
        <w:ind w:left="560" w:hanging="435"/>
        <w:spacing w:after="0"/>
        <w:tabs>
          <w:tab w:leader="none" w:pos="56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EQUIRED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PPROVALS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Plan is subject to the receipt of all approvals required under Section 102 and the Law.</w:t>
      </w:r>
    </w:p>
    <w:p>
      <w:pPr>
        <w:spacing w:after="0" w:line="239" w:lineRule="exact"/>
        <w:rPr>
          <w:sz w:val="20"/>
          <w:szCs w:val="20"/>
          <w:color w:val="auto"/>
        </w:rPr>
      </w:pPr>
    </w:p>
    <w:p>
      <w:pPr>
        <w:ind w:left="560" w:hanging="435"/>
        <w:spacing w:after="0"/>
        <w:tabs>
          <w:tab w:leader="none" w:pos="56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PPLICABLE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p>
    <w:p>
      <w:pPr>
        <w:spacing w:after="0" w:line="233" w:lineRule="exact"/>
        <w:rPr>
          <w:sz w:val="20"/>
          <w:szCs w:val="20"/>
          <w:color w:val="auto"/>
        </w:rPr>
      </w:pPr>
    </w:p>
    <w:p>
      <w:pPr>
        <w:ind w:left="580" w:right="119"/>
        <w:spacing w:after="0" w:line="277" w:lineRule="auto"/>
        <w:rPr>
          <w:sz w:val="20"/>
          <w:szCs w:val="20"/>
          <w:color w:val="auto"/>
        </w:rPr>
      </w:pPr>
      <w:r>
        <w:rPr>
          <w:rFonts w:ascii="Arial" w:cs="Arial" w:eastAsia="Arial" w:hAnsi="Arial"/>
          <w:sz w:val="18"/>
          <w:szCs w:val="18"/>
          <w:color w:val="auto"/>
        </w:rPr>
        <w:t>This Plan and all documents delivered or executed by the Company or Affiliate in connection herewith shall be governed by, and construed and administered in accordance with the Law.</w:t>
      </w:r>
    </w:p>
    <w:p>
      <w:pPr>
        <w:spacing w:after="0" w:line="184" w:lineRule="exact"/>
        <w:rPr>
          <w:sz w:val="20"/>
          <w:szCs w:val="20"/>
          <w:color w:val="auto"/>
        </w:rPr>
      </w:pPr>
    </w:p>
    <w:p>
      <w:pPr>
        <w:ind w:left="560" w:hanging="435"/>
        <w:spacing w:after="0"/>
        <w:tabs>
          <w:tab w:leader="none" w:pos="56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REATMENT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ARTICIPANTS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is no obligation for uniformity of treatment of Participants.</w:t>
      </w:r>
    </w:p>
    <w:p>
      <w:pPr>
        <w:spacing w:after="0" w:line="239" w:lineRule="exact"/>
        <w:rPr>
          <w:sz w:val="20"/>
          <w:szCs w:val="20"/>
          <w:color w:val="auto"/>
        </w:rPr>
      </w:pPr>
    </w:p>
    <w:p>
      <w:pPr>
        <w:ind w:left="560" w:hanging="435"/>
        <w:spacing w:after="0"/>
        <w:tabs>
          <w:tab w:leader="none" w:pos="56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ONFLICTS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event of any conflict between the terms of the Plan and the Grant Letter, the Plan shall prevail.</w:t>
      </w:r>
    </w:p>
    <w:p>
      <w:pPr>
        <w:spacing w:after="0" w:line="239" w:lineRule="exact"/>
        <w:rPr>
          <w:sz w:val="20"/>
          <w:szCs w:val="20"/>
          <w:color w:val="auto"/>
        </w:rPr>
      </w:pPr>
    </w:p>
    <w:p>
      <w:pPr>
        <w:ind w:left="560" w:hanging="435"/>
        <w:spacing w:after="0"/>
        <w:tabs>
          <w:tab w:leader="none" w:pos="560" w:val="left"/>
        </w:tabs>
        <w:numPr>
          <w:ilvl w:val="0"/>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PTIONEE</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NDERTAKINGS</w:t>
      </w:r>
    </w:p>
    <w:p>
      <w:pPr>
        <w:spacing w:after="0" w:line="233" w:lineRule="exact"/>
        <w:rPr>
          <w:sz w:val="20"/>
          <w:szCs w:val="20"/>
          <w:color w:val="auto"/>
        </w:rPr>
      </w:pPr>
    </w:p>
    <w:p>
      <w:pPr>
        <w:jc w:val="both"/>
        <w:ind w:left="580" w:right="119"/>
        <w:spacing w:after="0" w:line="276" w:lineRule="auto"/>
        <w:rPr>
          <w:sz w:val="20"/>
          <w:szCs w:val="20"/>
          <w:color w:val="auto"/>
        </w:rPr>
      </w:pPr>
      <w:r>
        <w:rPr>
          <w:rFonts w:ascii="Arial" w:cs="Arial" w:eastAsia="Arial" w:hAnsi="Arial"/>
          <w:sz w:val="17"/>
          <w:szCs w:val="17"/>
          <w:color w:val="auto"/>
        </w:rPr>
        <w:t>By entering into this Plan, the Optionee shall (1) agree and acknowledges that he or she have received and read the Plan, and the Grant Letter; (2) undertake all the provisions set forth in: Section 102 (including provisions regarding the applicable Tax Track that the Company has selected), the 102 Rules, the Plan, the Grant Letter and the Trust Agreement; and (3) subject to the provisions of Section 102 and the Rules, undertake not to sell or release the Underlying Shares from trust before the end of the Holding Period (if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jc w:val="right"/>
        <w:ind w:right="119"/>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SHARE INCENTIVE PLAN</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w:t>
      </w:r>
      <w:r>
        <w:rPr>
          <w:rFonts w:ascii="Arial" w:cs="Arial" w:eastAsia="Arial" w:hAnsi="Arial"/>
          <w:sz w:val="22"/>
          <w:szCs w:val="22"/>
          <w:b w:val="1"/>
          <w:bCs w:val="1"/>
          <w:color w:val="auto"/>
        </w:rPr>
        <w:t>: O</w:t>
      </w:r>
      <w:r>
        <w:rPr>
          <w:rFonts w:ascii="Arial" w:cs="Arial" w:eastAsia="Arial" w:hAnsi="Arial"/>
          <w:sz w:val="14"/>
          <w:szCs w:val="14"/>
          <w:b w:val="1"/>
          <w:bCs w:val="1"/>
          <w:color w:val="auto"/>
        </w:rPr>
        <w:t>CTOBER</w:t>
      </w:r>
      <w:r>
        <w:rPr>
          <w:rFonts w:ascii="Arial" w:cs="Arial" w:eastAsia="Arial" w:hAnsi="Arial"/>
          <w:sz w:val="22"/>
          <w:szCs w:val="22"/>
          <w:b w:val="1"/>
          <w:bCs w:val="1"/>
          <w:color w:val="auto"/>
        </w:rPr>
        <w:t xml:space="preserve"> 21, 2012</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175895</wp:posOffset>
            </wp:positionV>
            <wp:extent cx="5574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94" w:name="page195"/>
    <w:bookmarkEnd w:id="194"/>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SHARE INCENTIVE PLAN</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_________________________________________</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defined, terms used herein shall have the meaning ascribed to them in Section 2 hereof.</w:t>
      </w:r>
    </w:p>
    <w:p>
      <w:pPr>
        <w:spacing w:after="0" w:line="239" w:lineRule="exact"/>
        <w:rPr>
          <w:sz w:val="20"/>
          <w:szCs w:val="20"/>
          <w:color w:val="auto"/>
        </w:rPr>
      </w:pPr>
    </w:p>
    <w:p>
      <w:pPr>
        <w:ind w:left="560" w:hanging="435"/>
        <w:spacing w:after="0"/>
        <w:tabs>
          <w:tab w:leader="none" w:pos="560" w:val="left"/>
        </w:tabs>
        <w:numPr>
          <w:ilvl w:val="0"/>
          <w:numId w:val="230"/>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 TYPES OF AWARDS; CONSTRUCTION</w:t>
      </w:r>
      <w:r>
        <w:rPr>
          <w:rFonts w:ascii="Arial" w:cs="Arial" w:eastAsia="Arial" w:hAnsi="Arial"/>
          <w:sz w:val="22"/>
          <w:szCs w:val="22"/>
          <w:b w:val="1"/>
          <w:bCs w:val="1"/>
          <w:color w:val="auto"/>
        </w:rPr>
        <w:t>.</w:t>
      </w:r>
    </w:p>
    <w:p>
      <w:pPr>
        <w:spacing w:after="0" w:line="229"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The purpose of this 2012 Share Incentive Plan (as amended, the “</w:t>
      </w:r>
      <w:r>
        <w:rPr>
          <w:rFonts w:ascii="Arial" w:cs="Arial" w:eastAsia="Arial" w:hAnsi="Arial"/>
          <w:sz w:val="17"/>
          <w:szCs w:val="17"/>
          <w:b w:val="1"/>
          <w:bCs w:val="1"/>
          <w:color w:val="auto"/>
        </w:rPr>
        <w:t>Plan</w:t>
      </w:r>
      <w:r>
        <w:rPr>
          <w:rFonts w:ascii="Arial" w:cs="Arial" w:eastAsia="Arial" w:hAnsi="Arial"/>
          <w:sz w:val="17"/>
          <w:szCs w:val="17"/>
          <w:color w:val="auto"/>
        </w:rPr>
        <w:t>”) is to afford an incentive to employees, directors, officers, consultants, advisors, and any other person or entity whose services are considered valuable (collectively, the “</w:t>
      </w:r>
      <w:r>
        <w:rPr>
          <w:rFonts w:ascii="Arial" w:cs="Arial" w:eastAsia="Arial" w:hAnsi="Arial"/>
          <w:sz w:val="17"/>
          <w:szCs w:val="17"/>
          <w:b w:val="1"/>
          <w:bCs w:val="1"/>
          <w:color w:val="auto"/>
        </w:rPr>
        <w:t>Service Providers</w:t>
      </w:r>
      <w:r>
        <w:rPr>
          <w:rFonts w:ascii="Arial" w:cs="Arial" w:eastAsia="Arial" w:hAnsi="Arial"/>
          <w:sz w:val="17"/>
          <w:szCs w:val="17"/>
          <w:color w:val="auto"/>
        </w:rPr>
        <w:t>”) to Kornit Digital Ltd.,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or any Affiliate of the Company, which now exists or hereafter is organized or acquired by the Company, to continue as Service Providers, to increase their efforts on behalf of the Company or Affiliate and to promote the success of the Company’s business, by providing such Service Providers with opportunities to acquire a proprietary interest in the Company by the issuance of Ordinary Shares of the Company, and the grant of options to purchase Shares, restricted Shares awards (“</w:t>
      </w:r>
      <w:r>
        <w:rPr>
          <w:rFonts w:ascii="Arial" w:cs="Arial" w:eastAsia="Arial" w:hAnsi="Arial"/>
          <w:sz w:val="17"/>
          <w:szCs w:val="17"/>
          <w:b w:val="1"/>
          <w:bCs w:val="1"/>
          <w:color w:val="auto"/>
        </w:rPr>
        <w:t>Restricted Shares</w:t>
      </w:r>
      <w:r>
        <w:rPr>
          <w:rFonts w:ascii="Arial" w:cs="Arial" w:eastAsia="Arial" w:hAnsi="Arial"/>
          <w:sz w:val="17"/>
          <w:szCs w:val="17"/>
          <w:color w:val="auto"/>
        </w:rPr>
        <w:t>”) and other Share-based Awards pursuant to the Plan.</w:t>
      </w:r>
    </w:p>
    <w:p>
      <w:pPr>
        <w:spacing w:after="0" w:line="151"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Plan is intended to enable the Company to issue Awards under varying tax regimes, including, without limitation:</w:t>
      </w:r>
    </w:p>
    <w:p>
      <w:pPr>
        <w:spacing w:after="0" w:line="157" w:lineRule="exact"/>
        <w:rPr>
          <w:sz w:val="20"/>
          <w:szCs w:val="20"/>
          <w:color w:val="auto"/>
        </w:rPr>
      </w:pPr>
    </w:p>
    <w:p>
      <w:pPr>
        <w:jc w:val="both"/>
        <w:ind w:left="1320" w:right="119" w:hanging="385"/>
        <w:spacing w:after="0" w:line="257" w:lineRule="auto"/>
        <w:tabs>
          <w:tab w:leader="none" w:pos="146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and all regulations and interpretations adopted thereunder, including without limitation the Income Tax Rules (Tax Benefits in Stock Issuance to Employees) 5763-2003 (the “</w:t>
      </w:r>
      <w:r>
        <w:rPr>
          <w:rFonts w:ascii="Arial" w:cs="Arial" w:eastAsia="Arial" w:hAnsi="Arial"/>
          <w:sz w:val="18"/>
          <w:szCs w:val="18"/>
          <w:b w:val="1"/>
          <w:bCs w:val="1"/>
          <w:color w:val="auto"/>
        </w:rPr>
        <w:t>Rules</w:t>
      </w:r>
      <w:r>
        <w:rPr>
          <w:rFonts w:ascii="Arial" w:cs="Arial" w:eastAsia="Arial" w:hAnsi="Arial"/>
          <w:sz w:val="18"/>
          <w:szCs w:val="18"/>
          <w:color w:val="auto"/>
        </w:rPr>
        <w:t>”) or such other rules published by the Israeli Income Tax Authorities (the “</w:t>
      </w:r>
      <w:r>
        <w:rPr>
          <w:rFonts w:ascii="Arial" w:cs="Arial" w:eastAsia="Arial" w:hAnsi="Arial"/>
          <w:sz w:val="18"/>
          <w:szCs w:val="18"/>
          <w:b w:val="1"/>
          <w:bCs w:val="1"/>
          <w:color w:val="auto"/>
        </w:rPr>
        <w:t>ITA</w:t>
      </w:r>
      <w:r>
        <w:rPr>
          <w:rFonts w:ascii="Arial" w:cs="Arial" w:eastAsia="Arial" w:hAnsi="Arial"/>
          <w:sz w:val="18"/>
          <w:szCs w:val="18"/>
          <w:color w:val="auto"/>
        </w:rPr>
        <w:t>”) (such Awards, “</w:t>
      </w:r>
      <w:r>
        <w:rPr>
          <w:rFonts w:ascii="Arial" w:cs="Arial" w:eastAsia="Arial" w:hAnsi="Arial"/>
          <w:sz w:val="18"/>
          <w:szCs w:val="18"/>
          <w:b w:val="1"/>
          <w:bCs w:val="1"/>
          <w:color w:val="auto"/>
        </w:rPr>
        <w:t>102 Awards</w:t>
      </w:r>
      <w:r>
        <w:rPr>
          <w:rFonts w:ascii="Arial" w:cs="Arial" w:eastAsia="Arial" w:hAnsi="Arial"/>
          <w:sz w:val="18"/>
          <w:szCs w:val="18"/>
          <w:color w:val="auto"/>
        </w:rPr>
        <w:t>”). 102 Awards may either be granted to a Trustee or without a trustee;</w:t>
      </w:r>
    </w:p>
    <w:p>
      <w:pPr>
        <w:spacing w:after="0" w:line="170" w:lineRule="exact"/>
        <w:rPr>
          <w:rFonts w:ascii="Arial" w:cs="Arial" w:eastAsia="Arial" w:hAnsi="Arial"/>
          <w:sz w:val="18"/>
          <w:szCs w:val="18"/>
          <w:color w:val="auto"/>
        </w:rPr>
      </w:pPr>
    </w:p>
    <w:p>
      <w:pPr>
        <w:ind w:left="1340" w:hanging="405"/>
        <w:spacing w:after="0"/>
        <w:tabs>
          <w:tab w:leader="none" w:pos="13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pursuant to Section 3(9) of the Ordinance (such Awards, “</w:t>
      </w:r>
      <w:r>
        <w:rPr>
          <w:rFonts w:ascii="Arial" w:cs="Arial" w:eastAsia="Arial" w:hAnsi="Arial"/>
          <w:sz w:val="18"/>
          <w:szCs w:val="18"/>
          <w:b w:val="1"/>
          <w:bCs w:val="1"/>
          <w:color w:val="auto"/>
        </w:rPr>
        <w:t>3(9) Awards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20" w:right="119" w:hanging="385"/>
        <w:spacing w:after="0" w:line="312" w:lineRule="auto"/>
        <w:tabs>
          <w:tab w:leader="none" w:pos="136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Incentive Stock Options within the meaning of Section 422 of the Code, or the corresponding provision of any subsequently enacted United States federal tax statute, as amended from time to time, to be granted to Service Providers who are deemed to be residents of the U.S. for purposes of taxation;</w:t>
      </w:r>
    </w:p>
    <w:p>
      <w:pPr>
        <w:spacing w:after="0" w:line="133" w:lineRule="exact"/>
        <w:rPr>
          <w:rFonts w:ascii="Arial" w:cs="Arial" w:eastAsia="Arial" w:hAnsi="Arial"/>
          <w:sz w:val="16"/>
          <w:szCs w:val="16"/>
          <w:color w:val="auto"/>
        </w:rPr>
      </w:pPr>
    </w:p>
    <w:p>
      <w:pPr>
        <w:ind w:left="1320" w:right="119" w:hanging="385"/>
        <w:spacing w:after="0" w:line="277" w:lineRule="auto"/>
        <w:tabs>
          <w:tab w:leader="none" w:pos="13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Nonqualified Stock Options to be granted to Service Providers who are deemed to be residents of the U.S. for purposes of taxation; and</w:t>
      </w:r>
    </w:p>
    <w:p>
      <w:pPr>
        <w:spacing w:after="0" w:line="156" w:lineRule="exact"/>
        <w:rPr>
          <w:rFonts w:ascii="Arial" w:cs="Arial" w:eastAsia="Arial" w:hAnsi="Arial"/>
          <w:sz w:val="18"/>
          <w:szCs w:val="18"/>
          <w:color w:val="auto"/>
        </w:rPr>
      </w:pPr>
    </w:p>
    <w:p>
      <w:pPr>
        <w:ind w:left="1280" w:hanging="345"/>
        <w:spacing w:after="0"/>
        <w:tabs>
          <w:tab w:leader="none" w:pos="12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other stock-based Awards pursuant to Section 12 hereof.</w:t>
      </w:r>
    </w:p>
    <w:p>
      <w:pPr>
        <w:spacing w:after="0" w:line="198" w:lineRule="exact"/>
        <w:rPr>
          <w:sz w:val="20"/>
          <w:szCs w:val="20"/>
          <w:color w:val="auto"/>
        </w:rPr>
      </w:pPr>
    </w:p>
    <w:p>
      <w:pPr>
        <w:jc w:val="both"/>
        <w:ind w:left="940" w:right="119"/>
        <w:spacing w:after="0" w:line="257" w:lineRule="auto"/>
        <w:rPr>
          <w:sz w:val="20"/>
          <w:szCs w:val="20"/>
          <w:color w:val="auto"/>
        </w:rPr>
      </w:pPr>
      <w:r>
        <w:rPr>
          <w:rFonts w:ascii="Arial" w:cs="Arial" w:eastAsia="Arial" w:hAnsi="Arial"/>
          <w:sz w:val="18"/>
          <w:szCs w:val="18"/>
          <w:color w:val="auto"/>
        </w:rPr>
        <w:t>In addition to the issuance of Awards under the relevant tax regimes in the United States of America and the State of Israel, the Plan contemplates issuances to Grantees in other jurisdictions with respect to which the Committee is empowered to make the requisite adjustments in the Plan and set forth the relevant conditions in the Company’s agreement with the Grantee in order to comply with the requirements of the tax regimes in any such jurisdictions.</w:t>
      </w:r>
    </w:p>
    <w:p>
      <w:pPr>
        <w:spacing w:after="0" w:line="175" w:lineRule="exact"/>
        <w:rPr>
          <w:sz w:val="20"/>
          <w:szCs w:val="20"/>
          <w:color w:val="auto"/>
        </w:rPr>
      </w:pPr>
    </w:p>
    <w:p>
      <w:pPr>
        <w:jc w:val="both"/>
        <w:ind w:left="940" w:right="119"/>
        <w:spacing w:after="0" w:line="277" w:lineRule="auto"/>
        <w:rPr>
          <w:sz w:val="20"/>
          <w:szCs w:val="20"/>
          <w:color w:val="auto"/>
        </w:rPr>
      </w:pPr>
      <w:r>
        <w:rPr>
          <w:rFonts w:ascii="Arial" w:cs="Arial" w:eastAsia="Arial" w:hAnsi="Arial"/>
          <w:sz w:val="18"/>
          <w:szCs w:val="18"/>
          <w:color w:val="auto"/>
        </w:rPr>
        <w:t>The Plan contemplates the issuance of Awards by the Company, both as a private company and as a publicly traded company.</w:t>
      </w:r>
    </w:p>
    <w:p>
      <w:pPr>
        <w:spacing w:after="0" w:line="157"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Construction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To the extent any provision herein conflicts with the conditions of any relevant tax law or regulation which are relied upon for tax relief in respect of a particular Award to a Grantee, the provisions of such law or regulation shall prevail over those of the Plan and the Committee is empowered hereunder to interpret and enforce the said prevailing provisions.</w:t>
      </w:r>
    </w:p>
    <w:p>
      <w:pPr>
        <w:spacing w:after="0" w:line="174" w:lineRule="exact"/>
        <w:rPr>
          <w:sz w:val="20"/>
          <w:szCs w:val="20"/>
          <w:color w:val="auto"/>
        </w:rPr>
      </w:pPr>
    </w:p>
    <w:p>
      <w:pPr>
        <w:ind w:left="560" w:hanging="435"/>
        <w:spacing w:after="0"/>
        <w:tabs>
          <w:tab w:leader="none" w:pos="560" w:val="left"/>
        </w:tabs>
        <w:numPr>
          <w:ilvl w:val="0"/>
          <w:numId w:val="232"/>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Terms Generally</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w:t>
      </w:r>
    </w:p>
    <w:p>
      <w:pPr>
        <w:sectPr>
          <w:pgSz w:w="11900" w:h="16838" w:orient="portrait"/>
          <w:cols w:equalWidth="0" w:num="1">
            <w:col w:w="9019"/>
          </w:cols>
          <w:pgMar w:left="1440" w:top="112" w:right="1440"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195" w:name="page196"/>
    <w:bookmarkEnd w:id="195"/>
    <w:p>
      <w:pPr>
        <w:jc w:val="both"/>
        <w:ind w:left="940" w:right="119"/>
        <w:spacing w:after="0" w:line="286" w:lineRule="auto"/>
        <w:rPr>
          <w:sz w:val="20"/>
          <w:szCs w:val="20"/>
          <w:color w:val="auto"/>
        </w:rPr>
      </w:pPr>
      <w:r>
        <w:rPr>
          <w:rFonts w:ascii="Arial" w:cs="Arial" w:eastAsia="Arial" w:hAnsi="Arial"/>
          <w:sz w:val="16"/>
          <w:szCs w:val="16"/>
          <w:color w:val="auto"/>
        </w:rPr>
        <w:t>limitation”.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w:t>
      </w:r>
    </w:p>
    <w:p>
      <w:pPr>
        <w:spacing w:after="0" w:line="2" w:lineRule="exact"/>
        <w:rPr>
          <w:sz w:val="20"/>
          <w:szCs w:val="20"/>
          <w:color w:val="auto"/>
        </w:rPr>
      </w:pPr>
    </w:p>
    <w:p>
      <w:pPr>
        <w:jc w:val="both"/>
        <w:ind w:left="940" w:right="119" w:hanging="5"/>
        <w:spacing w:after="0" w:line="281" w:lineRule="auto"/>
        <w:tabs>
          <w:tab w:leader="none" w:pos="121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references to any law, constitution, statute, treaty, regulation, rule or ordinance, including any section or other part thereof shall refer to that it as amended from time to time and shall include any successor law,</w:t>
      </w:r>
    </w:p>
    <w:p>
      <w:pPr>
        <w:spacing w:after="0" w:line="1" w:lineRule="exact"/>
        <w:rPr>
          <w:rFonts w:ascii="Arial" w:cs="Arial" w:eastAsia="Arial" w:hAnsi="Arial"/>
          <w:sz w:val="16"/>
          <w:szCs w:val="16"/>
          <w:color w:val="auto"/>
        </w:rPr>
      </w:pPr>
    </w:p>
    <w:p>
      <w:pPr>
        <w:jc w:val="both"/>
        <w:ind w:left="940" w:right="119" w:hanging="5"/>
        <w:spacing w:after="0" w:line="253" w:lineRule="auto"/>
        <w:tabs>
          <w:tab w:leader="none" w:pos="129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reference to a person shall means an individual, partnership, corporation, limited liability company, association, trust, unincorporated organization, or a government or agency or political subdivision thereof, (iv) the words “herein”, “hereof” and “hereunder”, and words of similar import, shall be construed to refer to this Plan in its entirety and not to any particular provision hereof and (v) all references herein to Sections shall be construed to refer to Sections to this Plan.</w:t>
      </w:r>
    </w:p>
    <w:p>
      <w:pPr>
        <w:spacing w:after="0" w:line="191" w:lineRule="exact"/>
        <w:rPr>
          <w:sz w:val="20"/>
          <w:szCs w:val="20"/>
          <w:color w:val="auto"/>
        </w:rPr>
      </w:pPr>
    </w:p>
    <w:p>
      <w:pPr>
        <w:ind w:left="560"/>
        <w:spacing w:after="0"/>
        <w:tabs>
          <w:tab w:leader="none" w:pos="2180" w:val="left"/>
        </w:tabs>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terms shall have the meanings ascribed to them in this Section 2:</w:t>
      </w:r>
    </w:p>
    <w:p>
      <w:pPr>
        <w:spacing w:after="0" w:line="221" w:lineRule="exact"/>
        <w:rPr>
          <w:sz w:val="20"/>
          <w:szCs w:val="20"/>
          <w:color w:val="auto"/>
        </w:rPr>
      </w:pPr>
    </w:p>
    <w:p>
      <w:pPr>
        <w:jc w:val="both"/>
        <w:ind w:left="1520" w:right="119" w:hanging="647"/>
        <w:spacing w:after="0" w:line="256" w:lineRule="auto"/>
        <w:tabs>
          <w:tab w:leader="none" w:pos="1500" w:val="left"/>
        </w:tabs>
        <w:rPr>
          <w:sz w:val="20"/>
          <w:szCs w:val="20"/>
          <w:color w:val="auto"/>
        </w:rPr>
      </w:pPr>
      <w:r>
        <w:rPr>
          <w:rFonts w:ascii="Arial" w:cs="Arial" w:eastAsia="Arial" w:hAnsi="Arial"/>
          <w:sz w:val="18"/>
          <w:szCs w:val="18"/>
          <w:color w:val="auto"/>
        </w:rPr>
        <w:t>2.2.1.</w:t>
        <w:tab/>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 affiliate of, or person affiliated with, a specified person or company or other trade or business that directly, or indirectly through one or more intermediaries, controls, is controlled by or is under common control with such person within the meaning of Rule 405 of Regulation C under the Securities Act, including, without limitation, any Subsidiary. For the purpose of Options granted pursuant to Section 102 shall mean also an “employing company” within the meaning of Section 102(a) of the Ordinance.</w:t>
      </w:r>
    </w:p>
    <w:p>
      <w:pPr>
        <w:spacing w:after="0" w:line="188" w:lineRule="exact"/>
        <w:rPr>
          <w:sz w:val="20"/>
          <w:szCs w:val="20"/>
          <w:color w:val="auto"/>
        </w:rPr>
      </w:pPr>
    </w:p>
    <w:p>
      <w:pPr>
        <w:jc w:val="both"/>
        <w:ind w:left="1580" w:right="119" w:hanging="647"/>
        <w:spacing w:after="0" w:line="303" w:lineRule="auto"/>
        <w:tabs>
          <w:tab w:leader="none" w:pos="15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or trading system on which the Shares are then traded or listed.</w:t>
      </w:r>
    </w:p>
    <w:p>
      <w:pPr>
        <w:spacing w:after="0" w:line="151"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2.2.3.</w:t>
        <w:tab/>
        <w:t>“</w:t>
      </w:r>
      <w:r>
        <w:rPr>
          <w:rFonts w:ascii="Arial" w:cs="Arial" w:eastAsia="Arial" w:hAnsi="Arial"/>
          <w:sz w:val="18"/>
          <w:szCs w:val="18"/>
          <w:b w:val="1"/>
          <w:bCs w:val="1"/>
          <w:color w:val="auto"/>
        </w:rPr>
        <w:t>Award</w:t>
      </w:r>
      <w:r>
        <w:rPr>
          <w:rFonts w:ascii="Arial" w:cs="Arial" w:eastAsia="Arial" w:hAnsi="Arial"/>
          <w:sz w:val="18"/>
          <w:szCs w:val="18"/>
          <w:color w:val="auto"/>
        </w:rPr>
        <w:t>” shall mean any Restricted Share, Option or any other Share-based award, granted to a Grantee under the Plan and any share issued pursuant to the exercise thereof.</w:t>
      </w:r>
    </w:p>
    <w:p>
      <w:pPr>
        <w:spacing w:after="0" w:line="16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of Directors of the Company.</w:t>
      </w:r>
    </w:p>
    <w:p>
      <w:pPr>
        <w:spacing w:after="0" w:line="225"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shall mean the United States Internal Revenue Code of 1986, as amended.</w:t>
      </w:r>
    </w:p>
    <w:p>
      <w:pPr>
        <w:spacing w:after="0" w:line="225"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2.2.6.</w:t>
        <w:tab/>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established by the Board to administer the Plan, subject to Section 3.1.</w:t>
      </w:r>
    </w:p>
    <w:p>
      <w:pPr>
        <w:spacing w:after="0" w:line="162" w:lineRule="exact"/>
        <w:rPr>
          <w:sz w:val="20"/>
          <w:szCs w:val="20"/>
          <w:color w:val="auto"/>
        </w:rPr>
      </w:pPr>
    </w:p>
    <w:p>
      <w:pPr>
        <w:jc w:val="both"/>
        <w:ind w:left="1580" w:right="119" w:hanging="647"/>
        <w:spacing w:after="0" w:line="282" w:lineRule="auto"/>
        <w:tabs>
          <w:tab w:leader="none" w:pos="1560" w:val="left"/>
        </w:tabs>
        <w:rPr>
          <w:sz w:val="20"/>
          <w:szCs w:val="20"/>
          <w:color w:val="auto"/>
        </w:rPr>
      </w:pPr>
      <w:r>
        <w:rPr>
          <w:rFonts w:ascii="Arial" w:cs="Arial" w:eastAsia="Arial" w:hAnsi="Arial"/>
          <w:sz w:val="18"/>
          <w:szCs w:val="18"/>
          <w:color w:val="auto"/>
        </w:rPr>
        <w:t>2.2.7.</w:t>
        <w:tab/>
        <w:t>“</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Israel Companies Law-1999 and the regulations promulgated thereunder, all as amended from time to time.</w:t>
      </w:r>
    </w:p>
    <w:p>
      <w:pPr>
        <w:spacing w:after="0" w:line="16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set forth in Section 32(9) of the Ordinance.</w:t>
      </w:r>
    </w:p>
    <w:p>
      <w:pPr>
        <w:spacing w:after="0" w:line="225" w:lineRule="exact"/>
        <w:rPr>
          <w:sz w:val="20"/>
          <w:szCs w:val="20"/>
          <w:color w:val="auto"/>
        </w:rPr>
      </w:pPr>
    </w:p>
    <w:p>
      <w:pPr>
        <w:jc w:val="both"/>
        <w:ind w:left="1540" w:right="119" w:hanging="647"/>
        <w:spacing w:after="0" w:line="256" w:lineRule="auto"/>
        <w:tabs>
          <w:tab w:leader="none" w:pos="1520" w:val="left"/>
        </w:tabs>
        <w:rPr>
          <w:sz w:val="20"/>
          <w:szCs w:val="20"/>
          <w:color w:val="auto"/>
        </w:rPr>
      </w:pPr>
      <w:r>
        <w:rPr>
          <w:rFonts w:ascii="Arial" w:cs="Arial" w:eastAsia="Arial" w:hAnsi="Arial"/>
          <w:sz w:val="18"/>
          <w:szCs w:val="18"/>
          <w:color w:val="auto"/>
        </w:rPr>
        <w:t>2.2.9.</w:t>
        <w:tab/>
        <w:t>“</w:t>
      </w:r>
      <w:r>
        <w:rPr>
          <w:rFonts w:ascii="Arial" w:cs="Arial" w:eastAsia="Arial" w:hAnsi="Arial"/>
          <w:sz w:val="18"/>
          <w:szCs w:val="18"/>
          <w:b w:val="1"/>
          <w:bCs w:val="1"/>
          <w:color w:val="auto"/>
        </w:rPr>
        <w:t>Disability</w:t>
      </w:r>
      <w:r>
        <w:rPr>
          <w:rFonts w:ascii="Arial" w:cs="Arial" w:eastAsia="Arial" w:hAnsi="Arial"/>
          <w:sz w:val="18"/>
          <w:szCs w:val="18"/>
          <w:color w:val="auto"/>
        </w:rPr>
        <w:t>” shall mean (i) the inability of a Grantee to engage in any substantial gainful activity by reason of any medically determinable physical or mental impairment which can be expected to result in death or which has lasted or can be expected to last for a continuous period of not less than 12 months, as determined by a medical doctor satisfactory to the Committee or, if applicable, (ii) as “permanent and total disability” as defined in Section 22(e)(3) of the Code, as amended from time to time.</w:t>
      </w:r>
    </w:p>
    <w:p>
      <w:pPr>
        <w:spacing w:after="0" w:line="188"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2.2.10. “</w:t>
      </w:r>
      <w:r>
        <w:rPr>
          <w:rFonts w:ascii="Arial" w:cs="Arial" w:eastAsia="Arial" w:hAnsi="Arial"/>
          <w:sz w:val="18"/>
          <w:szCs w:val="18"/>
          <w:b w:val="1"/>
          <w:bCs w:val="1"/>
          <w:color w:val="auto"/>
        </w:rPr>
        <w:t>Employee</w:t>
      </w:r>
      <w:r>
        <w:rPr>
          <w:rFonts w:ascii="Arial" w:cs="Arial" w:eastAsia="Arial" w:hAnsi="Arial"/>
          <w:sz w:val="18"/>
          <w:szCs w:val="18"/>
          <w:color w:val="auto"/>
        </w:rPr>
        <w:t>” shall mean a person who is employed by the Company or any of its Affiliates, including, for the purpose of Section 102, an individual who is serving as an “office holder” as defined under the Companies Law, but excluding any Controlling Shareholder.</w:t>
      </w:r>
    </w:p>
    <w:p>
      <w:pPr>
        <w:spacing w:after="0" w:line="176" w:lineRule="exact"/>
        <w:rPr>
          <w:sz w:val="20"/>
          <w:szCs w:val="20"/>
          <w:color w:val="auto"/>
        </w:rPr>
      </w:pPr>
    </w:p>
    <w:p>
      <w:pPr>
        <w:jc w:val="both"/>
        <w:ind w:left="1560" w:right="119" w:hanging="647"/>
        <w:spacing w:after="0" w:line="266" w:lineRule="auto"/>
        <w:tabs>
          <w:tab w:leader="none" w:pos="1540" w:val="left"/>
        </w:tabs>
        <w:rPr>
          <w:sz w:val="20"/>
          <w:szCs w:val="20"/>
          <w:color w:val="auto"/>
        </w:rPr>
      </w:pPr>
      <w:r>
        <w:rPr>
          <w:rFonts w:ascii="Arial" w:cs="Arial" w:eastAsia="Arial" w:hAnsi="Arial"/>
          <w:sz w:val="18"/>
          <w:szCs w:val="18"/>
          <w:color w:val="auto"/>
        </w:rPr>
        <w:t>2.2.11.</w:t>
        <w:tab/>
        <w:t>“</w:t>
      </w:r>
      <w:r>
        <w:rPr>
          <w:rFonts w:ascii="Arial" w:cs="Arial" w:eastAsia="Arial" w:hAnsi="Arial"/>
          <w:sz w:val="18"/>
          <w:szCs w:val="18"/>
          <w:b w:val="1"/>
          <w:bCs w:val="1"/>
          <w:color w:val="auto"/>
        </w:rPr>
        <w:t>Exercise Period</w:t>
      </w:r>
      <w:r>
        <w:rPr>
          <w:rFonts w:ascii="Arial" w:cs="Arial" w:eastAsia="Arial" w:hAnsi="Arial"/>
          <w:sz w:val="18"/>
          <w:szCs w:val="18"/>
          <w:color w:val="auto"/>
        </w:rPr>
        <w:t>” shall mean the period, commencing on the date of grant of an Option, during which an Option shall be exercisable, subject to any vesting provisions thereof and the termination provisions hereof.</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2.2.12. “</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exercise price for each Share covered by an Option.</w:t>
      </w:r>
    </w:p>
    <w:p>
      <w:pPr>
        <w:spacing w:after="0" w:line="225"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2.2.13. “</w:t>
      </w:r>
      <w:r>
        <w:rPr>
          <w:rFonts w:ascii="Arial" w:cs="Arial" w:eastAsia="Arial" w:hAnsi="Arial"/>
          <w:sz w:val="18"/>
          <w:szCs w:val="18"/>
          <w:b w:val="1"/>
          <w:bCs w:val="1"/>
          <w:color w:val="auto"/>
        </w:rPr>
        <w:t>Fair Market Value</w:t>
      </w:r>
      <w:r>
        <w:rPr>
          <w:rFonts w:ascii="Arial" w:cs="Arial" w:eastAsia="Arial" w:hAnsi="Arial"/>
          <w:sz w:val="18"/>
          <w:szCs w:val="18"/>
          <w:color w:val="auto"/>
        </w:rPr>
        <w:t>” per share as of a particular date shall mean (i) the closing sales price per Share on the securities exchange on which the Shares are principally traded for the last preceding date on which</w:t>
      </w:r>
    </w:p>
    <w:p>
      <w:pPr>
        <w:sectPr>
          <w:pgSz w:w="11900" w:h="16838" w:orient="portrait"/>
          <w:cols w:equalWidth="0" w:num="1">
            <w:col w:w="9019"/>
          </w:cols>
          <w:pgMar w:left="1440" w:top="125" w:right="1440" w:bottom="144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6" w:name="page197"/>
    <w:bookmarkEnd w:id="196"/>
    <w:p>
      <w:pPr>
        <w:jc w:val="both"/>
        <w:ind w:left="1580" w:right="119"/>
        <w:spacing w:after="0" w:line="268" w:lineRule="auto"/>
        <w:rPr>
          <w:sz w:val="20"/>
          <w:szCs w:val="20"/>
          <w:color w:val="auto"/>
        </w:rPr>
      </w:pPr>
      <w:r>
        <w:rPr>
          <w:rFonts w:ascii="Arial" w:cs="Arial" w:eastAsia="Arial" w:hAnsi="Arial"/>
          <w:sz w:val="17"/>
          <w:szCs w:val="17"/>
          <w:color w:val="auto"/>
        </w:rPr>
        <w:t>there was a sale of such Shares on such exchange; or (ii) if the Shares are listed on Nasdaq, the last reported price per Share on Nasdaq on the last preceding date on which there was a sale of such Share on Nasdaq; or (iii) if the Shares are then traded in an over-the-counter market, the average of the closing bid and asked prices for the Shares in such over-the-counter market for the last preceding date on which there was a sale of such Shares in such market; (iv) if the Shares are not then listed on a securities exchange or market or traded in an over-the-counter market, such value as the Committee, in its sole discretion, shall determine, with full authority to determine the method for making such determination (which may be Black-Scholes model or any other method), and which determination shall be conclusive and binding on all parties, and shall be made after such consultations with outside legal, accounting and other experts as the Committee may deem advisable. The Committee may maintain a written record of its method of determining such value. If the Shares are listed or quoted on more than one established stock exchange or national market system, the Committee shall determine the appropriate exchange or system for the purpose of determination of Fair Market Value.</w:t>
      </w:r>
    </w:p>
    <w:p>
      <w:pPr>
        <w:spacing w:after="0" w:line="181"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2.2.14. “</w:t>
      </w:r>
      <w:r>
        <w:rPr>
          <w:rFonts w:ascii="Arial" w:cs="Arial" w:eastAsia="Arial" w:hAnsi="Arial"/>
          <w:sz w:val="18"/>
          <w:szCs w:val="18"/>
          <w:b w:val="1"/>
          <w:bCs w:val="1"/>
          <w:color w:val="auto"/>
        </w:rPr>
        <w:t>Grantee</w:t>
      </w:r>
      <w:r>
        <w:rPr>
          <w:rFonts w:ascii="Arial" w:cs="Arial" w:eastAsia="Arial" w:hAnsi="Arial"/>
          <w:sz w:val="18"/>
          <w:szCs w:val="18"/>
          <w:color w:val="auto"/>
        </w:rPr>
        <w:t>” shall mean a person who receives a grant of Award under the Plan, and who at the time of grant is a Service Provider of the Company or any Affiliate thereof.</w:t>
      </w:r>
    </w:p>
    <w:p>
      <w:pPr>
        <w:spacing w:after="0" w:line="162"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2.2.15. “</w:t>
      </w:r>
      <w:r>
        <w:rPr>
          <w:rFonts w:ascii="Arial" w:cs="Arial" w:eastAsia="Arial" w:hAnsi="Arial"/>
          <w:sz w:val="18"/>
          <w:szCs w:val="18"/>
          <w:b w:val="1"/>
          <w:bCs w:val="1"/>
          <w:color w:val="auto"/>
        </w:rPr>
        <w:t>Non-Employee</w:t>
      </w:r>
      <w:r>
        <w:rPr>
          <w:rFonts w:ascii="Arial" w:cs="Arial" w:eastAsia="Arial" w:hAnsi="Arial"/>
          <w:sz w:val="18"/>
          <w:szCs w:val="18"/>
          <w:color w:val="auto"/>
        </w:rPr>
        <w:t>” shall mean a consultant, adviser, service provider, Controlling Shareholder or any other person who is not an Employee.</w:t>
      </w:r>
    </w:p>
    <w:p>
      <w:pPr>
        <w:spacing w:after="0" w:line="162"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2.2.16.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shall mean any Option granted to Service Provider who is deemed to be residents of the U.S. for purposes of taxation, which Option is not designated as, or does not meet the conditions for, an Incentive Stock Option.</w:t>
      </w:r>
    </w:p>
    <w:p>
      <w:pPr>
        <w:spacing w:after="0" w:line="176"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2.2.17. “</w:t>
      </w:r>
      <w:r>
        <w:rPr>
          <w:rFonts w:ascii="Arial" w:cs="Arial" w:eastAsia="Arial" w:hAnsi="Arial"/>
          <w:sz w:val="18"/>
          <w:szCs w:val="18"/>
          <w:b w:val="1"/>
          <w:bCs w:val="1"/>
          <w:color w:val="auto"/>
        </w:rPr>
        <w:t>Options</w:t>
      </w:r>
      <w:r>
        <w:rPr>
          <w:rFonts w:ascii="Arial" w:cs="Arial" w:eastAsia="Arial" w:hAnsi="Arial"/>
          <w:sz w:val="18"/>
          <w:szCs w:val="18"/>
          <w:color w:val="auto"/>
        </w:rPr>
        <w:t>” shall mean all options to purchase Shares granted as 102 Awards, 3(9) Awards, Incentive Stock Options and Non-Qualified Stock Options, as well as options to purchase Shares issued under other tax regimes.</w:t>
      </w:r>
    </w:p>
    <w:p>
      <w:pPr>
        <w:spacing w:after="0" w:line="176" w:lineRule="exact"/>
        <w:rPr>
          <w:sz w:val="20"/>
          <w:szCs w:val="20"/>
          <w:color w:val="auto"/>
        </w:rPr>
      </w:pPr>
    </w:p>
    <w:p>
      <w:pPr>
        <w:jc w:val="both"/>
        <w:ind w:left="1580" w:right="119" w:hanging="647"/>
        <w:spacing w:after="0" w:line="282" w:lineRule="auto"/>
        <w:rPr>
          <w:sz w:val="20"/>
          <w:szCs w:val="20"/>
          <w:color w:val="auto"/>
        </w:rPr>
      </w:pPr>
      <w:r>
        <w:rPr>
          <w:rFonts w:ascii="Arial" w:cs="Arial" w:eastAsia="Arial" w:hAnsi="Arial"/>
          <w:sz w:val="18"/>
          <w:szCs w:val="18"/>
          <w:color w:val="auto"/>
        </w:rPr>
        <w:t>2.2.18. “</w:t>
      </w:r>
      <w:r>
        <w:rPr>
          <w:rFonts w:ascii="Arial" w:cs="Arial" w:eastAsia="Arial" w:hAnsi="Arial"/>
          <w:sz w:val="18"/>
          <w:szCs w:val="18"/>
          <w:b w:val="1"/>
          <w:bCs w:val="1"/>
          <w:color w:val="auto"/>
        </w:rPr>
        <w:t>Ordinance</w:t>
      </w:r>
      <w:r>
        <w:rPr>
          <w:rFonts w:ascii="Arial" w:cs="Arial" w:eastAsia="Arial" w:hAnsi="Arial"/>
          <w:sz w:val="18"/>
          <w:szCs w:val="18"/>
          <w:color w:val="auto"/>
        </w:rPr>
        <w:t>” shall mean the Israeli Income Tax Ordinance (New Version) 1961, and the regulations promulgated thereunder, all as amended from time to time.</w:t>
      </w:r>
    </w:p>
    <w:p>
      <w:pPr>
        <w:spacing w:after="0" w:line="162" w:lineRule="exact"/>
        <w:rPr>
          <w:sz w:val="20"/>
          <w:szCs w:val="20"/>
          <w:color w:val="auto"/>
        </w:rPr>
      </w:pPr>
    </w:p>
    <w:p>
      <w:pPr>
        <w:jc w:val="both"/>
        <w:ind w:left="1580" w:right="119" w:hanging="647"/>
        <w:spacing w:after="0" w:line="277" w:lineRule="auto"/>
        <w:tabs>
          <w:tab w:leader="none" w:pos="156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if applicable, (ii) as defined in Section 424(e) of the Code.</w:t>
      </w:r>
    </w:p>
    <w:p>
      <w:pPr>
        <w:spacing w:after="0" w:line="168" w:lineRule="exact"/>
        <w:rPr>
          <w:sz w:val="20"/>
          <w:szCs w:val="20"/>
          <w:color w:val="auto"/>
        </w:rPr>
      </w:pPr>
    </w:p>
    <w:p>
      <w:pPr>
        <w:jc w:val="both"/>
        <w:ind w:left="1580" w:right="119" w:hanging="647"/>
        <w:spacing w:after="0" w:line="266" w:lineRule="auto"/>
        <w:rPr>
          <w:sz w:val="20"/>
          <w:szCs w:val="20"/>
          <w:color w:val="auto"/>
        </w:rPr>
      </w:pPr>
      <w:r>
        <w:rPr>
          <w:rFonts w:ascii="Arial" w:cs="Arial" w:eastAsia="Arial" w:hAnsi="Arial"/>
          <w:sz w:val="18"/>
          <w:szCs w:val="18"/>
          <w:color w:val="auto"/>
        </w:rPr>
        <w:t>2.2.20. “</w:t>
      </w:r>
      <w:r>
        <w:rPr>
          <w:rFonts w:ascii="Arial" w:cs="Arial" w:eastAsia="Arial" w:hAnsi="Arial"/>
          <w:sz w:val="18"/>
          <w:szCs w:val="18"/>
          <w:b w:val="1"/>
          <w:bCs w:val="1"/>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2.2.21. “</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Securities Act of 1933, as amended.</w:t>
      </w:r>
    </w:p>
    <w:p>
      <w:pPr>
        <w:spacing w:after="0" w:line="225" w:lineRule="exact"/>
        <w:rPr>
          <w:sz w:val="20"/>
          <w:szCs w:val="20"/>
          <w:color w:val="auto"/>
        </w:rPr>
      </w:pPr>
    </w:p>
    <w:p>
      <w:pPr>
        <w:jc w:val="both"/>
        <w:ind w:left="1580" w:right="119" w:hanging="647"/>
        <w:spacing w:after="0" w:line="347" w:lineRule="auto"/>
        <w:rPr>
          <w:sz w:val="20"/>
          <w:szCs w:val="20"/>
          <w:color w:val="auto"/>
        </w:rPr>
      </w:pPr>
      <w:r>
        <w:rPr>
          <w:rFonts w:ascii="Arial" w:cs="Arial" w:eastAsia="Arial" w:hAnsi="Arial"/>
          <w:sz w:val="16"/>
          <w:szCs w:val="16"/>
          <w:color w:val="auto"/>
        </w:rPr>
        <w:t>2.2.22. “</w:t>
      </w:r>
      <w:r>
        <w:rPr>
          <w:rFonts w:ascii="Arial" w:cs="Arial" w:eastAsia="Arial" w:hAnsi="Arial"/>
          <w:sz w:val="16"/>
          <w:szCs w:val="16"/>
          <w:b w:val="1"/>
          <w:bCs w:val="1"/>
          <w:color w:val="auto"/>
        </w:rPr>
        <w:t>Shares</w:t>
      </w:r>
      <w:r>
        <w:rPr>
          <w:rFonts w:ascii="Arial" w:cs="Arial" w:eastAsia="Arial" w:hAnsi="Arial"/>
          <w:sz w:val="16"/>
          <w:szCs w:val="16"/>
          <w:color w:val="auto"/>
        </w:rPr>
        <w:t>” shall mean Ordinary Shares, par value NIS 0.01 of the Company, or shares of such other class of shares of the Company as shall be designated by the Board in respect of the relevant Award.</w:t>
      </w:r>
    </w:p>
    <w:p>
      <w:pPr>
        <w:spacing w:after="0" w:line="116" w:lineRule="exact"/>
        <w:rPr>
          <w:sz w:val="20"/>
          <w:szCs w:val="20"/>
          <w:color w:val="auto"/>
        </w:rPr>
      </w:pPr>
    </w:p>
    <w:p>
      <w:pPr>
        <w:jc w:val="both"/>
        <w:ind w:left="1580" w:right="119" w:hanging="647"/>
        <w:spacing w:after="0" w:line="256" w:lineRule="auto"/>
        <w:rPr>
          <w:sz w:val="20"/>
          <w:szCs w:val="20"/>
          <w:color w:val="auto"/>
        </w:rPr>
      </w:pPr>
      <w:r>
        <w:rPr>
          <w:rFonts w:ascii="Arial" w:cs="Arial" w:eastAsia="Arial" w:hAnsi="Arial"/>
          <w:sz w:val="18"/>
          <w:szCs w:val="18"/>
          <w:color w:val="auto"/>
        </w:rPr>
        <w:t>2.2.23. “</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company (other than the Company), which now exists or is hereafter organized or 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if applicable, (ii) as defined in Section 424(f) of the Code.</w:t>
      </w:r>
    </w:p>
    <w:p>
      <w:pPr>
        <w:spacing w:after="0" w:line="188" w:lineRule="exact"/>
        <w:rPr>
          <w:sz w:val="20"/>
          <w:szCs w:val="20"/>
          <w:color w:val="auto"/>
        </w:rPr>
      </w:pPr>
    </w:p>
    <w:p>
      <w:pPr>
        <w:jc w:val="both"/>
        <w:ind w:left="1580" w:right="119" w:hanging="647"/>
        <w:spacing w:after="0" w:line="289" w:lineRule="auto"/>
        <w:rPr>
          <w:sz w:val="20"/>
          <w:szCs w:val="20"/>
          <w:color w:val="auto"/>
        </w:rPr>
      </w:pPr>
      <w:r>
        <w:rPr>
          <w:rFonts w:ascii="Arial" w:cs="Arial" w:eastAsia="Arial" w:hAnsi="Arial"/>
          <w:sz w:val="17"/>
          <w:szCs w:val="17"/>
          <w:color w:val="auto"/>
        </w:rPr>
        <w:t>2.2.24. “</w:t>
      </w:r>
      <w:r>
        <w:rPr>
          <w:rFonts w:ascii="Arial" w:cs="Arial" w:eastAsia="Arial" w:hAnsi="Arial"/>
          <w:sz w:val="17"/>
          <w:szCs w:val="17"/>
          <w:b w:val="1"/>
          <w:bCs w:val="1"/>
          <w:color w:val="auto"/>
        </w:rPr>
        <w:t>Ten Percent Shareholder</w:t>
      </w:r>
      <w:r>
        <w:rPr>
          <w:rFonts w:ascii="Arial" w:cs="Arial" w:eastAsia="Arial" w:hAnsi="Arial"/>
          <w:sz w:val="17"/>
          <w:szCs w:val="17"/>
          <w:color w:val="auto"/>
        </w:rPr>
        <w:t>” shall mean a Grantee who, at the time an Incentive Stock Option is granted, owns shares possessing more than ten percent (10%) of the total combined voting power of all classes of shares of the Company or any Parent or Subsidiary.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7" w:name="page198"/>
    <w:bookmarkEnd w:id="197"/>
    <w:p>
      <w:pPr>
        <w:jc w:val="both"/>
        <w:ind w:left="1580" w:right="119" w:hanging="647"/>
        <w:spacing w:after="0" w:line="266" w:lineRule="auto"/>
        <w:rPr>
          <w:sz w:val="20"/>
          <w:szCs w:val="20"/>
          <w:color w:val="auto"/>
        </w:rPr>
      </w:pPr>
      <w:r>
        <w:rPr>
          <w:rFonts w:ascii="Arial" w:cs="Arial" w:eastAsia="Arial" w:hAnsi="Arial"/>
          <w:sz w:val="18"/>
          <w:szCs w:val="18"/>
          <w:color w:val="auto"/>
        </w:rPr>
        <w:t>2.2.25. “</w:t>
      </w:r>
      <w:r>
        <w:rPr>
          <w:rFonts w:ascii="Arial" w:cs="Arial" w:eastAsia="Arial" w:hAnsi="Arial"/>
          <w:sz w:val="18"/>
          <w:szCs w:val="18"/>
          <w:b w:val="1"/>
          <w:bCs w:val="1"/>
          <w:color w:val="auto"/>
        </w:rPr>
        <w:t>Trustee</w:t>
      </w:r>
      <w:r>
        <w:rPr>
          <w:rFonts w:ascii="Arial" w:cs="Arial" w:eastAsia="Arial" w:hAnsi="Arial"/>
          <w:sz w:val="18"/>
          <w:szCs w:val="18"/>
          <w:color w:val="auto"/>
        </w:rPr>
        <w:t>” shall mean the trustee appointed by the Committee or the Board, as the case may be, to hold the respective Options and/or Shares (and, in relation with 102 Awards, approved by the Israeli tax authorities), if so appointed.</w:t>
      </w:r>
    </w:p>
    <w:p>
      <w:pPr>
        <w:spacing w:after="0" w:line="180" w:lineRule="exact"/>
        <w:rPr>
          <w:sz w:val="20"/>
          <w:szCs w:val="20"/>
          <w:color w:val="auto"/>
        </w:rPr>
      </w:pPr>
    </w:p>
    <w:p>
      <w:pPr>
        <w:ind w:left="940" w:right="119" w:hanging="377"/>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Other Defined Terms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following terms shall have the meanings ascribed to them in the Sections set forth below:</w:t>
      </w:r>
    </w:p>
    <w:p>
      <w:pPr>
        <w:spacing w:after="0" w:line="200" w:lineRule="exact"/>
        <w:rPr>
          <w:sz w:val="20"/>
          <w:szCs w:val="20"/>
          <w:color w:val="auto"/>
        </w:rPr>
      </w:pP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460" w:type="dxa"/>
            <w:vAlign w:val="bottom"/>
          </w:tcPr>
          <w:p>
            <w:pPr>
              <w:ind w:left="900"/>
              <w:spacing w:after="0"/>
              <w:rPr>
                <w:sz w:val="20"/>
                <w:szCs w:val="20"/>
                <w:color w:val="auto"/>
              </w:rPr>
            </w:pPr>
            <w:r>
              <w:rPr>
                <w:rFonts w:ascii="Arial" w:cs="Arial" w:eastAsia="Arial" w:hAnsi="Arial"/>
                <w:sz w:val="18"/>
                <w:szCs w:val="18"/>
                <w:b w:val="1"/>
                <w:bCs w:val="1"/>
                <w:color w:val="auto"/>
                <w:w w:val="82"/>
              </w:rPr>
              <w:t>Section</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Awards</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Capital Gains Track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Non-Trustee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Ordinary Income Track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102 Trustee Options</w:t>
            </w:r>
          </w:p>
        </w:tc>
        <w:tc>
          <w:tcPr>
            <w:tcW w:w="1460" w:type="dxa"/>
            <w:vAlign w:val="bottom"/>
          </w:tcPr>
          <w:p>
            <w:pPr>
              <w:ind w:left="900"/>
              <w:spacing w:after="0"/>
              <w:rPr>
                <w:sz w:val="20"/>
                <w:szCs w:val="20"/>
                <w:color w:val="auto"/>
              </w:rPr>
            </w:pPr>
            <w:r>
              <w:rPr>
                <w:rFonts w:ascii="Arial" w:cs="Arial" w:eastAsia="Arial" w:hAnsi="Arial"/>
                <w:sz w:val="18"/>
                <w:szCs w:val="18"/>
                <w:color w:val="auto"/>
              </w:rPr>
              <w:t>9.1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3(9) Awards</w:t>
            </w:r>
          </w:p>
        </w:tc>
        <w:tc>
          <w:tcPr>
            <w:tcW w:w="1460" w:type="dxa"/>
            <w:vAlign w:val="bottom"/>
          </w:tcPr>
          <w:p>
            <w:pPr>
              <w:ind w:left="900"/>
              <w:spacing w:after="0"/>
              <w:rPr>
                <w:sz w:val="20"/>
                <w:szCs w:val="20"/>
                <w:color w:val="auto"/>
              </w:rPr>
            </w:pPr>
            <w:r>
              <w:rPr>
                <w:rFonts w:ascii="Arial" w:cs="Arial" w:eastAsia="Arial" w:hAnsi="Arial"/>
                <w:sz w:val="18"/>
                <w:szCs w:val="18"/>
                <w:color w:val="auto"/>
              </w:rPr>
              <w:t>1.2(ii)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Cause</w:t>
            </w:r>
          </w:p>
        </w:tc>
        <w:tc>
          <w:tcPr>
            <w:tcW w:w="1460" w:type="dxa"/>
            <w:vAlign w:val="bottom"/>
          </w:tcPr>
          <w:p>
            <w:pPr>
              <w:ind w:left="900"/>
              <w:spacing w:after="0"/>
              <w:rPr>
                <w:sz w:val="20"/>
                <w:szCs w:val="20"/>
                <w:color w:val="auto"/>
              </w:rPr>
            </w:pPr>
            <w:r>
              <w:rPr>
                <w:rFonts w:ascii="Arial" w:cs="Arial" w:eastAsia="Arial" w:hAnsi="Arial"/>
                <w:sz w:val="18"/>
                <w:szCs w:val="18"/>
                <w:color w:val="auto"/>
              </w:rPr>
              <w:t>6.6.3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Company</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Effective Date</w:t>
            </w:r>
          </w:p>
        </w:tc>
        <w:tc>
          <w:tcPr>
            <w:tcW w:w="1460" w:type="dxa"/>
            <w:vAlign w:val="bottom"/>
          </w:tcPr>
          <w:p>
            <w:pPr>
              <w:ind w:left="900"/>
              <w:spacing w:after="0"/>
              <w:rPr>
                <w:sz w:val="20"/>
                <w:szCs w:val="20"/>
                <w:color w:val="auto"/>
              </w:rPr>
            </w:pPr>
            <w:r>
              <w:rPr>
                <w:rFonts w:ascii="Arial" w:cs="Arial" w:eastAsia="Arial" w:hAnsi="Arial"/>
                <w:sz w:val="18"/>
                <w:szCs w:val="18"/>
                <w:color w:val="auto"/>
              </w:rPr>
              <w:t>25.1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Election</w:t>
            </w:r>
          </w:p>
        </w:tc>
        <w:tc>
          <w:tcPr>
            <w:tcW w:w="1460" w:type="dxa"/>
            <w:vAlign w:val="bottom"/>
          </w:tcPr>
          <w:p>
            <w:pPr>
              <w:ind w:left="900"/>
              <w:spacing w:after="0"/>
              <w:rPr>
                <w:sz w:val="20"/>
                <w:szCs w:val="20"/>
                <w:color w:val="auto"/>
              </w:rPr>
            </w:pPr>
            <w:r>
              <w:rPr>
                <w:rFonts w:ascii="Arial" w:cs="Arial" w:eastAsia="Arial" w:hAnsi="Arial"/>
                <w:sz w:val="18"/>
                <w:szCs w:val="18"/>
                <w:color w:val="auto"/>
              </w:rPr>
              <w:t>9.2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Eligible 102 Grantees</w:t>
            </w:r>
          </w:p>
        </w:tc>
        <w:tc>
          <w:tcPr>
            <w:tcW w:w="1460" w:type="dxa"/>
            <w:vAlign w:val="bottom"/>
          </w:tcPr>
          <w:p>
            <w:pPr>
              <w:ind w:left="900"/>
              <w:spacing w:after="0"/>
              <w:rPr>
                <w:sz w:val="20"/>
                <w:szCs w:val="20"/>
                <w:color w:val="auto"/>
              </w:rPr>
            </w:pPr>
            <w:r>
              <w:rPr>
                <w:rFonts w:ascii="Arial" w:cs="Arial" w:eastAsia="Arial" w:hAnsi="Arial"/>
                <w:sz w:val="18"/>
                <w:szCs w:val="18"/>
                <w:color w:val="auto"/>
              </w:rPr>
              <w:t>4.2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ISO Shares</w:t>
            </w:r>
          </w:p>
        </w:tc>
        <w:tc>
          <w:tcPr>
            <w:tcW w:w="1460" w:type="dxa"/>
            <w:vAlign w:val="bottom"/>
          </w:tcPr>
          <w:p>
            <w:pPr>
              <w:ind w:left="900"/>
              <w:spacing w:after="0"/>
              <w:rPr>
                <w:sz w:val="20"/>
                <w:szCs w:val="20"/>
                <w:color w:val="auto"/>
              </w:rPr>
            </w:pPr>
            <w:r>
              <w:rPr>
                <w:rFonts w:ascii="Arial" w:cs="Arial" w:eastAsia="Arial" w:hAnsi="Arial"/>
                <w:sz w:val="18"/>
                <w:szCs w:val="18"/>
                <w:color w:val="auto"/>
              </w:rPr>
              <w:t>8.3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ITA</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Market Stand-Off</w:t>
            </w:r>
          </w:p>
        </w:tc>
        <w:tc>
          <w:tcPr>
            <w:tcW w:w="1460" w:type="dxa"/>
            <w:vAlign w:val="bottom"/>
          </w:tcPr>
          <w:p>
            <w:pPr>
              <w:ind w:left="900"/>
              <w:spacing w:after="0"/>
              <w:rPr>
                <w:sz w:val="20"/>
                <w:szCs w:val="20"/>
                <w:color w:val="auto"/>
              </w:rPr>
            </w:pPr>
            <w:r>
              <w:rPr>
                <w:rFonts w:ascii="Arial" w:cs="Arial" w:eastAsia="Arial" w:hAnsi="Arial"/>
                <w:sz w:val="18"/>
                <w:szCs w:val="18"/>
                <w:color w:val="auto"/>
              </w:rPr>
              <w:t>17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Merger/Sale</w:t>
            </w:r>
          </w:p>
        </w:tc>
        <w:tc>
          <w:tcPr>
            <w:tcW w:w="1460" w:type="dxa"/>
            <w:vAlign w:val="bottom"/>
          </w:tcPr>
          <w:p>
            <w:pPr>
              <w:ind w:left="900"/>
              <w:spacing w:after="0"/>
              <w:rPr>
                <w:sz w:val="20"/>
                <w:szCs w:val="20"/>
                <w:color w:val="auto"/>
              </w:rPr>
            </w:pPr>
            <w:r>
              <w:rPr>
                <w:rFonts w:ascii="Arial" w:cs="Arial" w:eastAsia="Arial" w:hAnsi="Arial"/>
                <w:sz w:val="18"/>
                <w:szCs w:val="18"/>
                <w:color w:val="auto"/>
              </w:rPr>
              <w:t>14.2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Option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Plan</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Required Holding Period</w:t>
            </w:r>
          </w:p>
        </w:tc>
        <w:tc>
          <w:tcPr>
            <w:tcW w:w="1460" w:type="dxa"/>
            <w:vAlign w:val="bottom"/>
          </w:tcPr>
          <w:p>
            <w:pPr>
              <w:ind w:left="900"/>
              <w:spacing w:after="0"/>
              <w:rPr>
                <w:sz w:val="20"/>
                <w:szCs w:val="20"/>
                <w:color w:val="auto"/>
              </w:rPr>
            </w:pPr>
            <w:r>
              <w:rPr>
                <w:rFonts w:ascii="Arial" w:cs="Arial" w:eastAsia="Arial" w:hAnsi="Arial"/>
                <w:sz w:val="18"/>
                <w:szCs w:val="18"/>
                <w:color w:val="auto"/>
              </w:rPr>
              <w:t>9.4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Period</w:t>
            </w:r>
          </w:p>
        </w:tc>
        <w:tc>
          <w:tcPr>
            <w:tcW w:w="1460" w:type="dxa"/>
            <w:vAlign w:val="bottom"/>
          </w:tcPr>
          <w:p>
            <w:pPr>
              <w:ind w:left="900"/>
              <w:spacing w:after="0"/>
              <w:rPr>
                <w:sz w:val="20"/>
                <w:szCs w:val="20"/>
                <w:color w:val="auto"/>
              </w:rPr>
            </w:pPr>
            <w:r>
              <w:rPr>
                <w:rFonts w:ascii="Arial" w:cs="Arial" w:eastAsia="Arial" w:hAnsi="Arial"/>
                <w:sz w:val="18"/>
                <w:szCs w:val="18"/>
                <w:color w:val="auto"/>
              </w:rPr>
              <w:t>11.4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 Unit Agreement</w:t>
            </w:r>
          </w:p>
        </w:tc>
        <w:tc>
          <w:tcPr>
            <w:tcW w:w="1460" w:type="dxa"/>
            <w:vAlign w:val="bottom"/>
          </w:tcPr>
          <w:p>
            <w:pPr>
              <w:ind w:left="900"/>
              <w:spacing w:after="0"/>
              <w:rPr>
                <w:sz w:val="20"/>
                <w:szCs w:val="20"/>
                <w:color w:val="auto"/>
              </w:rPr>
            </w:pPr>
            <w:r>
              <w:rPr>
                <w:rFonts w:ascii="Arial" w:cs="Arial" w:eastAsia="Arial" w:hAnsi="Arial"/>
                <w:sz w:val="18"/>
                <w:szCs w:val="18"/>
                <w:color w:val="auto"/>
              </w:rPr>
              <w:t>12.1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Restricted Shares</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RSU</w:t>
            </w:r>
          </w:p>
        </w:tc>
        <w:tc>
          <w:tcPr>
            <w:tcW w:w="1460" w:type="dxa"/>
            <w:vAlign w:val="bottom"/>
          </w:tcPr>
          <w:p>
            <w:pPr>
              <w:ind w:left="900"/>
              <w:spacing w:after="0"/>
              <w:rPr>
                <w:sz w:val="20"/>
                <w:szCs w:val="20"/>
                <w:color w:val="auto"/>
              </w:rPr>
            </w:pPr>
            <w:r>
              <w:rPr>
                <w:rFonts w:ascii="Arial" w:cs="Arial" w:eastAsia="Arial" w:hAnsi="Arial"/>
                <w:sz w:val="18"/>
                <w:szCs w:val="18"/>
                <w:color w:val="auto"/>
              </w:rPr>
              <w:t>12.1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Rules</w:t>
            </w:r>
          </w:p>
        </w:tc>
        <w:tc>
          <w:tcPr>
            <w:tcW w:w="1460" w:type="dxa"/>
            <w:vAlign w:val="bottom"/>
          </w:tcPr>
          <w:p>
            <w:pPr>
              <w:ind w:left="900"/>
              <w:spacing w:after="0"/>
              <w:rPr>
                <w:sz w:val="20"/>
                <w:szCs w:val="20"/>
                <w:color w:val="auto"/>
              </w:rPr>
            </w:pPr>
            <w:r>
              <w:rPr>
                <w:rFonts w:ascii="Arial" w:cs="Arial" w:eastAsia="Arial" w:hAnsi="Arial"/>
                <w:sz w:val="18"/>
                <w:szCs w:val="18"/>
                <w:color w:val="auto"/>
              </w:rPr>
              <w:t>1.2(i)</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Service Provider(s)</w:t>
            </w:r>
          </w:p>
        </w:tc>
        <w:tc>
          <w:tcPr>
            <w:tcW w:w="1460" w:type="dxa"/>
            <w:vAlign w:val="bottom"/>
          </w:tcPr>
          <w:p>
            <w:pPr>
              <w:ind w:left="900"/>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Successor Corporation</w:t>
            </w:r>
          </w:p>
        </w:tc>
        <w:tc>
          <w:tcPr>
            <w:tcW w:w="1460" w:type="dxa"/>
            <w:vAlign w:val="bottom"/>
          </w:tcPr>
          <w:p>
            <w:pPr>
              <w:ind w:left="900"/>
              <w:spacing w:after="0"/>
              <w:rPr>
                <w:sz w:val="20"/>
                <w:szCs w:val="20"/>
                <w:color w:val="auto"/>
              </w:rPr>
            </w:pPr>
            <w:r>
              <w:rPr>
                <w:rFonts w:ascii="Arial" w:cs="Arial" w:eastAsia="Arial" w:hAnsi="Arial"/>
                <w:sz w:val="18"/>
                <w:szCs w:val="18"/>
                <w:color w:val="auto"/>
              </w:rPr>
              <w:t>14.2.1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Withholding Obligations</w:t>
            </w:r>
          </w:p>
        </w:tc>
        <w:tc>
          <w:tcPr>
            <w:tcW w:w="1460" w:type="dxa"/>
            <w:vAlign w:val="bottom"/>
          </w:tcPr>
          <w:p>
            <w:pPr>
              <w:ind w:left="900"/>
              <w:spacing w:after="0"/>
              <w:rPr>
                <w:sz w:val="20"/>
                <w:szCs w:val="20"/>
                <w:color w:val="auto"/>
              </w:rPr>
            </w:pPr>
            <w:r>
              <w:rPr>
                <w:rFonts w:ascii="Arial" w:cs="Arial" w:eastAsia="Arial" w:hAnsi="Arial"/>
                <w:sz w:val="18"/>
                <w:szCs w:val="18"/>
                <w:color w:val="auto"/>
              </w:rPr>
              <w:t>18.3</w:t>
            </w:r>
          </w:p>
        </w:tc>
      </w:tr>
    </w:tbl>
    <w:p>
      <w:pPr>
        <w:spacing w:after="0" w:line="175" w:lineRule="exact"/>
        <w:rPr>
          <w:sz w:val="20"/>
          <w:szCs w:val="20"/>
          <w:color w:val="auto"/>
        </w:rPr>
      </w:pPr>
    </w:p>
    <w:p>
      <w:pPr>
        <w:ind w:left="560" w:hanging="435"/>
        <w:spacing w:after="0"/>
        <w:tabs>
          <w:tab w:leader="none" w:pos="560" w:val="left"/>
        </w:tabs>
        <w:numPr>
          <w:ilvl w:val="0"/>
          <w:numId w:val="234"/>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73" w:lineRule="auto"/>
        <w:rPr>
          <w:sz w:val="20"/>
          <w:szCs w:val="20"/>
          <w:color w:val="auto"/>
        </w:rPr>
      </w:pPr>
      <w:r>
        <w:rPr>
          <w:rFonts w:ascii="Arial" w:cs="Arial" w:eastAsia="Arial" w:hAnsi="Arial"/>
          <w:sz w:val="17"/>
          <w:szCs w:val="17"/>
          <w:color w:val="auto"/>
        </w:rPr>
        <w:t>3.1. To the extent permitted under Applicable Law and the Memorandum of Association, Articles of Association and any other governing document of the Company, the Plan shall be administered by the Committee. In the event that the Board does not create a committee to administer the Plan, the Plan shall be administered by the Board in its entirety. In the event that an action necessary for the administration of the Plan is required under law to be taken by the Board, then such action shall be so taken by the Board. In any such event, all references herein to the Committee shall be construed as references to the Board.</w:t>
      </w:r>
    </w:p>
    <w:p>
      <w:pPr>
        <w:spacing w:after="0" w:line="178"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7"/>
          <w:szCs w:val="17"/>
          <w:color w:val="auto"/>
        </w:rPr>
        <w:t>3.2. The Committee shall consist of two or more directors of the Company, as determined by the Board.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requirements of Applicable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8" w:name="page199"/>
    <w:bookmarkEnd w:id="198"/>
    <w:p>
      <w:pPr>
        <w:jc w:val="both"/>
        <w:ind w:left="940" w:right="119" w:hanging="377"/>
        <w:spacing w:after="0" w:line="302" w:lineRule="auto"/>
        <w:rPr>
          <w:sz w:val="20"/>
          <w:szCs w:val="20"/>
          <w:color w:val="auto"/>
        </w:rPr>
      </w:pPr>
      <w:r>
        <w:rPr>
          <w:rFonts w:ascii="Arial" w:cs="Arial" w:eastAsia="Arial" w:hAnsi="Arial"/>
          <w:sz w:val="16"/>
          <w:szCs w:val="16"/>
          <w:color w:val="auto"/>
        </w:rPr>
        <w:t>3.3. Subject to the terms and conditions of this Plan and any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41" w:lineRule="exact"/>
        <w:rPr>
          <w:sz w:val="20"/>
          <w:szCs w:val="20"/>
          <w:color w:val="auto"/>
        </w:rPr>
      </w:pPr>
    </w:p>
    <w:p>
      <w:pPr>
        <w:ind w:left="1420" w:hanging="485"/>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225" w:lineRule="exact"/>
        <w:rPr>
          <w:rFonts w:ascii="Arial" w:cs="Arial" w:eastAsia="Arial" w:hAnsi="Arial"/>
          <w:sz w:val="18"/>
          <w:szCs w:val="18"/>
          <w:color w:val="auto"/>
        </w:rPr>
      </w:pPr>
    </w:p>
    <w:p>
      <w:pPr>
        <w:jc w:val="both"/>
        <w:ind w:left="1460" w:right="119" w:hanging="525"/>
        <w:spacing w:after="0" w:line="264" w:lineRule="auto"/>
        <w:tabs>
          <w:tab w:leader="none" w:pos="160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grants of Awards and setting the terms and provisions of option agreements (which need not be identical) and any other agreements or instruments under which Awards are made, including, but not limited to, the number of Shares underlying each Award,</w:t>
      </w:r>
    </w:p>
    <w:p>
      <w:pPr>
        <w:spacing w:after="0" w:line="167" w:lineRule="exact"/>
        <w:rPr>
          <w:rFonts w:ascii="Arial" w:cs="Arial" w:eastAsia="Arial" w:hAnsi="Arial"/>
          <w:sz w:val="18"/>
          <w:szCs w:val="18"/>
          <w:color w:val="auto"/>
        </w:rPr>
      </w:pPr>
    </w:p>
    <w:p>
      <w:pPr>
        <w:ind w:left="1480" w:hanging="545"/>
        <w:spacing w:after="0"/>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211" w:lineRule="exact"/>
        <w:rPr>
          <w:rFonts w:ascii="Arial" w:cs="Arial" w:eastAsia="Arial" w:hAnsi="Arial"/>
          <w:sz w:val="18"/>
          <w:szCs w:val="18"/>
          <w:color w:val="auto"/>
        </w:rPr>
      </w:pPr>
    </w:p>
    <w:p>
      <w:pPr>
        <w:ind w:left="1420" w:hanging="485"/>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schedule and conditions on which Awards may be exercised,</w:t>
      </w:r>
    </w:p>
    <w:p>
      <w:pPr>
        <w:spacing w:after="0" w:line="225" w:lineRule="exact"/>
        <w:rPr>
          <w:rFonts w:ascii="Arial" w:cs="Arial" w:eastAsia="Arial" w:hAnsi="Arial"/>
          <w:sz w:val="18"/>
          <w:szCs w:val="18"/>
          <w:color w:val="auto"/>
        </w:rPr>
      </w:pPr>
    </w:p>
    <w:p>
      <w:pPr>
        <w:ind w:left="1420" w:hanging="485"/>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11" w:lineRule="exact"/>
        <w:rPr>
          <w:rFonts w:ascii="Arial" w:cs="Arial" w:eastAsia="Arial" w:hAnsi="Arial"/>
          <w:sz w:val="18"/>
          <w:szCs w:val="18"/>
          <w:color w:val="auto"/>
        </w:rPr>
      </w:pPr>
    </w:p>
    <w:p>
      <w:pPr>
        <w:ind w:left="1420" w:hanging="485"/>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211" w:lineRule="exact"/>
        <w:rPr>
          <w:rFonts w:ascii="Arial" w:cs="Arial" w:eastAsia="Arial" w:hAnsi="Arial"/>
          <w:sz w:val="18"/>
          <w:szCs w:val="18"/>
          <w:color w:val="auto"/>
        </w:rPr>
      </w:pPr>
    </w:p>
    <w:p>
      <w:pPr>
        <w:ind w:left="1460" w:right="119" w:hanging="525"/>
        <w:spacing w:after="0" w:line="277" w:lineRule="auto"/>
        <w:tabs>
          <w:tab w:leader="none" w:pos="15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and for carrying out the Plan, as it may deem appropriate,</w:t>
      </w:r>
    </w:p>
    <w:p>
      <w:pPr>
        <w:spacing w:after="0" w:line="170" w:lineRule="exact"/>
        <w:rPr>
          <w:rFonts w:ascii="Arial" w:cs="Arial" w:eastAsia="Arial" w:hAnsi="Arial"/>
          <w:sz w:val="18"/>
          <w:szCs w:val="18"/>
          <w:color w:val="auto"/>
        </w:rPr>
      </w:pPr>
    </w:p>
    <w:p>
      <w:pPr>
        <w:ind w:left="1480" w:hanging="545"/>
        <w:spacing w:after="0"/>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Fair Market Value of the Shares,</w:t>
      </w:r>
    </w:p>
    <w:p>
      <w:pPr>
        <w:spacing w:after="0" w:line="211" w:lineRule="exact"/>
        <w:rPr>
          <w:rFonts w:ascii="Arial" w:cs="Arial" w:eastAsia="Arial" w:hAnsi="Arial"/>
          <w:sz w:val="18"/>
          <w:szCs w:val="18"/>
          <w:color w:val="auto"/>
        </w:rPr>
      </w:pPr>
    </w:p>
    <w:p>
      <w:pPr>
        <w:ind w:left="1460" w:right="119" w:hanging="525"/>
        <w:spacing w:after="0" w:line="277" w:lineRule="auto"/>
        <w:tabs>
          <w:tab w:leader="none" w:pos="143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 and</w:t>
      </w:r>
    </w:p>
    <w:p>
      <w:pPr>
        <w:spacing w:after="0" w:line="156" w:lineRule="exact"/>
        <w:rPr>
          <w:rFonts w:ascii="Arial" w:cs="Arial" w:eastAsia="Arial" w:hAnsi="Arial"/>
          <w:sz w:val="18"/>
          <w:szCs w:val="18"/>
          <w:color w:val="auto"/>
        </w:rPr>
      </w:pPr>
    </w:p>
    <w:p>
      <w:pPr>
        <w:ind w:left="1460" w:right="119" w:hanging="525"/>
        <w:spacing w:after="0" w:line="277" w:lineRule="auto"/>
        <w:tabs>
          <w:tab w:leader="none" w:pos="143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other matter which is necessary or desirable for, or incidental to, the administration of the Plan and any Award thereunder.</w:t>
      </w:r>
    </w:p>
    <w:p>
      <w:pPr>
        <w:spacing w:after="0" w:line="170" w:lineRule="exact"/>
        <w:rPr>
          <w:sz w:val="20"/>
          <w:szCs w:val="20"/>
          <w:color w:val="auto"/>
        </w:rPr>
      </w:pPr>
    </w:p>
    <w:p>
      <w:pPr>
        <w:jc w:val="both"/>
        <w:ind w:left="940" w:right="119" w:hanging="377"/>
        <w:spacing w:after="0" w:line="288" w:lineRule="auto"/>
        <w:rPr>
          <w:sz w:val="20"/>
          <w:szCs w:val="20"/>
          <w:color w:val="auto"/>
        </w:rPr>
      </w:pPr>
      <w:r>
        <w:rPr>
          <w:rFonts w:ascii="Arial" w:cs="Arial" w:eastAsia="Arial" w:hAnsi="Arial"/>
          <w:sz w:val="16"/>
          <w:szCs w:val="16"/>
          <w:color w:val="auto"/>
        </w:rPr>
        <w:t>3.4. Grants of Awards shall be made pursuant to written notice to Grantees setting forth the terms of the Award. Such notice shall designate the type of Award as one of the following: (i) a 102 Award granted to a Trustee (either as a 102 Award (capital gain track) with Trustee or a 102 Award (ordinary income track) with Trustee),</w:t>
      </w:r>
    </w:p>
    <w:p>
      <w:pPr>
        <w:ind w:left="940" w:right="119" w:hanging="5"/>
        <w:spacing w:after="0" w:line="261" w:lineRule="auto"/>
        <w:tabs>
          <w:tab w:leader="none" w:pos="120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102 Award without a 102 Trustee, (iii) a 3(9) Award, (iv) Incentive Stock Option, (v) Nonqualified Stock Option, or (vi) any other type of Award.</w:t>
      </w:r>
    </w:p>
    <w:p>
      <w:pPr>
        <w:spacing w:after="0" w:line="170" w:lineRule="exact"/>
        <w:rPr>
          <w:sz w:val="20"/>
          <w:szCs w:val="20"/>
          <w:color w:val="auto"/>
        </w:rPr>
      </w:pPr>
    </w:p>
    <w:p>
      <w:pPr>
        <w:jc w:val="both"/>
        <w:ind w:left="940" w:right="119" w:hanging="377"/>
        <w:spacing w:after="0" w:line="342" w:lineRule="auto"/>
        <w:rPr>
          <w:sz w:val="20"/>
          <w:szCs w:val="20"/>
          <w:color w:val="auto"/>
        </w:rPr>
      </w:pPr>
      <w:r>
        <w:rPr>
          <w:rFonts w:ascii="Arial" w:cs="Arial" w:eastAsia="Arial" w:hAnsi="Arial"/>
          <w:sz w:val="16"/>
          <w:szCs w:val="16"/>
          <w:color w:val="auto"/>
        </w:rPr>
        <w:t>3.5. Subject to the mandatory provisions of Applicable Law, the grant of any Award, whether by the Committee or the Board, shall be deemed to include an authorization of the issuance of Shares upon the due exercise thereof.</w:t>
      </w:r>
    </w:p>
    <w:p>
      <w:pPr>
        <w:spacing w:after="0" w:line="110" w:lineRule="exact"/>
        <w:rPr>
          <w:sz w:val="20"/>
          <w:szCs w:val="20"/>
          <w:color w:val="auto"/>
        </w:rPr>
      </w:pPr>
    </w:p>
    <w:p>
      <w:pPr>
        <w:jc w:val="both"/>
        <w:ind w:left="940" w:right="119" w:hanging="377"/>
        <w:spacing w:after="0" w:line="271" w:lineRule="auto"/>
        <w:rPr>
          <w:sz w:val="20"/>
          <w:szCs w:val="20"/>
          <w:color w:val="auto"/>
        </w:rPr>
      </w:pPr>
      <w:r>
        <w:rPr>
          <w:rFonts w:ascii="Arial" w:cs="Arial" w:eastAsia="Arial" w:hAnsi="Arial"/>
          <w:sz w:val="17"/>
          <w:szCs w:val="17"/>
          <w:color w:val="auto"/>
        </w:rPr>
        <w:t>3.6. The authority granted hereunder includes the authority to modify Awards to eligible individuals who are foreign nationals or are individuals who are employed outside Israel to recognize differences in local law, tax policy or custom, in order to effectuate the purposes of the Plan but without amending the Plan. The Committee shall have the authority to grant, in its discretion, to the holder of an outstanding Award, in exchange for the surrender and cancellation of such Award, a new Award having an exercise price lower than provided in the Award so surrendered and canceled and containing such other terms and conditions as the Committee may prescribe in accordance with the provisions of the Plan or to set a new exercise price for the same Award lower than that previously provided in the Award.</w:t>
      </w:r>
    </w:p>
    <w:p>
      <w:pPr>
        <w:spacing w:after="0" w:line="179"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3.7. All decisions, determination and interpretations of the Committee shall be final and binding on all Grantees of any Awards under this Plan, unless otherwise determined by the Board. No member of the Committee shall be liable for any action taken or determination made in good faith with respect to the Plan or any Award granted hereunder.</w:t>
      </w:r>
    </w:p>
    <w:p>
      <w:pPr>
        <w:spacing w:after="0" w:line="201" w:lineRule="exact"/>
        <w:rPr>
          <w:sz w:val="20"/>
          <w:szCs w:val="20"/>
          <w:color w:val="auto"/>
        </w:rPr>
      </w:pPr>
    </w:p>
    <w:p>
      <w:pPr>
        <w:ind w:left="560" w:hanging="435"/>
        <w:spacing w:after="0"/>
        <w:tabs>
          <w:tab w:leader="none" w:pos="560" w:val="left"/>
        </w:tabs>
        <w:numPr>
          <w:ilvl w:val="0"/>
          <w:numId w:val="237"/>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4.1. Awards may be granted to Service Providers of the Company and any Affiliate thereof, taking into account the qualification under each tax regime pursuant to which such Awards are granted. A person who has been granted an Award hereunder may be granted additional Awards, if the Committee shall so determine, subject to the limitations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9" w:name="page200"/>
    <w:bookmarkEnd w:id="199"/>
    <w:p>
      <w:pPr>
        <w:jc w:val="both"/>
        <w:ind w:left="940" w:right="119"/>
        <w:spacing w:after="0" w:line="279" w:lineRule="auto"/>
        <w:rPr>
          <w:sz w:val="20"/>
          <w:szCs w:val="20"/>
          <w:color w:val="auto"/>
        </w:rPr>
      </w:pPr>
      <w:r>
        <w:rPr>
          <w:rFonts w:ascii="Arial" w:cs="Arial" w:eastAsia="Arial" w:hAnsi="Arial"/>
          <w:sz w:val="17"/>
          <w:szCs w:val="17"/>
          <w:color w:val="auto"/>
        </w:rPr>
        <w:t>herein. In determining the persons to whom Awards shall be granted and the number of Shares to be covered by each Award, the Committee shall take into account the duties of the respective persons, their present and potential contributions to the success of the Company and such other factors as the Committee shall deem relevant in connection with accomplishing the purpose of the Plan.</w:t>
      </w:r>
    </w:p>
    <w:p>
      <w:pPr>
        <w:spacing w:after="0" w:line="171" w:lineRule="exact"/>
        <w:rPr>
          <w:sz w:val="20"/>
          <w:szCs w:val="20"/>
          <w:color w:val="auto"/>
        </w:rPr>
      </w:pPr>
    </w:p>
    <w:p>
      <w:pPr>
        <w:jc w:val="both"/>
        <w:ind w:left="940" w:right="119" w:hanging="377"/>
        <w:spacing w:after="0" w:line="272" w:lineRule="auto"/>
        <w:rPr>
          <w:sz w:val="20"/>
          <w:szCs w:val="20"/>
          <w:color w:val="auto"/>
        </w:rPr>
      </w:pPr>
      <w:r>
        <w:rPr>
          <w:rFonts w:ascii="Arial" w:cs="Arial" w:eastAsia="Arial" w:hAnsi="Arial"/>
          <w:sz w:val="17"/>
          <w:szCs w:val="17"/>
          <w:color w:val="auto"/>
        </w:rPr>
        <w:t>4.2. Subject to Applicable Law, 102 Awards may not be granted to Controlling Shareholders and may only be granted to Employees, including officers and directors, of the Company or any Affiliate thereof, who are Israeli residents (“</w:t>
      </w:r>
      <w:r>
        <w:rPr>
          <w:rFonts w:ascii="Arial" w:cs="Arial" w:eastAsia="Arial" w:hAnsi="Arial"/>
          <w:sz w:val="17"/>
          <w:szCs w:val="17"/>
          <w:b w:val="1"/>
          <w:bCs w:val="1"/>
          <w:color w:val="auto"/>
        </w:rPr>
        <w:t>Eligible 102 Grantees</w:t>
      </w:r>
      <w:r>
        <w:rPr>
          <w:rFonts w:ascii="Arial" w:cs="Arial" w:eastAsia="Arial" w:hAnsi="Arial"/>
          <w:sz w:val="17"/>
          <w:szCs w:val="17"/>
          <w:color w:val="auto"/>
        </w:rPr>
        <w:t>”). Awards to Eligible 102 Grantees in Israel shall be 102 Awards. Eligible 102 Grantees may receive only 102 Awards, which may either be grants to a Trustee or grants under Section 102 without a trustee. Unless otherwise permitted by the Ordinance and the Rules, no 102 Awards to a Trustee may be granted until the expiration of thirty (30) days after the requisite filings under the Ordinance and the Rules have been appropriately made with the ITA.</w:t>
      </w:r>
    </w:p>
    <w:p>
      <w:pPr>
        <w:spacing w:after="0" w:line="178"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4.3. Subject to Applicable Law, Non-Employees who are Israeli residents and are not Eligible 102 Grantees may only be granted 3(9) Awards under this Plan.</w:t>
      </w:r>
    </w:p>
    <w:p>
      <w:pPr>
        <w:spacing w:after="0" w:line="184" w:lineRule="exact"/>
        <w:rPr>
          <w:sz w:val="20"/>
          <w:szCs w:val="20"/>
          <w:color w:val="auto"/>
        </w:rPr>
      </w:pPr>
    </w:p>
    <w:p>
      <w:pPr>
        <w:ind w:left="560" w:hanging="435"/>
        <w:spacing w:after="0"/>
        <w:tabs>
          <w:tab w:leader="none" w:pos="560" w:val="left"/>
        </w:tabs>
        <w:numPr>
          <w:ilvl w:val="0"/>
          <w:numId w:val="238"/>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6"/>
          <w:szCs w:val="16"/>
          <w:color w:val="auto"/>
        </w:rPr>
        <w:t>The number of Shares reserved for the grant of Awards under the Plan shall initially be 44,790 Shares, or such number as may be reserved for such purpose from time to time. The class of said Shares shall be designated by the Board with respect to each Award and the notice of grant shall reflect such designation. Any share underlying an Award granted hereunder which has expired, or was cancelled or terminated or forfeited for any reason without having been exercised, shall be automatically, and without any further action on the part of the Company or any Grantee, returned to the “pool” of reserved Shares hereunder and shall again be available for grant for the purposes of this Plan (unless this Plan shall have been terminated) or unless the Board determines otherwise. The Board may, subject to any other approvals required under any Applicable Law, increase or decrease the number of Shares to be reserved under the Plan. Such Shares may, in whole or in part, be authorized but unissued Shares, or Shares that shall have been or may be reacquired by the Company (to the extent permitted pursuant to the Companies Law) or by a trustee appointed by the Board under the relevant provisions of the Ordinance, the Companies Law or any equivalent provision. Any Shares which are not subject to outstanding options at the termination of the Plan shall cease to be reserved for the purpose of the Plan, but until termination of the Plan, the Company shall at all times reserve a sufficient number of Shares to meet the requirements of the Plan.</w:t>
      </w:r>
    </w:p>
    <w:p>
      <w:pPr>
        <w:spacing w:after="0" w:line="186" w:lineRule="exact"/>
        <w:rPr>
          <w:sz w:val="20"/>
          <w:szCs w:val="20"/>
          <w:color w:val="auto"/>
        </w:rPr>
      </w:pPr>
    </w:p>
    <w:p>
      <w:pPr>
        <w:ind w:left="560" w:hanging="435"/>
        <w:spacing w:after="0"/>
        <w:tabs>
          <w:tab w:leader="none" w:pos="560" w:val="left"/>
        </w:tabs>
        <w:numPr>
          <w:ilvl w:val="0"/>
          <w:numId w:val="239"/>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AND CONDITIONS OF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Each Option granted pursuant to the Plan shall be evidenced by a written agreement between the Company and the Grantee or a written notice delivered by the Company and accepted by the Grantee (the “</w:t>
      </w:r>
      <w:r>
        <w:rPr>
          <w:rFonts w:ascii="Arial" w:cs="Arial" w:eastAsia="Arial" w:hAnsi="Arial"/>
          <w:sz w:val="16"/>
          <w:szCs w:val="16"/>
          <w:b w:val="1"/>
          <w:bCs w:val="1"/>
          <w:color w:val="auto"/>
        </w:rPr>
        <w:t>Option Agreement</w:t>
      </w:r>
      <w:r>
        <w:rPr>
          <w:rFonts w:ascii="Arial" w:cs="Arial" w:eastAsia="Arial" w:hAnsi="Arial"/>
          <w:sz w:val="16"/>
          <w:szCs w:val="16"/>
          <w:color w:val="auto"/>
        </w:rPr>
        <w:t>”), in such form and containing such terms and conditions as the Committee shall from time to time approve, which Option Agreement shall comply with and be subject to the following terms and conditions, unless otherwise specifically provided in such Option Agreement or the terms referred to in Sections 9 and 10 below. For purposes of interpreting this Section 6, a director’s service as a member of the Board or the services of an officer, as the case may be, shall be deemed to be employment with the Company or its Subsidiary or Affiliate.</w:t>
      </w:r>
    </w:p>
    <w:p>
      <w:pPr>
        <w:spacing w:after="0" w:line="167" w:lineRule="exact"/>
        <w:rPr>
          <w:sz w:val="20"/>
          <w:szCs w:val="20"/>
          <w:color w:val="auto"/>
        </w:rPr>
      </w:pPr>
    </w:p>
    <w:p>
      <w:pPr>
        <w:ind w:left="560"/>
        <w:spacing w:after="0"/>
        <w:tabs>
          <w:tab w:leader="none" w:pos="2440" w:val="left"/>
        </w:tabs>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Option Agreement shall state the number of Shares covered by the Option.</w:t>
      </w:r>
    </w:p>
    <w:p>
      <w:pPr>
        <w:spacing w:after="0" w:line="225"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Type of Option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Option Agreement shall specifically state the type of Option granted thereunder and whether it constitutes an Incentive Stock Option, Nonqualified Stock Option, 102 Option Award and the relevant track, 3(9) Option Award, or otherwise.</w:t>
      </w:r>
    </w:p>
    <w:p>
      <w:pPr>
        <w:spacing w:after="0" w:line="181" w:lineRule="exact"/>
        <w:rPr>
          <w:sz w:val="20"/>
          <w:szCs w:val="20"/>
          <w:color w:val="auto"/>
        </w:rPr>
      </w:pPr>
    </w:p>
    <w:p>
      <w:pPr>
        <w:jc w:val="both"/>
        <w:ind w:left="940" w:right="119" w:hanging="377"/>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Option Agreement shall state the Exercise Price, which, in the case of an Incentive Stock Option, shall not be less than one hundred percent (100%) of the Fair Market Value of the Shares covered by the Option on the date of grant or such other amount as may be required pursuant to the Code. In the case of any other Option, the per share Exercise Price shall be equal to the amount determined by the Committee. In the case of an Incentive Stock Option granted to any Ten-Percent Shareholder, the Exercise Price shall be no less than 110% of the Fair Market Value of the Shares covered by the Option on the date of grant. In no event shall the Exercise Price of 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0" w:name="page201"/>
    <w:bookmarkEnd w:id="200"/>
    <w:p>
      <w:pPr>
        <w:jc w:val="both"/>
        <w:ind w:left="940" w:right="119"/>
        <w:spacing w:after="0" w:line="264" w:lineRule="auto"/>
        <w:rPr>
          <w:sz w:val="20"/>
          <w:szCs w:val="20"/>
          <w:color w:val="auto"/>
        </w:rPr>
      </w:pPr>
      <w:r>
        <w:rPr>
          <w:rFonts w:ascii="Arial" w:cs="Arial" w:eastAsia="Arial" w:hAnsi="Arial"/>
          <w:sz w:val="18"/>
          <w:szCs w:val="18"/>
          <w:color w:val="auto"/>
        </w:rPr>
        <w:t>Option be less than the par value of the shares for which such Option is exercisable. Subject to Section 3 and to the foregoing, the Committee may reduce the Exercise Price of any outstanding Option. The Exercise Price shall also be subject to adjustment as provided in Section 14 hereof.</w:t>
      </w:r>
    </w:p>
    <w:p>
      <w:pPr>
        <w:spacing w:after="0" w:line="181" w:lineRule="exact"/>
        <w:rPr>
          <w:sz w:val="20"/>
          <w:szCs w:val="20"/>
          <w:color w:val="auto"/>
        </w:rPr>
      </w:pPr>
    </w:p>
    <w:p>
      <w:pPr>
        <w:jc w:val="both"/>
        <w:ind w:left="940" w:right="119" w:hanging="377"/>
        <w:spacing w:after="0" w:line="28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r>
        <w:rPr>
          <w:sz w:val="20"/>
          <w:szCs w:val="20"/>
          <w:color w:val="auto"/>
        </w:rPr>
        <w:t xml:space="preserve"> </w:t>
      </w:r>
      <w:r>
        <w:rPr>
          <w:rFonts w:ascii="Arial" w:cs="Arial" w:eastAsia="Arial" w:hAnsi="Arial"/>
          <w:sz w:val="16"/>
          <w:szCs w:val="16"/>
          <w:color w:val="auto"/>
        </w:rPr>
        <w:t>An Option may be exercised, as to any or all Shares as to which the Option has become exercisable, by written notice delivered in person or by mail to the Secretary of the Company or to such other person as determined by the Committee, specifying the number of Shares with respect to which the Option is being exercised, accompanied by payment of the Exercise Price for such Shares in the manner specified in the following sentence. The Exercise Price shall be paid in full with respect to each Share, at the time of exercise, either in (i) cash, (ii) if the Company’s shares are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publicly traded,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w:t>
      </w:r>
    </w:p>
    <w:p>
      <w:pPr>
        <w:spacing w:after="0" w:line="175" w:lineRule="exact"/>
        <w:rPr>
          <w:sz w:val="20"/>
          <w:szCs w:val="20"/>
          <w:color w:val="auto"/>
        </w:rPr>
      </w:pPr>
    </w:p>
    <w:p>
      <w:pPr>
        <w:jc w:val="both"/>
        <w:ind w:left="940" w:right="119" w:hanging="377"/>
        <w:spacing w:after="0" w:line="28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 and Vesting of Options</w:t>
      </w:r>
      <w:r>
        <w:rPr>
          <w:rFonts w:ascii="Arial" w:cs="Arial" w:eastAsia="Arial" w:hAnsi="Arial"/>
          <w:sz w:val="18"/>
          <w:szCs w:val="18"/>
          <w:color w:val="auto"/>
        </w:rPr>
        <w:t>.</w:t>
      </w:r>
      <w:r>
        <w:rPr>
          <w:sz w:val="20"/>
          <w:szCs w:val="20"/>
          <w:color w:val="auto"/>
        </w:rPr>
        <w:t xml:space="preserve"> </w:t>
      </w:r>
      <w:r>
        <w:rPr>
          <w:rFonts w:ascii="Arial" w:cs="Arial" w:eastAsia="Arial" w:hAnsi="Arial"/>
          <w:sz w:val="16"/>
          <w:szCs w:val="16"/>
          <w:color w:val="auto"/>
        </w:rPr>
        <w:t>Each Option Agreement shall provide the vesting schedule for the Option as determined by the Committee. To the extent permitted under Applicable Law, the Committee shall have the authority to determine the vesting schedule and accelerate the vesting of any outstanding Option at such time and under such circumstances as it, in its sole discretion, deems appropriate. Unless otherwise resolved by the Committee and stated in the Option Agreement, and subject to Sections 6.6 and 6.7 hereof, Options shall vest and become exercisable under the following schedule: fifty percent (50%) of the Shares covered by the Option, on the second anniversary of the date on which such Option is granted, provided that the Grantee remains continuously employed by or in the service of the Company or its Subsidiary or Affiliate for that respective two-year period, and twenty five percent (25%) of the Shares covered by the Option at the end of each subsequent anniversary, provided that the Grantee remains continuously employed by or in the service of the Company or its Subsidiary or Affiliate for that respective year, over the course of the following two (2) years of continued employment by or service for the Company or its Subsidiary or Affiliate. The Option Agreement may contain performance goals and measurements, and the provisions with respect to any Option need not be the same as the provisions with respect to any other Option. The Exercise Period of an Option will be seven (7) years from the date of grant of the Option unless otherwise determined by the Committee, but subject to the vesting provisions described above and the early termination provisions set forth in Sections 6.6 and 6.7 hereof; provided, however, that in the case of an Incentive Stock Option granted to a Ten Percent Shareholder, such Exercise Period shall not exceed five (5) years from the date of grant of such Option. At the expiration of the Exercise Period, all unexercised Options shall become null and void.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left="1320" w:right="119" w:hanging="377"/>
        <w:spacing w:after="0" w:line="285" w:lineRule="auto"/>
        <w:rPr>
          <w:sz w:val="20"/>
          <w:szCs w:val="20"/>
          <w:color w:val="auto"/>
        </w:rPr>
      </w:pPr>
      <w:r>
        <w:rPr>
          <w:rFonts w:ascii="Arial" w:cs="Arial" w:eastAsia="Arial" w:hAnsi="Arial"/>
          <w:sz w:val="16"/>
          <w:szCs w:val="16"/>
          <w:color w:val="auto"/>
        </w:rPr>
        <w:t>6.6.1. Except as provided in this Section 6.6 and in Section 6.7 hereof, an Option may not be exercised unless the Grantee is then in the employ of or maintaining a director, officer, consultant, advisor or supplier relationship with the Company or a Subsidiary or Affiliate thereof or, in the case of an Incentive Stock Option, a company or a parent or subsidiary company of such company issuing or assuming the Option in a transaction to which Section 424(a) of the Code applies, and unless the Grantee has remained continuously so employed or in the director, officer, supplier, consultant, or advisor relationship since the date of grant of the Option. In the event that the employment or director, officer or consultant, advisor or supplier relationship of a Grantee shall terminate (other than by reason of death, Disability or Retirement), all Options of such Grantee that are vested and exercisable at the time of such termination may, unless earlier terminated in accordance with their terms, be exercised within up to ninety (90) days after the date of such termination (or such different period as the Committee shall prescribe); provided, however, that if the Company (or the Subsidiary or Affiliate, when applicable) shall terminate the Grantee’s employment or service for Cause (as defined below) or if, whether or not the Grantee’s employment is terminated by either party, circumstances arise or are discovered with respect to the Grantee that would have constituted Cause for termination of his or her employment or service, all Options theretofore granted to such Grantee (whether vested or not) shall, to the extent not theretofore exercised, terminate on the date of such termination (or on which such circumstance arise or are discovered, as the case may be) unless otherwise determined by the Committee.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1" w:name="page202"/>
    <w:bookmarkEnd w:id="201"/>
    <w:p>
      <w:pPr>
        <w:jc w:val="both"/>
        <w:ind w:left="1740" w:right="119" w:hanging="647"/>
        <w:spacing w:after="0" w:line="270" w:lineRule="auto"/>
        <w:tabs>
          <w:tab w:leader="none" w:pos="172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7"/>
          <w:szCs w:val="17"/>
          <w:color w:val="auto"/>
        </w:rPr>
        <w:t>In the case of a Grantee whose principal employer is a Subsidiary or Affiliate, the Grantee’s employment shall also be deemed terminated for purposes of this Section 6.6 as of the date on which such principal employer ceases to be a Subsidiary or Affiliate. Notwithstanding anything to the contrary, the Committee, in its absolute discretion may, on such terms and conditions as it may determine appropriate, extend the periods for which the Options held by any individual may continue to vest and be exercisable; provided, that such Options may lose their status as Incentive Stock Options under applicable law and be deemed Nonqualified Stock Options in the event that the period of vesting and/or exercisability of any option is extended beyond the later of: (i) one hundred and eighty (180) days after the date of cessation of employment or performance of services; or (ii) the applicable period under Section 6.7 below.</w:t>
      </w:r>
    </w:p>
    <w:p>
      <w:pPr>
        <w:spacing w:after="0" w:line="174" w:lineRule="exact"/>
        <w:rPr>
          <w:sz w:val="20"/>
          <w:szCs w:val="20"/>
          <w:color w:val="auto"/>
        </w:rPr>
      </w:pPr>
    </w:p>
    <w:p>
      <w:pPr>
        <w:jc w:val="both"/>
        <w:ind w:left="1740" w:right="119" w:hanging="647"/>
        <w:spacing w:after="0" w:line="285" w:lineRule="auto"/>
        <w:tabs>
          <w:tab w:leader="none" w:pos="1720" w:val="left"/>
        </w:tabs>
        <w:rPr>
          <w:sz w:val="20"/>
          <w:szCs w:val="20"/>
          <w:color w:val="auto"/>
        </w:rPr>
      </w:pPr>
      <w:r>
        <w:rPr>
          <w:rFonts w:ascii="Arial" w:cs="Arial" w:eastAsia="Arial" w:hAnsi="Arial"/>
          <w:sz w:val="18"/>
          <w:szCs w:val="18"/>
          <w:color w:val="auto"/>
        </w:rPr>
        <w:t>6.6.3.</w:t>
      </w:r>
      <w:r>
        <w:rPr>
          <w:sz w:val="20"/>
          <w:szCs w:val="20"/>
          <w:color w:val="auto"/>
        </w:rPr>
        <w:tab/>
      </w:r>
      <w:r>
        <w:rPr>
          <w:rFonts w:ascii="Arial" w:cs="Arial" w:eastAsia="Arial" w:hAnsi="Arial"/>
          <w:sz w:val="16"/>
          <w:szCs w:val="16"/>
          <w:color w:val="auto"/>
        </w:rPr>
        <w:t>For purposes of this Plan, the term “</w:t>
      </w:r>
      <w:r>
        <w:rPr>
          <w:rFonts w:ascii="Arial" w:cs="Arial" w:eastAsia="Arial" w:hAnsi="Arial"/>
          <w:sz w:val="16"/>
          <w:szCs w:val="16"/>
          <w:b w:val="1"/>
          <w:bCs w:val="1"/>
          <w:color w:val="auto"/>
        </w:rPr>
        <w:t>Cause</w:t>
      </w:r>
      <w:r>
        <w:rPr>
          <w:rFonts w:ascii="Arial" w:cs="Arial" w:eastAsia="Arial" w:hAnsi="Arial"/>
          <w:sz w:val="16"/>
          <w:szCs w:val="16"/>
          <w:color w:val="auto"/>
        </w:rPr>
        <w:t>” shall mean any of the following: (a) fraud, embezzlement or felony or similar act by the Grantee; (b) an act of moral turpitude by the Grantee, or any act that causes significant injury to the reputation, business, assets, operations or business relationship of the Company (or a Subsidiary or Affiliate, when applicable); (c) any material breach by the Grantee of an agreement between the Company or any Subsidiary or Affiliate and the Grantee (including material breach of confidentiality, non-competition or non-solicitation covenants) or of any duty of the Grantee to the Company or any Subsidiary or Affiliate thereof; or</w:t>
      </w:r>
    </w:p>
    <w:p>
      <w:pPr>
        <w:spacing w:after="0" w:line="2" w:lineRule="exact"/>
        <w:rPr>
          <w:sz w:val="20"/>
          <w:szCs w:val="20"/>
          <w:color w:val="auto"/>
        </w:rPr>
      </w:pPr>
    </w:p>
    <w:p>
      <w:pPr>
        <w:jc w:val="both"/>
        <w:ind w:left="1740" w:right="119" w:firstLine="5"/>
        <w:spacing w:after="0" w:line="255" w:lineRule="auto"/>
        <w:tabs>
          <w:tab w:leader="none" w:pos="204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circumstances that constitute grounds for termination for cause under the Grantee’s employment, consulting or service agreement with the Company or Subsidiary or Affiliate, to the extent applicable.</w:t>
      </w:r>
    </w:p>
    <w:p>
      <w:pPr>
        <w:spacing w:after="0" w:line="190" w:lineRule="exact"/>
        <w:rPr>
          <w:sz w:val="20"/>
          <w:szCs w:val="20"/>
          <w:color w:val="auto"/>
        </w:rPr>
      </w:pPr>
    </w:p>
    <w:p>
      <w:pPr>
        <w:jc w:val="both"/>
        <w:ind w:left="1020" w:right="119" w:hanging="521"/>
        <w:spacing w:after="0" w:line="285" w:lineRule="auto"/>
        <w:tabs>
          <w:tab w:leader="none" w:pos="10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Death, Disability or Retirement of Grantee</w:t>
      </w:r>
      <w:r>
        <w:rPr>
          <w:rFonts w:ascii="Arial" w:cs="Arial" w:eastAsia="Arial" w:hAnsi="Arial"/>
          <w:sz w:val="16"/>
          <w:szCs w:val="16"/>
          <w:color w:val="auto"/>
        </w:rPr>
        <w:t>. If a Grantee shall die while employed by, or performing service</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 the Company or a Subsidiary, or within the three (3) month period after the date of termination of such Grantee’s employment or service (or within such different period as the Committee may have provided pursuant to Section 6.6 hereof), or if the Grantee’s employment or service shall terminate by reason of Disability, all Options theretofore granted to such Grantee may (to the extent otherwise vested and exercisable and unless earlier terminated in accordance with their terms), be exercised by the Grantee or by the Grantee’s estate or by a person who acquired the right to exercise such Options by bequest or inheritance or otherwise by result of death or Disability of the Grantee, at any time within one (1) year after the death or Disability of the Grantee (or such different period as the Committee shall prescribe).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 In the event that the employment or service of a Grantee shall terminate on account of such Grantee’s Retirement, all Options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78"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Board of Directors or the Committee provides otherwise, vesting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granted hereunder shall be suspended during any unpaid leave of absence, other than in the case of any (a) leave of absence which was pre-approved by the Company for purposes of continuing the vesting of Options, or (b) transfers between locations of the Company or between the Company, any Affiliate, or any respective successor thereof.</w:t>
      </w:r>
    </w:p>
    <w:p>
      <w:pPr>
        <w:spacing w:after="0" w:line="188"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Voting Proxy</w:t>
      </w:r>
      <w:r>
        <w:rPr>
          <w:rFonts w:ascii="Arial" w:cs="Arial" w:eastAsia="Arial" w:hAnsi="Arial"/>
          <w:sz w:val="16"/>
          <w:szCs w:val="16"/>
          <w:color w:val="auto"/>
        </w:rPr>
        <w:t>. Until immediately after the listing for trading on a stock exchange or market or trading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system of the Company’s (or the Successor Corporation’s) shares, the right to vote any Shares acquired under this Plan pursuant to an Award shall, unless otherwise determined by the Committee, be given by the Grantee or the Trustee (if so requested from the Trustee and agreed by the Trustee), as the case may be, pursuant to an irrevocable proxy, to the person or persons designated by the Board. All Awards granted hereunder shall be conditioned upon the execution of such irrevocable proxy. So long as any such Shares are held by a Trustee (and unless a proxy was given by the Trustee as aforesaid), such Shares shall be voted by the Trustee, and unless the Trustee is directed otherwise by the Board, such Shares shall be voted in the same proportion as the result of the shareholder vote at the shareholders meeting or written consent in respect of which the Shares held by the Trustee are being voted. Any irrevocable proxy granted pursuant hereto shall be of no force or effect immediately after the listing for trading on a stock exchange or market or trading system of the Company’s (or the Successor Corporation’s) shares. The provisions of this Section shall apply to the Grantee and to any purchaser, assignee or transferee of any Shares.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2" w:name="page203"/>
    <w:bookmarkEnd w:id="202"/>
    <w:p>
      <w:pPr>
        <w:jc w:val="both"/>
        <w:ind w:left="1100" w:right="119" w:hanging="521"/>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Provisions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Option Agreement evidencing Awards under the Plan shall contain such other terms and conditions not inconsistent with the Plan as the Committee may determine, at or after the date of grant, including without limitation, provisions in connection with the restrictions on transferring the Awards, which shall be binding upon the Grantees and other terms and conditions as the Committee shall deem appropriate.</w:t>
      </w:r>
    </w:p>
    <w:p>
      <w:pPr>
        <w:spacing w:after="0" w:line="188" w:lineRule="exact"/>
        <w:rPr>
          <w:sz w:val="20"/>
          <w:szCs w:val="20"/>
          <w:color w:val="auto"/>
        </w:rPr>
      </w:pPr>
    </w:p>
    <w:p>
      <w:pPr>
        <w:jc w:val="both"/>
        <w:ind w:left="1100" w:right="119" w:hanging="521"/>
        <w:spacing w:after="0" w:line="25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Israeli Index Base for 102 Awards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102 Award will be subject to the Israeli index base of the Value of Benefit, as defined in Section 102(a) of the Ordinance, as determined by the Committee in its discretion, pursuant to the Rules, from time to time. In the event that the Company effects a public offering of its shares in any stock exchange outside of Israel, the Committee may amend retroactively the Israeli index base, pursuant to the Rules, without the Grantee’s consent.</w:t>
      </w:r>
    </w:p>
    <w:p>
      <w:pPr>
        <w:spacing w:after="0" w:line="202" w:lineRule="exact"/>
        <w:rPr>
          <w:sz w:val="20"/>
          <w:szCs w:val="20"/>
          <w:color w:val="auto"/>
        </w:rPr>
      </w:pPr>
    </w:p>
    <w:p>
      <w:pPr>
        <w:ind w:left="560" w:hanging="435"/>
        <w:spacing w:after="0"/>
        <w:tabs>
          <w:tab w:leader="none" w:pos="560"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NONQUALIFIED STOCK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86" w:lineRule="auto"/>
        <w:rPr>
          <w:sz w:val="20"/>
          <w:szCs w:val="20"/>
          <w:color w:val="auto"/>
        </w:rPr>
      </w:pPr>
      <w:r>
        <w:rPr>
          <w:rFonts w:ascii="Arial" w:cs="Arial" w:eastAsia="Arial" w:hAnsi="Arial"/>
          <w:sz w:val="17"/>
          <w:szCs w:val="17"/>
          <w:color w:val="auto"/>
        </w:rPr>
        <w:t>Options granted pursuant to this Section 7 are intended to constitute Nonqualified Stock Options and shall be subject to the general terms and conditions specified in Section 6 hereof and other provisions of the Plan, except for any provisions of the Plan applying to Options under different tax laws or regulations.</w:t>
      </w:r>
    </w:p>
    <w:p>
      <w:pPr>
        <w:spacing w:after="0" w:line="179" w:lineRule="exact"/>
        <w:rPr>
          <w:sz w:val="20"/>
          <w:szCs w:val="20"/>
          <w:color w:val="auto"/>
        </w:rPr>
      </w:pPr>
    </w:p>
    <w:p>
      <w:pPr>
        <w:ind w:left="560" w:hanging="435"/>
        <w:spacing w:after="0"/>
        <w:tabs>
          <w:tab w:leader="none" w:pos="560" w:val="left"/>
        </w:tabs>
        <w:numPr>
          <w:ilvl w:val="0"/>
          <w:numId w:val="242"/>
        </w:numPr>
        <w:rPr>
          <w:rFonts w:ascii="Arial" w:cs="Arial" w:eastAsia="Arial" w:hAnsi="Arial"/>
          <w:sz w:val="22"/>
          <w:szCs w:val="22"/>
          <w:color w:val="auto"/>
        </w:rPr>
      </w:pPr>
      <w:r>
        <w:rPr>
          <w:rFonts w:ascii="Arial" w:cs="Arial" w:eastAsia="Arial" w:hAnsi="Arial"/>
          <w:sz w:val="22"/>
          <w:szCs w:val="22"/>
          <w:b w:val="1"/>
          <w:bCs w:val="1"/>
          <w:u w:val="single" w:color="auto"/>
          <w:color w:val="auto"/>
        </w:rPr>
        <w:t>INCENTIVE STOCK OPTIONS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9" w:lineRule="auto"/>
        <w:rPr>
          <w:sz w:val="20"/>
          <w:szCs w:val="20"/>
          <w:color w:val="auto"/>
        </w:rPr>
      </w:pPr>
      <w:r>
        <w:rPr>
          <w:rFonts w:ascii="Arial" w:cs="Arial" w:eastAsia="Arial" w:hAnsi="Arial"/>
          <w:sz w:val="18"/>
          <w:szCs w:val="18"/>
          <w:color w:val="auto"/>
        </w:rPr>
        <w:t>Options granted pursuant to this Section 8 are intended to constitute Incentive Stock Options and shall be granted subject to the following special terms and conditions, the general terms and conditions specified in Section 6 hereof and other provisions of the Plan, except for any provisions of the Plan applying to Options under different tax laws or regulations:</w:t>
      </w:r>
    </w:p>
    <w:p>
      <w:pPr>
        <w:spacing w:after="0" w:line="187" w:lineRule="exact"/>
        <w:rPr>
          <w:sz w:val="20"/>
          <w:szCs w:val="20"/>
          <w:color w:val="auto"/>
        </w:rPr>
      </w:pPr>
    </w:p>
    <w:p>
      <w:pPr>
        <w:jc w:val="both"/>
        <w:ind w:left="1040" w:right="119" w:hanging="521"/>
        <w:spacing w:after="0" w:line="269" w:lineRule="auto"/>
        <w:tabs>
          <w:tab w:leader="none" w:pos="10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Value of Shares</w:t>
      </w:r>
      <w:r>
        <w:rPr>
          <w:rFonts w:ascii="Arial" w:cs="Arial" w:eastAsia="Arial" w:hAnsi="Arial"/>
          <w:sz w:val="17"/>
          <w:szCs w:val="17"/>
          <w:color w:val="auto"/>
        </w:rPr>
        <w:t>. The aggregate Fair Market Value (determined as of the date the Incentive Stock Option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granted) of the Shares with respect to which all Incentive Stock Options granted under this Plan and all other option plans of any Subsidiary or Affiliate become exercisable for the first time by each Grantee during any calendar year shall not exceed one hundred thousand United States dollars ($100,000) with respect to such Grantee. To the extent that the aggregate Fair Market Value of Shares with respect to which the Incentive Stock Options are exercisable for the first time by any Grantee during any calendar years exceeds one hundred thousand United States dollars ($100,000), such Options shall be treated as Nonqualified Stock Options. The foregoing shall be applied by taking options into account in the order in which they were granted, with the Fair Market Value of any Share to be determined at the time of the grant of the Option. In the event the foregoing results in the portion of an Incentive Stock Option exceeding the one hundred thousand United States dollars ($100,000) limitation, only such excess shall be treated as a Nonqualified Stock Option.</w:t>
      </w:r>
    </w:p>
    <w:p>
      <w:pPr>
        <w:spacing w:after="0" w:line="180" w:lineRule="exact"/>
        <w:rPr>
          <w:sz w:val="20"/>
          <w:szCs w:val="20"/>
          <w:color w:val="auto"/>
        </w:rPr>
      </w:pPr>
    </w:p>
    <w:p>
      <w:pPr>
        <w:jc w:val="both"/>
        <w:ind w:left="1020" w:right="119" w:hanging="521"/>
        <w:spacing w:after="0" w:line="288" w:lineRule="auto"/>
        <w:tabs>
          <w:tab w:leader="none" w:pos="1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In the case of an Incentive Stock Option granted to a Ten Percent Shareholder, (i)</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Exercise Price shall not be less than one hundred and ten percent (110%) of the Fair Market Value of the Shares on the date of grant of such Incentive Stock Option, and (ii) the Exercise Period shall not exceed five</w:t>
      </w:r>
    </w:p>
    <w:p>
      <w:pPr>
        <w:ind w:left="1100"/>
        <w:spacing w:after="0"/>
        <w:rPr>
          <w:sz w:val="20"/>
          <w:szCs w:val="20"/>
          <w:color w:val="auto"/>
        </w:rPr>
      </w:pPr>
      <w:r>
        <w:rPr>
          <w:rFonts w:ascii="Arial" w:cs="Arial" w:eastAsia="Arial" w:hAnsi="Arial"/>
          <w:sz w:val="18"/>
          <w:szCs w:val="18"/>
          <w:color w:val="auto"/>
        </w:rPr>
        <w:t>(5) years from the date of grant of such Incentive Stock Option.</w:t>
      </w:r>
    </w:p>
    <w:p>
      <w:pPr>
        <w:spacing w:after="0" w:line="211"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Incentive Stock Option Lock-Up Period</w:t>
      </w:r>
      <w:r>
        <w:rPr>
          <w:rFonts w:ascii="Arial" w:cs="Arial" w:eastAsia="Arial" w:hAnsi="Arial"/>
          <w:sz w:val="18"/>
          <w:szCs w:val="18"/>
          <w:color w:val="auto"/>
        </w:rPr>
        <w:t>. No disposition of Shares received pursuant to the exercise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Incentive Stock Options (“</w:t>
      </w:r>
      <w:r>
        <w:rPr>
          <w:rFonts w:ascii="Arial" w:cs="Arial" w:eastAsia="Arial" w:hAnsi="Arial"/>
          <w:sz w:val="18"/>
          <w:szCs w:val="18"/>
          <w:b w:val="1"/>
          <w:bCs w:val="1"/>
          <w:color w:val="auto"/>
        </w:rPr>
        <w:t>ISO Shares</w:t>
      </w:r>
      <w:r>
        <w:rPr>
          <w:rFonts w:ascii="Arial" w:cs="Arial" w:eastAsia="Arial" w:hAnsi="Arial"/>
          <w:sz w:val="18"/>
          <w:szCs w:val="18"/>
          <w:color w:val="auto"/>
        </w:rPr>
        <w:t>”), shall be made by the Grantee within 2 years from the date of grant, nor within 1 year after the transfer of such ISO Shares to him. To the extent that the Grantee violates the aforementioned limitations, the Incentive Stock Options shall be deemed to be Nonqualified Stock Options.</w:t>
      </w:r>
    </w:p>
    <w:p>
      <w:pPr>
        <w:spacing w:after="0" w:line="188"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Approval</w:t>
      </w:r>
      <w:r>
        <w:rPr>
          <w:rFonts w:ascii="Arial" w:cs="Arial" w:eastAsia="Arial" w:hAnsi="Arial"/>
          <w:sz w:val="18"/>
          <w:szCs w:val="18"/>
          <w:color w:val="auto"/>
        </w:rPr>
        <w:t>. The status of any ISO Shares shall be subject to approval of the Plan by the Company’s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shareholders, such approval to be provided 12 months before or after the date of adoption of the Plan by the Board of Directors.</w:t>
      </w:r>
    </w:p>
    <w:p>
      <w:pPr>
        <w:spacing w:after="0" w:line="181" w:lineRule="exact"/>
        <w:rPr>
          <w:sz w:val="20"/>
          <w:szCs w:val="20"/>
          <w:color w:val="auto"/>
        </w:rPr>
      </w:pPr>
    </w:p>
    <w:p>
      <w:pPr>
        <w:jc w:val="both"/>
        <w:ind w:left="1100" w:right="119" w:hanging="521"/>
        <w:spacing w:after="0" w:line="276" w:lineRule="auto"/>
        <w:tabs>
          <w:tab w:leader="none" w:pos="10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Exercise Following Termination</w:t>
      </w:r>
      <w:r>
        <w:rPr>
          <w:rFonts w:ascii="Arial" w:cs="Arial" w:eastAsia="Arial" w:hAnsi="Arial"/>
          <w:sz w:val="17"/>
          <w:szCs w:val="17"/>
          <w:color w:val="auto"/>
        </w:rPr>
        <w:t>. Notwithstanding anything else in this Plan to the contrary, Incentive</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Options that are not exercised within ninety (90) days following termination of Grantee’s employment in the Company or its Affiliates and Subsidiaries, or within one year in case of termination of Grantee’s employment in the Company or its Affiliates and Subsidiaries due to a disability (within the meaning of section 22(e)(3) of the Code), shall be deemed to be Nonqualified Stock Options.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3" w:name="page204"/>
    <w:bookmarkEnd w:id="203"/>
    <w:p>
      <w:pPr>
        <w:jc w:val="both"/>
        <w:ind w:left="1020" w:right="119" w:hanging="521"/>
        <w:spacing w:after="0" w:line="273" w:lineRule="auto"/>
        <w:tabs>
          <w:tab w:leader="none" w:pos="10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Adjustments to Incentive Stock Options</w:t>
      </w:r>
      <w:r>
        <w:rPr>
          <w:rFonts w:ascii="Arial" w:cs="Arial" w:eastAsia="Arial" w:hAnsi="Arial"/>
          <w:sz w:val="17"/>
          <w:szCs w:val="17"/>
          <w:color w:val="auto"/>
        </w:rPr>
        <w:t>. Any Option Agreement providing for the grant of Incentive Stock</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Options shall indicate that adjustments made pursuant to the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178"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u w:val="single" w:color="auto"/>
          <w:color w:val="auto"/>
        </w:rPr>
        <w:t>Notice to Company of Disqualifying Disposition</w:t>
      </w:r>
      <w:r>
        <w:rPr>
          <w:rFonts w:ascii="Arial" w:cs="Arial" w:eastAsia="Arial" w:hAnsi="Arial"/>
          <w:sz w:val="17"/>
          <w:szCs w:val="17"/>
          <w:color w:val="auto"/>
        </w:rPr>
        <w:t>. Each Grantee who receives an Incentive Stock Option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must agree to notify the Company in writing immediately after the Grantee makes a Disqualifying Disposition of any ISO Shares. A “Disqualifying Disposition” is any disposition (including any sale) of such ISO Shares before the later of (i) two years after the date the Grantee was granted the Incentive Stock Option, or (ii) one year after the date the Grantee acquired Shares by exercising the Incentive Stock Option. If the Grantee dies before such ISO Shares are sold, these holding period requirements do not apply and no disposition of the ISO Shares will be deemed a Disqualifying Disposition.</w:t>
      </w:r>
    </w:p>
    <w:p>
      <w:pPr>
        <w:spacing w:after="0" w:line="192" w:lineRule="exact"/>
        <w:rPr>
          <w:sz w:val="20"/>
          <w:szCs w:val="20"/>
          <w:color w:val="auto"/>
        </w:rPr>
      </w:pPr>
    </w:p>
    <w:p>
      <w:pPr>
        <w:ind w:left="560" w:hanging="435"/>
        <w:spacing w:after="0"/>
        <w:tabs>
          <w:tab w:leader="none" w:pos="560"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102 OPTION AWARDS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291" w:lineRule="auto"/>
        <w:tabs>
          <w:tab w:leader="none" w:pos="10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Options granted pursuant to this Section 9 are intended to be granted pursuant to Section 102 of the Ordinance pursuant to either (a) Section 102(b)(2) thereof as capital gains track options (“</w:t>
      </w:r>
      <w:r>
        <w:rPr>
          <w:rFonts w:ascii="Arial" w:cs="Arial" w:eastAsia="Arial" w:hAnsi="Arial"/>
          <w:sz w:val="16"/>
          <w:szCs w:val="16"/>
          <w:b w:val="1"/>
          <w:bCs w:val="1"/>
          <w:color w:val="auto"/>
        </w:rPr>
        <w:t>102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Gains Track Options</w:t>
      </w:r>
      <w:r>
        <w:rPr>
          <w:rFonts w:ascii="Arial" w:cs="Arial" w:eastAsia="Arial" w:hAnsi="Arial"/>
          <w:sz w:val="16"/>
          <w:szCs w:val="16"/>
          <w:color w:val="auto"/>
        </w:rPr>
        <w:t>”), or (b) Section 102(b)(1) thereof as ordinary income track options (“</w:t>
      </w:r>
      <w:r>
        <w:rPr>
          <w:rFonts w:ascii="Arial" w:cs="Arial" w:eastAsia="Arial" w:hAnsi="Arial"/>
          <w:sz w:val="16"/>
          <w:szCs w:val="16"/>
          <w:b w:val="1"/>
          <w:bCs w:val="1"/>
          <w:color w:val="auto"/>
        </w:rPr>
        <w:t>102 Ordinary Income Track Options</w:t>
      </w:r>
      <w:r>
        <w:rPr>
          <w:rFonts w:ascii="Arial" w:cs="Arial" w:eastAsia="Arial" w:hAnsi="Arial"/>
          <w:sz w:val="16"/>
          <w:szCs w:val="16"/>
          <w:color w:val="auto"/>
        </w:rPr>
        <w:t>”; together with 102 Capital Gains Track Options, “</w:t>
      </w:r>
      <w:r>
        <w:rPr>
          <w:rFonts w:ascii="Arial" w:cs="Arial" w:eastAsia="Arial" w:hAnsi="Arial"/>
          <w:sz w:val="16"/>
          <w:szCs w:val="16"/>
          <w:b w:val="1"/>
          <w:bCs w:val="1"/>
          <w:color w:val="auto"/>
        </w:rPr>
        <w:t>102 Trustee Options</w:t>
      </w:r>
      <w:r>
        <w:rPr>
          <w:rFonts w:ascii="Arial" w:cs="Arial" w:eastAsia="Arial" w:hAnsi="Arial"/>
          <w:sz w:val="16"/>
          <w:szCs w:val="16"/>
          <w:color w:val="auto"/>
        </w:rPr>
        <w:t>”). 102</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Options shall be granted subject to the following special terms and conditions contained in this Section 9, the general terms and conditions specified in Section 6 hereof and other provisions of the Plan, except for any provisions of the Plan applying to Options under different tax laws or regulations.</w:t>
      </w:r>
    </w:p>
    <w:p>
      <w:pPr>
        <w:spacing w:after="0" w:line="167" w:lineRule="exact"/>
        <w:rPr>
          <w:sz w:val="20"/>
          <w:szCs w:val="20"/>
          <w:color w:val="auto"/>
        </w:rPr>
      </w:pPr>
    </w:p>
    <w:p>
      <w:pPr>
        <w:jc w:val="both"/>
        <w:ind w:left="1020" w:right="119" w:hanging="521"/>
        <w:spacing w:after="0" w:line="270" w:lineRule="auto"/>
        <w:tabs>
          <w:tab w:leader="none" w:pos="10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Company may grant only one type of 102 Trustee Option at any given time to all Grantees who are to be granted 102 Trustee Options pursuant to this Plan, and shall file an election with the ITA regarding the type of 102 Trustee Option it elects to grant before the date of grant of any 102 Trustee Options (the “</w:t>
      </w:r>
      <w:r>
        <w:rPr>
          <w:rFonts w:ascii="Arial" w:cs="Arial" w:eastAsia="Arial" w:hAnsi="Arial"/>
          <w:sz w:val="17"/>
          <w:szCs w:val="17"/>
          <w:b w:val="1"/>
          <w:bCs w:val="1"/>
          <w:color w:val="auto"/>
        </w:rPr>
        <w:t>Election</w:t>
      </w:r>
      <w:r>
        <w:rPr>
          <w:rFonts w:ascii="Arial" w:cs="Arial" w:eastAsia="Arial" w:hAnsi="Arial"/>
          <w:sz w:val="17"/>
          <w:szCs w:val="17"/>
          <w:color w:val="auto"/>
        </w:rPr>
        <w:t>”). Such Election shall also apply to any bonus shares received by any Grantee as a result of holding the 102 Trustee Options. The Company may change the type of 102 Trustee Option that it elects to grant only after the passage of at least 12 months from the end of the year in which the first grant was made in accordance with the previous Election, or as otherwise provided by Applicable Law. Any Election shall not prevent the Company from granting Options, pursuant to Section 102(c) of the Ordinance without a Trustee (“</w:t>
      </w:r>
      <w:r>
        <w:rPr>
          <w:rFonts w:ascii="Arial" w:cs="Arial" w:eastAsia="Arial" w:hAnsi="Arial"/>
          <w:sz w:val="17"/>
          <w:szCs w:val="17"/>
          <w:b w:val="1"/>
          <w:bCs w:val="1"/>
          <w:color w:val="auto"/>
        </w:rPr>
        <w:t>102 Non-Trustee Options</w:t>
      </w:r>
      <w:r>
        <w:rPr>
          <w:rFonts w:ascii="Arial" w:cs="Arial" w:eastAsia="Arial" w:hAnsi="Arial"/>
          <w:sz w:val="17"/>
          <w:szCs w:val="17"/>
          <w:color w:val="auto"/>
        </w:rPr>
        <w:t>”).</w:t>
      </w:r>
    </w:p>
    <w:p>
      <w:pPr>
        <w:spacing w:after="0" w:line="182" w:lineRule="exact"/>
        <w:rPr>
          <w:sz w:val="20"/>
          <w:szCs w:val="20"/>
          <w:color w:val="auto"/>
        </w:rPr>
      </w:pPr>
    </w:p>
    <w:p>
      <w:pPr>
        <w:jc w:val="both"/>
        <w:ind w:left="1040" w:right="119" w:hanging="521"/>
        <w:spacing w:after="0" w:line="312" w:lineRule="auto"/>
        <w:tabs>
          <w:tab w:leader="none" w:pos="10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Each 102 Trustee Option will be deemed granted on the date stated in a written notice to be provided by the Company, provided that on or before such date (i) the Company has provided such notice to the Trustee and (ii) the Grantee has signed all documents required pursuant to Applicable Law and under the Plan.</w:t>
      </w:r>
    </w:p>
    <w:p>
      <w:pPr>
        <w:spacing w:after="0" w:line="147"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Each 102 Trustee Option, each Share issued pursuant to the exercise of any 102 Trustee Option, and any rights granted thereunder, including, without limitation, bonus shares, shall be allotted and issued to and registered in the name of the Trustee and shall be held in trust for the benefit of the Grantee for a period of not less than the requisite period prescribed by the Ordinance and the Rules or such longer period as set by the Committee (the “</w:t>
      </w:r>
      <w:r>
        <w:rPr>
          <w:rFonts w:ascii="Arial" w:cs="Arial" w:eastAsia="Arial" w:hAnsi="Arial"/>
          <w:sz w:val="16"/>
          <w:szCs w:val="16"/>
          <w:b w:val="1"/>
          <w:bCs w:val="1"/>
          <w:color w:val="auto"/>
        </w:rPr>
        <w:t>Required Holding Period</w:t>
      </w:r>
      <w:r>
        <w:rPr>
          <w:rFonts w:ascii="Arial" w:cs="Arial" w:eastAsia="Arial" w:hAnsi="Arial"/>
          <w:sz w:val="16"/>
          <w:szCs w:val="16"/>
          <w:color w:val="auto"/>
        </w:rPr>
        <w:t>”). In the event that the requirements under Section 102 to qualify an Option as a 102 Trustee Option are not met, then the Option may be treated as a 102 Non-Trustee Option, all in accordance with the provisions of Section 102 and the Rules. After termination of the Required Holding Period, the Trustee may release such 102 Trustee Option and any such Shares, provided that (i) the Trustee has received an acknowledgment from the ITA that the Grantee has paid any applicable taxes due pursuant to the Ordinance or (ii) the Trustee and/or the Company and/or its Affiliate withholds any applicable taxes due pursuant to the Ordinance arising from the 102 Trustee Options and/or any Shares allotted or issued upon exercise of such 102 Trustee Options. The Trustee shall not release any 102 Trustee Options or Shares issued upon exercise thereof prior to the payment in full of the Grantee’s tax liabilities arising from such 102 Trustee Options and/or Shares or the withholding referred to in (ii) above.</w:t>
      </w:r>
    </w:p>
    <w:p>
      <w:pPr>
        <w:spacing w:after="0" w:line="172" w:lineRule="exact"/>
        <w:rPr>
          <w:sz w:val="20"/>
          <w:szCs w:val="20"/>
          <w:color w:val="auto"/>
        </w:rPr>
      </w:pPr>
    </w:p>
    <w:p>
      <w:pPr>
        <w:jc w:val="both"/>
        <w:ind w:left="1060" w:right="119" w:hanging="521"/>
        <w:spacing w:after="0" w:line="264" w:lineRule="auto"/>
        <w:tabs>
          <w:tab w:leader="none" w:pos="1040" w:val="left"/>
        </w:tabs>
        <w:rPr>
          <w:sz w:val="20"/>
          <w:szCs w:val="20"/>
          <w:color w:val="auto"/>
        </w:rPr>
      </w:pPr>
      <w:r>
        <w:rPr>
          <w:rFonts w:ascii="Arial" w:cs="Arial" w:eastAsia="Arial" w:hAnsi="Arial"/>
          <w:sz w:val="18"/>
          <w:szCs w:val="18"/>
          <w:color w:val="auto"/>
        </w:rPr>
        <w:t>9.5.</w:t>
        <w:tab/>
        <w:t>Each 102 Trustee Option shall be subject to the relevant terms of the Ordinance and the Rules, which shall be deemed an integral part of the 102 Trustee Option and shall prevail over any term contained in the Plan or Option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4" w:name="page205"/>
    <w:bookmarkEnd w:id="204"/>
    <w:p>
      <w:pPr>
        <w:jc w:val="both"/>
        <w:ind w:left="1100" w:right="119"/>
        <w:spacing w:after="0" w:line="291" w:lineRule="auto"/>
        <w:rPr>
          <w:sz w:val="20"/>
          <w:szCs w:val="20"/>
          <w:color w:val="auto"/>
        </w:rPr>
      </w:pPr>
      <w:r>
        <w:rPr>
          <w:rFonts w:ascii="Arial" w:cs="Arial" w:eastAsia="Arial" w:hAnsi="Arial"/>
          <w:sz w:val="16"/>
          <w:szCs w:val="16"/>
          <w:color w:val="auto"/>
        </w:rPr>
        <w:t>Agreement which is not consistent therewith. Any provision of the Ordinance, the Rules and any approvals by the Income Tax Commissioner not expressly specified in this Plan or Option Agreement which, as determined by the Committee, are necessary to receive or maintain any tax benefit pursuant to Section 102 shall be binding on the Grantee. The Grantee granted a 102 Trustee Option shall comply with the Ordinance and the terms and conditions of the Trust Agreement entered into between the Company and the Trustee. The Grantee agrees to execute any and all documents, which the Company and/or its Affiliates and/or the Trustee may reasonably determine to be necessary in order to comply with the Ordinance and the Rules.</w:t>
      </w:r>
    </w:p>
    <w:p>
      <w:pPr>
        <w:spacing w:after="0" w:line="167" w:lineRule="exact"/>
        <w:rPr>
          <w:sz w:val="20"/>
          <w:szCs w:val="20"/>
          <w:color w:val="auto"/>
        </w:rPr>
      </w:pPr>
    </w:p>
    <w:p>
      <w:pPr>
        <w:jc w:val="both"/>
        <w:ind w:left="1040" w:right="119" w:hanging="521"/>
        <w:spacing w:after="0" w:line="287" w:lineRule="auto"/>
        <w:tabs>
          <w:tab w:leader="none" w:pos="10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During the Required Holding Period, the Grantee shall not release from trust or sell, assign, transfer or give as collateral, the Shares issuable upon the exercise of a 102 Trustee Option and/or any securities issued or distributed with respect thereto, until the expiration of the Required Holding Period. Notwithstanding the above, if any such sale or release occurs during the Required Holding Period it will result in adverse tax consequences to the Grantee under Section 102 of the Ordinance and the Rules, which shall apply to and shall be borne solely by such Grantee. Subject to the foregoing, the Trustee may, pursuant to a written request from the Grantee, release and transfer such Shares to a designated third party, provided that both of the following conditions have been fulfilled prior to such release or transfer: (i) payment has been made to the ITA of all taxes required to be paid upon the release and transfer of the Shares, and confirmation of such payment has been received by the Trustee and (ii) the Trustee has received written confirmation from the Company that all requirements for such release and transfer have been fulfilled according to the terms of the Company’s corporate documents, the Plan, the Option Agreement and any Applicable Law.</w:t>
      </w:r>
    </w:p>
    <w:p>
      <w:pPr>
        <w:spacing w:after="0" w:line="169" w:lineRule="exact"/>
        <w:rPr>
          <w:sz w:val="20"/>
          <w:szCs w:val="20"/>
          <w:color w:val="auto"/>
        </w:rPr>
      </w:pPr>
    </w:p>
    <w:p>
      <w:pPr>
        <w:jc w:val="both"/>
        <w:ind w:left="1100" w:right="119" w:hanging="521"/>
        <w:spacing w:after="0" w:line="273" w:lineRule="auto"/>
        <w:tabs>
          <w:tab w:leader="none" w:pos="10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If a 102 Trustee Option is exercised during the Required Holding Period, the Shares issued upon such exercise shall be issued in the name of the Trustee for the benefit of the Grantee. If such 102 Trustee Option is exercised after the expiration of the Required Holding Period, the Shares issued upon such exercise shall, at the election of the Grantee, either (i) be issued in the name of the Trustee, or (ii) be issued to the Grantee, provided that the Grantee first complies with all applicable provisions of the Plan and all taxes with respect thereto shall have been fully paid to the ITA.</w:t>
      </w:r>
    </w:p>
    <w:p>
      <w:pPr>
        <w:spacing w:after="0" w:line="178" w:lineRule="exact"/>
        <w:rPr>
          <w:sz w:val="20"/>
          <w:szCs w:val="20"/>
          <w:color w:val="auto"/>
        </w:rPr>
      </w:pPr>
    </w:p>
    <w:p>
      <w:pPr>
        <w:jc w:val="both"/>
        <w:ind w:left="1040" w:right="119" w:hanging="521"/>
        <w:spacing w:after="0" w:line="264" w:lineRule="auto"/>
        <w:tabs>
          <w:tab w:leader="none" w:pos="1020" w:val="left"/>
        </w:tabs>
        <w:rPr>
          <w:sz w:val="20"/>
          <w:szCs w:val="20"/>
          <w:color w:val="auto"/>
        </w:rPr>
      </w:pPr>
      <w:r>
        <w:rPr>
          <w:rFonts w:ascii="Arial" w:cs="Arial" w:eastAsia="Arial" w:hAnsi="Arial"/>
          <w:sz w:val="18"/>
          <w:szCs w:val="18"/>
          <w:color w:val="auto"/>
        </w:rPr>
        <w:t>9.8.</w:t>
        <w:tab/>
        <w:t>The foregoing provisions of this Section 9 relating to 102 Trustee Options shall not apply with respect to 102 Non-Trustee Options, which shall, however, be subject to the relevant provisions of Section 102 and the Rules.</w:t>
      </w:r>
    </w:p>
    <w:p>
      <w:pPr>
        <w:spacing w:after="0" w:line="181" w:lineRule="exact"/>
        <w:rPr>
          <w:sz w:val="20"/>
          <w:szCs w:val="20"/>
          <w:color w:val="auto"/>
        </w:rPr>
      </w:pPr>
    </w:p>
    <w:p>
      <w:pPr>
        <w:jc w:val="both"/>
        <w:ind w:left="1060" w:right="119" w:hanging="521"/>
        <w:spacing w:after="0" w:line="286" w:lineRule="auto"/>
        <w:tabs>
          <w:tab w:leader="none" w:pos="10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Upon receipt of a 102 Trustee Option, the Grantee will sign an undertaking to release the Trustee from any liability with respect to any action or decision duly taken and executed in good faith by the Trustee in relation to the Plan, or any 102 Trustee Option or Share granted to such Grantee thereunder.</w:t>
      </w:r>
    </w:p>
    <w:p>
      <w:pPr>
        <w:spacing w:after="0" w:line="179" w:lineRule="exact"/>
        <w:rPr>
          <w:sz w:val="20"/>
          <w:szCs w:val="20"/>
          <w:color w:val="auto"/>
        </w:rPr>
      </w:pPr>
    </w:p>
    <w:p>
      <w:pPr>
        <w:ind w:left="560" w:hanging="435"/>
        <w:spacing w:after="0"/>
        <w:tabs>
          <w:tab w:leader="none" w:pos="560" w:val="left"/>
        </w:tabs>
        <w:numPr>
          <w:ilvl w:val="0"/>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3(9) OPTION AWARD</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312"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Options granted pursuant to this Section 10 are intended to constitute a 3(9) Option Award and shall be granted subject to the general terms and conditions specified in Section 6 hereof and other provisions of the Plan, except for any provisions of the Plan applying to Options under different tax laws or regulations.</w:t>
      </w:r>
    </w:p>
    <w:p>
      <w:pPr>
        <w:spacing w:after="0" w:line="147" w:lineRule="exact"/>
        <w:rPr>
          <w:sz w:val="20"/>
          <w:szCs w:val="20"/>
          <w:color w:val="auto"/>
        </w:rPr>
      </w:pPr>
    </w:p>
    <w:p>
      <w:pPr>
        <w:jc w:val="both"/>
        <w:ind w:left="1100" w:right="119" w:hanging="521"/>
        <w:spacing w:after="0" w:line="254" w:lineRule="auto"/>
        <w:tabs>
          <w:tab w:leader="none" w:pos="1080" w:val="left"/>
        </w:tabs>
        <w:rPr>
          <w:sz w:val="20"/>
          <w:szCs w:val="20"/>
          <w:color w:val="auto"/>
        </w:rPr>
      </w:pPr>
      <w:r>
        <w:rPr>
          <w:rFonts w:ascii="Arial" w:cs="Arial" w:eastAsia="Arial" w:hAnsi="Arial"/>
          <w:sz w:val="18"/>
          <w:szCs w:val="18"/>
          <w:color w:val="auto"/>
        </w:rPr>
        <w:t>10.2.</w:t>
        <w:tab/>
        <w:t>To the extent required by the Ordinance or the ITA or otherwise deemed by the Committee prudent or advisable, the 3(9) Option Awards granted pursuant to the Plan shall be issued to a Trustee nominated by the Committee in accordance with the provisions of the Ordinance. In such event, the Trustee shall hold such Options in trust, until exercised by the Grantee, pursuant to the Company’s instructions from time to time as set forth in a trust agreement, which will be entered into between the Company and the Trustee. If determined by the Board of Directors or the Committee, and subject to such trust agreement the Trustee shall be responsible for withholding any taxes to which a Grantee may become liable upon the exercise of Options.</w:t>
      </w:r>
    </w:p>
    <w:p>
      <w:pPr>
        <w:spacing w:after="0" w:line="206" w:lineRule="exact"/>
        <w:rPr>
          <w:sz w:val="20"/>
          <w:szCs w:val="20"/>
          <w:color w:val="auto"/>
        </w:rPr>
      </w:pPr>
    </w:p>
    <w:p>
      <w:pPr>
        <w:ind w:left="540" w:hanging="415"/>
        <w:spacing w:after="0"/>
        <w:tabs>
          <w:tab w:leader="none" w:pos="540" w:val="left"/>
        </w:tabs>
        <w:numPr>
          <w:ilvl w:val="0"/>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SHARES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7" w:lineRule="auto"/>
        <w:rPr>
          <w:sz w:val="20"/>
          <w:szCs w:val="20"/>
          <w:color w:val="auto"/>
        </w:rPr>
      </w:pPr>
      <w:r>
        <w:rPr>
          <w:rFonts w:ascii="Arial" w:cs="Arial" w:eastAsia="Arial" w:hAnsi="Arial"/>
          <w:sz w:val="18"/>
          <w:szCs w:val="18"/>
          <w:color w:val="auto"/>
        </w:rPr>
        <w:t>The Committee may award Restricted Shares to any eligible Grantee, including under Section 102 of the Ordinance. Each Award of Restricted Shares under the Plan shall be evidenced by a written agreement between the Company and the Grantee (the “</w:t>
      </w:r>
      <w:r>
        <w:rPr>
          <w:rFonts w:ascii="Arial" w:cs="Arial" w:eastAsia="Arial" w:hAnsi="Arial"/>
          <w:sz w:val="18"/>
          <w:szCs w:val="18"/>
          <w:b w:val="1"/>
          <w:bCs w:val="1"/>
          <w:color w:val="auto"/>
        </w:rPr>
        <w:t>Restricted Share Agreement</w:t>
      </w:r>
      <w:r>
        <w:rPr>
          <w:rFonts w:ascii="Arial" w:cs="Arial" w:eastAsia="Arial" w:hAnsi="Arial"/>
          <w:sz w:val="18"/>
          <w:szCs w:val="18"/>
          <w:color w:val="auto"/>
        </w:rPr>
        <w:t>”), in such form as the Committee shall from time to time approve. The Restricted Share Agreement shall comply with and be subject to the following terms and conditions, unless otherwise specifically provided in such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5" w:name="page206"/>
    <w:bookmarkEnd w:id="205"/>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Number of Shares</w:t>
      </w:r>
      <w:r>
        <w:rPr>
          <w:rFonts w:ascii="Arial" w:cs="Arial" w:eastAsia="Arial" w:hAnsi="Arial"/>
          <w:sz w:val="18"/>
          <w:szCs w:val="18"/>
          <w:color w:val="auto"/>
        </w:rPr>
        <w:t>. Each Restricted Share Agreement shall state the number of Shares covered by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Award.</w:t>
      </w:r>
    </w:p>
    <w:p>
      <w:pPr>
        <w:spacing w:after="0" w:line="184" w:lineRule="exact"/>
        <w:rPr>
          <w:sz w:val="20"/>
          <w:szCs w:val="20"/>
          <w:color w:val="auto"/>
        </w:rPr>
      </w:pPr>
    </w:p>
    <w:p>
      <w:pPr>
        <w:jc w:val="both"/>
        <w:ind w:left="1100" w:right="119" w:hanging="521"/>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Restricted Share Agreement may state an amount of purchase price to be paid by the Grantee in consideration for the issuance of the Restricted Shares and the terms of payment thereof, which may include, payment by issuance of promissory notes or other evidence of indebtedness on such terms and conditions as determined by the Committee.</w:t>
      </w:r>
    </w:p>
    <w:p>
      <w:pPr>
        <w:spacing w:after="0" w:line="214" w:lineRule="exact"/>
        <w:rPr>
          <w:sz w:val="20"/>
          <w:szCs w:val="20"/>
          <w:color w:val="auto"/>
        </w:rPr>
      </w:pPr>
    </w:p>
    <w:p>
      <w:pPr>
        <w:jc w:val="both"/>
        <w:ind w:left="1080" w:right="119" w:hanging="521"/>
        <w:spacing w:after="0" w:line="273" w:lineRule="auto"/>
        <w:tabs>
          <w:tab w:leader="none" w:pos="10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Vesting</w:t>
      </w:r>
      <w:r>
        <w:rPr>
          <w:rFonts w:ascii="Arial" w:cs="Arial" w:eastAsia="Arial" w:hAnsi="Arial"/>
          <w:sz w:val="17"/>
          <w:szCs w:val="17"/>
          <w:color w:val="auto"/>
        </w:rPr>
        <w:t>. Each Restricted Share Agreement shall provide the vesting schedule for the Restricted Shares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determined by the Committee, provided that (to the extent permitted under Applicable Law) the Committee shall have the authority to determine the vesting schedule and accelerate the vesting of any outstanding Restricted Share at such time and under such circumstances as it, in its sole discretion, deems appropriate. Unless otherwise resolved by the Committee and stated in the Restricted Share Agreement, Restricted Shares shall vest in the same vesting schedule as set forth in Section 6.5 hereof.</w:t>
      </w:r>
    </w:p>
    <w:p>
      <w:pPr>
        <w:spacing w:after="0" w:line="192" w:lineRule="exact"/>
        <w:rPr>
          <w:sz w:val="20"/>
          <w:szCs w:val="20"/>
          <w:color w:val="auto"/>
        </w:rPr>
      </w:pPr>
    </w:p>
    <w:p>
      <w:pPr>
        <w:jc w:val="both"/>
        <w:ind w:left="1080" w:right="119" w:hanging="521"/>
        <w:spacing w:after="0" w:line="285" w:lineRule="auto"/>
        <w:tabs>
          <w:tab w:leader="none" w:pos="10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disposed of, except by will or the laws of descent and distribution, for such period as the Committee shall determine from the date on which the Award is granted (the “</w:t>
      </w:r>
      <w:r>
        <w:rPr>
          <w:rFonts w:ascii="Arial" w:cs="Arial" w:eastAsia="Arial" w:hAnsi="Arial"/>
          <w:sz w:val="16"/>
          <w:szCs w:val="16"/>
          <w:b w:val="1"/>
          <w:bCs w:val="1"/>
          <w:color w:val="auto"/>
        </w:rPr>
        <w:t>Restricted Period</w:t>
      </w:r>
      <w:r>
        <w:rPr>
          <w:rFonts w:ascii="Arial" w:cs="Arial" w:eastAsia="Arial" w:hAnsi="Arial"/>
          <w:sz w:val="16"/>
          <w:szCs w:val="16"/>
          <w:color w:val="auto"/>
        </w:rPr>
        <w:t>”). The Committee may also impose such additional or alternative restrictions and conditions on the Restricted Shares, as it deems appropriate, including the satisfaction of performance criteria. Such performance criteria may include, but are not limited to, sales, earnings before interest and taxes, return on investment, earnings per share, any combination of the foregoing or rate of growth of any of the foregoing, as determined by the Committee. Certificates for shares issued pursuant to Restricted Share Awards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such period as may be required by the Ordinance.</w:t>
      </w:r>
    </w:p>
    <w:p>
      <w:pPr>
        <w:spacing w:after="0" w:line="189" w:lineRule="exact"/>
        <w:rPr>
          <w:sz w:val="20"/>
          <w:szCs w:val="20"/>
          <w:color w:val="auto"/>
        </w:rPr>
      </w:pPr>
    </w:p>
    <w:p>
      <w:pPr>
        <w:jc w:val="both"/>
        <w:ind w:left="1100" w:right="119" w:hanging="521"/>
        <w:spacing w:after="0" w:line="255" w:lineRule="auto"/>
        <w:tabs>
          <w:tab w:leader="none" w:pos="10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Adjustment of Performance Goals</w:t>
      </w:r>
      <w:r>
        <w:rPr>
          <w:rFonts w:ascii="Arial" w:cs="Arial" w:eastAsia="Arial" w:hAnsi="Arial"/>
          <w:sz w:val="18"/>
          <w:szCs w:val="18"/>
          <w:color w:val="auto"/>
        </w:rPr>
        <w:t>. The Committee may adjust performance goals to take into account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changes in law and accounting and tax rules and to make such adjustments as the Committee deems necessary or appropriate to reflect the inclusion or the exclusion of the impact of extraordinary or unusual items, events or circumstances. The Committee also may adjust the performance goals by reducing the amount to be received by any Grantee pursuant to an Award if and to the extent that the Committee deems it appropriate.</w:t>
      </w:r>
    </w:p>
    <w:p>
      <w:pPr>
        <w:spacing w:after="0" w:line="220" w:lineRule="exact"/>
        <w:rPr>
          <w:sz w:val="20"/>
          <w:szCs w:val="20"/>
          <w:color w:val="auto"/>
        </w:rPr>
      </w:pPr>
    </w:p>
    <w:p>
      <w:pPr>
        <w:jc w:val="both"/>
        <w:ind w:left="1100" w:right="119" w:hanging="521"/>
        <w:spacing w:after="0" w:line="270" w:lineRule="auto"/>
        <w:tabs>
          <w:tab w:leader="none" w:pos="10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Forfeiture</w:t>
      </w:r>
      <w:r>
        <w:rPr>
          <w:rFonts w:ascii="Arial" w:cs="Arial" w:eastAsia="Arial" w:hAnsi="Arial"/>
          <w:sz w:val="17"/>
          <w:szCs w:val="17"/>
          <w:color w:val="auto"/>
        </w:rPr>
        <w:t>. Subject to such exceptions as may be determined by the Committee, if the Grantee’s</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continuous employment with the Company or any Subsidiary or Affiliate shall terminate for any reason prior to the expiration of the vesting date or Restricted Period of an Award or prior to the payment in full of the purchase price of any Restricted Shares with respect to which the vesting date or the Restricted Period has expired, any shares remaining subject to vesting or restrictions or with respect to which the purchase price has not been paid in full, shall thereupon be forfeited and shall be deemed transferred to, and reacquired by, or cancelled by, as the case may be, the Company or a Subsidiary at no cost to the Company or Subsidiary, subject to all Applicable Laws. Upon forfeiture of Restricted Shares, the Grantee shall have no further rights with respect to such Restricted Shares.</w:t>
      </w:r>
    </w:p>
    <w:p>
      <w:pPr>
        <w:spacing w:after="0" w:line="195"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Restricted Shares, subject to Section 6.9 and Section 11.4, including the right to receive dividends with respect to such shares. All distributions, if any, received by a Grantee with respect to Restricted Shares as a result of any stock split, stock dividend, combination of shares, or other similar transaction shall be subject to the restrictions applicable to the original Award.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6" w:name="page207"/>
    <w:bookmarkEnd w:id="206"/>
    <w:p>
      <w:pPr>
        <w:ind w:left="560" w:hanging="435"/>
        <w:spacing w:after="0"/>
        <w:tabs>
          <w:tab w:leader="none" w:pos="560"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SHARE UNITS.</w:t>
      </w:r>
    </w:p>
    <w:p>
      <w:pPr>
        <w:spacing w:after="0" w:line="229"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 Restricted Share Unit (an “</w:t>
      </w:r>
      <w:r>
        <w:rPr>
          <w:rFonts w:ascii="Arial" w:cs="Arial" w:eastAsia="Arial" w:hAnsi="Arial"/>
          <w:sz w:val="17"/>
          <w:szCs w:val="17"/>
          <w:b w:val="1"/>
          <w:bCs w:val="1"/>
          <w:color w:val="auto"/>
        </w:rPr>
        <w:t>RSU</w:t>
      </w:r>
      <w:r>
        <w:rPr>
          <w:rFonts w:ascii="Arial" w:cs="Arial" w:eastAsia="Arial" w:hAnsi="Arial"/>
          <w:sz w:val="17"/>
          <w:szCs w:val="17"/>
          <w:color w:val="auto"/>
        </w:rPr>
        <w:t>”) is an Award covering a number of Shares that is settled by issuance of those Shares. An RSU may be awarded to any eligible Grantee, including under Section 102 of the Ordinance. Each grant of RSUs under the Plan shall be evidenced by a written agreement between the Company and the Grantee (the “</w:t>
      </w:r>
      <w:r>
        <w:rPr>
          <w:rFonts w:ascii="Arial" w:cs="Arial" w:eastAsia="Arial" w:hAnsi="Arial"/>
          <w:sz w:val="17"/>
          <w:szCs w:val="17"/>
          <w:b w:val="1"/>
          <w:bCs w:val="1"/>
          <w:color w:val="auto"/>
        </w:rPr>
        <w:t>Restricted Share Unit Agreement</w:t>
      </w:r>
      <w:r>
        <w:rPr>
          <w:rFonts w:ascii="Arial" w:cs="Arial" w:eastAsia="Arial" w:hAnsi="Arial"/>
          <w:sz w:val="17"/>
          <w:szCs w:val="17"/>
          <w:color w:val="auto"/>
        </w:rPr>
        <w:t>”), in such form as the Committee shall from time to time approve. Such RSUs shall be subject to all applicable terms of the Plan and may be subject to any other terms that are not inconsistent with the Plan. The provisions of the various Restricted Share Unit Agreements entered into under the Plan need not be identical. RSUs may be granted in consideration of a reduction in the recipient’s other compensation.</w:t>
      </w:r>
    </w:p>
    <w:p>
      <w:pPr>
        <w:spacing w:after="0" w:line="190"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12.2.</w:t>
        <w:tab/>
        <w:t>Other than the par value of the Shares, no payment of cash shall be required as consideration for RSUs. RSUs may or may not be subject to vesting. Vesting shall occur, in full or in installments, upon satisfaction of the conditions specified in the Restricted Share Unit Agreement.</w:t>
      </w:r>
    </w:p>
    <w:p>
      <w:pPr>
        <w:spacing w:after="0" w:line="181" w:lineRule="exact"/>
        <w:rPr>
          <w:sz w:val="20"/>
          <w:szCs w:val="20"/>
          <w:color w:val="auto"/>
        </w:rPr>
      </w:pPr>
    </w:p>
    <w:p>
      <w:pPr>
        <w:jc w:val="both"/>
        <w:ind w:left="1080" w:right="119" w:hanging="521"/>
        <w:spacing w:after="0" w:line="272" w:lineRule="auto"/>
        <w:tabs>
          <w:tab w:leader="none" w:pos="10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Without limitation of Section 6.9, no voting or dividend rights as a shareholder shall exist prior to the actual issuance of Shares in the name of the Grantee. Notwithstanding anything else in this Plan (as may be amended from time to time) to the contrary, unless otherwise specified by the Committee, each RSU shall be for a term of seven (7) years. Each Restricted Share Unit Agreement shall specify its term and any conditions on the time or times for settlement, and provide for expiration prior to the end of its term in the event of termination of employment or service providing to the Company, and may provide for earlier settlement in the event of the Grantee’s death, Disability or other events.</w:t>
      </w:r>
    </w:p>
    <w:p>
      <w:pPr>
        <w:spacing w:after="0" w:line="191" w:lineRule="exact"/>
        <w:rPr>
          <w:sz w:val="20"/>
          <w:szCs w:val="20"/>
          <w:color w:val="auto"/>
        </w:rPr>
      </w:pPr>
    </w:p>
    <w:p>
      <w:pPr>
        <w:jc w:val="both"/>
        <w:ind w:left="1100" w:right="119" w:hanging="521"/>
        <w:spacing w:after="0" w:line="257" w:lineRule="auto"/>
        <w:rPr>
          <w:sz w:val="20"/>
          <w:szCs w:val="20"/>
          <w:color w:val="auto"/>
        </w:rPr>
      </w:pPr>
      <w:r>
        <w:rPr>
          <w:rFonts w:ascii="Arial" w:cs="Arial" w:eastAsia="Arial" w:hAnsi="Arial"/>
          <w:sz w:val="18"/>
          <w:szCs w:val="18"/>
          <w:color w:val="auto"/>
        </w:rPr>
        <w:t>12.4. Settlement of vested RSUs shall be made in the form of Shares. Distribution to a Grantee of an amount (or amounts) from settlement of vested RSUs can be deferred to a date after settlement as determined by the Committee. The amount of a deferred distribution may be increased by an interest factor or by dividend equivalents. Until the grant of RSUs is settled, the number of such RSUs shall be subject to adjustment pursuant hereto.</w:t>
      </w:r>
    </w:p>
    <w:p>
      <w:pPr>
        <w:spacing w:after="0" w:line="202" w:lineRule="exact"/>
        <w:rPr>
          <w:sz w:val="20"/>
          <w:szCs w:val="20"/>
          <w:color w:val="auto"/>
        </w:rPr>
      </w:pPr>
    </w:p>
    <w:p>
      <w:pPr>
        <w:ind w:left="560" w:hanging="435"/>
        <w:spacing w:after="0"/>
        <w:tabs>
          <w:tab w:leader="none" w:pos="560"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SHARE OR SHARE-BASED AWARDS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69" w:lineRule="auto"/>
        <w:rPr>
          <w:sz w:val="20"/>
          <w:szCs w:val="20"/>
          <w:color w:val="auto"/>
        </w:rPr>
      </w:pPr>
      <w:r>
        <w:rPr>
          <w:rFonts w:ascii="Arial" w:cs="Arial" w:eastAsia="Arial" w:hAnsi="Arial"/>
          <w:sz w:val="17"/>
          <w:szCs w:val="17"/>
          <w:color w:val="auto"/>
        </w:rPr>
        <w:t>The Committee may grant other Awards under the Plan pursuant to which Shares (which may, but need not, be Restricted Shares pursuant to Section 11 hereof), cash or a combination thereof, are or may in the future be acquired or received, or Awards denominated in stock units, including units valued on the basis of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in respect to which the right was granted exceeds the exercise price thereof. The Committee may, and it is hereby deemed to be an Award under the terms of the Plan, grant to Grantees (including employees) the opportunity to purchase Shares of the Company in connection with any public offerings of the Company’s securities. Such other Share based Awards may be granted alone, in addition to, or in tandem with any Award of any type granted under the plan and must be consistent with the purposes of the Plan.</w:t>
      </w:r>
    </w:p>
    <w:p>
      <w:pPr>
        <w:spacing w:after="0" w:line="210" w:lineRule="exact"/>
        <w:rPr>
          <w:sz w:val="20"/>
          <w:szCs w:val="20"/>
          <w:color w:val="auto"/>
        </w:rPr>
      </w:pPr>
    </w:p>
    <w:p>
      <w:pPr>
        <w:ind w:left="560" w:hanging="435"/>
        <w:spacing w:after="0"/>
        <w:tabs>
          <w:tab w:leader="none" w:pos="560" w:val="left"/>
        </w:tabs>
        <w:numPr>
          <w:ilvl w:val="0"/>
          <w:numId w:val="24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CERTAIN CHANGES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89" w:lineRule="auto"/>
        <w:tabs>
          <w:tab w:leader="none" w:pos="10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subdivision of the outstanding share capital of the Company, any payment of a</w:t>
      </w:r>
      <w:r>
        <w:rPr>
          <w:rFonts w:ascii="Arial" w:cs="Arial" w:eastAsia="Arial" w:hAnsi="Arial"/>
          <w:sz w:val="16"/>
          <w:szCs w:val="16"/>
          <w:u w:val="single" w:color="auto"/>
          <w:color w:val="auto"/>
        </w:rPr>
        <w:t xml:space="preserve"> </w:t>
      </w:r>
      <w:r>
        <w:rPr>
          <w:rFonts w:ascii="Arial" w:cs="Arial" w:eastAsia="Arial" w:hAnsi="Arial"/>
          <w:sz w:val="16"/>
          <w:szCs w:val="16"/>
          <w:color w:val="auto"/>
        </w:rPr>
        <w:t>stock dividend (distribution of bonus shares), a recapitalization, a reorganization (which may include a combination or exchange of shares), a consolidation, a stock split, a reverse stock split, a spin-off or other corporate divestiture or division, a reclassification or other similar occurrence, the Committee shall make such adjustments as determined by the Committee to be appropriate in order to adjust (i) the number of Shares available for grants of Awards, (ii) the number of Shares covered by outstanding Awards, and (iii) the exercise price per share covered by any Award; provided, however, that any fractional shares resulting from such adjustment shall be rounded down to the nearest whole share and that the Company shall have no obligation to make any cash or other payment with respect to such fractional shares.</w:t>
      </w:r>
    </w:p>
    <w:p>
      <w:pPr>
        <w:spacing w:after="0" w:line="167"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u w:val="single" w:color="auto"/>
          <w:color w:val="auto"/>
        </w:rPr>
        <w:t>Merger and Sale of Company</w:t>
      </w:r>
      <w:r>
        <w:rPr>
          <w:rFonts w:ascii="Arial" w:cs="Arial" w:eastAsia="Arial" w:hAnsi="Arial"/>
          <w:sz w:val="18"/>
          <w:szCs w:val="18"/>
          <w:color w:val="auto"/>
        </w:rPr>
        <w:t>. In the event of (i) a sale of all or substantially all of the assets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or (ii) a sale (including an exchange) of all or substantially all of the shares of the Company, or an acquisition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07" w:name="page208"/>
    <w:bookmarkEnd w:id="207"/>
    <w:p>
      <w:pPr>
        <w:jc w:val="both"/>
        <w:ind w:left="1100" w:right="119"/>
        <w:spacing w:after="0" w:line="288" w:lineRule="auto"/>
        <w:rPr>
          <w:sz w:val="20"/>
          <w:szCs w:val="20"/>
          <w:color w:val="auto"/>
        </w:rPr>
      </w:pPr>
      <w:r>
        <w:rPr>
          <w:rFonts w:ascii="Arial" w:cs="Arial" w:eastAsia="Arial" w:hAnsi="Arial"/>
          <w:sz w:val="16"/>
          <w:szCs w:val="16"/>
          <w:color w:val="auto"/>
        </w:rPr>
        <w:t>by a shareholder of the Company or by an Affiliate of such shareholder, of all the shares of the Company held by other shareholders or by other shareholders who are not Affiliated with such acquiring party; (iii) a merger, consolidation, amalgamation or like transaction of the Company with or into another corporation;</w:t>
      </w:r>
    </w:p>
    <w:p>
      <w:pPr>
        <w:jc w:val="both"/>
        <w:ind w:left="1100" w:right="119" w:hanging="3"/>
        <w:spacing w:after="0" w:line="295" w:lineRule="auto"/>
        <w:tabs>
          <w:tab w:leader="none" w:pos="141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scheme of arrangement for the purpose of effecting such sale, merger or amalgamation; or (v) such other transaction or set of circumstances that is determined by the Committee, in its discretion, to be a transaction having a similar effect (all such transactions being herein referred to as a “</w:t>
      </w:r>
      <w:r>
        <w:rPr>
          <w:rFonts w:ascii="Arial" w:cs="Arial" w:eastAsia="Arial" w:hAnsi="Arial"/>
          <w:sz w:val="16"/>
          <w:szCs w:val="16"/>
          <w:b w:val="1"/>
          <w:bCs w:val="1"/>
          <w:color w:val="auto"/>
        </w:rPr>
        <w:t>Merger/Sale</w:t>
      </w:r>
      <w:r>
        <w:rPr>
          <w:rFonts w:ascii="Arial" w:cs="Arial" w:eastAsia="Arial" w:hAnsi="Arial"/>
          <w:sz w:val="16"/>
          <w:szCs w:val="16"/>
          <w:color w:val="auto"/>
        </w:rPr>
        <w:t>”), then, without the Grantee’s consent and action and without any prior notice requirement:</w:t>
      </w:r>
    </w:p>
    <w:p>
      <w:pPr>
        <w:spacing w:after="0" w:line="162" w:lineRule="exact"/>
        <w:rPr>
          <w:sz w:val="20"/>
          <w:szCs w:val="20"/>
          <w:color w:val="auto"/>
        </w:rPr>
      </w:pPr>
    </w:p>
    <w:p>
      <w:pPr>
        <w:jc w:val="both"/>
        <w:ind w:left="1740" w:right="119" w:hanging="647"/>
        <w:spacing w:after="0" w:line="302" w:lineRule="auto"/>
        <w:rPr>
          <w:sz w:val="20"/>
          <w:szCs w:val="20"/>
          <w:color w:val="auto"/>
        </w:rPr>
      </w:pPr>
      <w:r>
        <w:rPr>
          <w:rFonts w:ascii="Arial" w:cs="Arial" w:eastAsia="Arial" w:hAnsi="Arial"/>
          <w:sz w:val="16"/>
          <w:szCs w:val="16"/>
          <w:color w:val="auto"/>
        </w:rPr>
        <w:t>14.2.1. unless otherwise determined by the Committee in its sole and absolute discretion, any Award then outstanding shall be assumed or an equivalent Award shall be substituted by such successor corporation of the Merger/Sale or any parent or Affiliate thereof as determined by the Board in its discretion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under substantially the same terms as the Award;</w:t>
      </w:r>
    </w:p>
    <w:p>
      <w:pPr>
        <w:spacing w:after="0" w:line="154" w:lineRule="exact"/>
        <w:rPr>
          <w:sz w:val="20"/>
          <w:szCs w:val="20"/>
          <w:color w:val="auto"/>
        </w:rPr>
      </w:pPr>
    </w:p>
    <w:p>
      <w:pPr>
        <w:jc w:val="both"/>
        <w:ind w:left="1740" w:right="119" w:firstLine="108"/>
        <w:spacing w:after="0" w:line="286" w:lineRule="auto"/>
        <w:rPr>
          <w:sz w:val="20"/>
          <w:szCs w:val="20"/>
          <w:color w:val="auto"/>
        </w:rPr>
      </w:pPr>
      <w:r>
        <w:rPr>
          <w:rFonts w:ascii="Arial" w:cs="Arial" w:eastAsia="Arial" w:hAnsi="Arial"/>
          <w:sz w:val="16"/>
          <w:szCs w:val="16"/>
          <w:color w:val="auto"/>
        </w:rPr>
        <w:t>For the purposes of this Section 14.2.1, the Award shall be considered assumed if, following a Merger/Sale, the Award confers on the holder thereof the right to purchase or receive, for each Share underlying an Award immediately prior to the Merger/Sale, either (i) the consideration (whether stock, cash, or other securities or property) distributed to or received by holders of Shares in the Merger/Sale for each Share held on the effective date of the Merger/Sale (and if holders were offered a choice of consideration, the type of consideration chosen by the holders of a majority of the outstanding Shares), which may be subject to vesting and other terms as determined by the Committee in its discretion, or (ii) regardless of the consideration received by the holders of Shares in the Merger/Sale, solely shares (or their equivalent) of the Successor Corporation at a value to be determined by the Committee in its discretion, which may be subject to vesting and other terms as determined by the Committee in its discretion. The foregoing shall not limit the Committee authority to determine, in its sole discretion, that in lieu of such assumption or substitution of Awards for Awards of the Successor Corporation, such Award will be substituted for any other type of asset or property, including under Section 14.2.2 hereunder.</w:t>
      </w:r>
    </w:p>
    <w:p>
      <w:pPr>
        <w:spacing w:after="0" w:line="172" w:lineRule="exact"/>
        <w:rPr>
          <w:sz w:val="20"/>
          <w:szCs w:val="20"/>
          <w:color w:val="auto"/>
        </w:rPr>
      </w:pPr>
    </w:p>
    <w:p>
      <w:pPr>
        <w:jc w:val="both"/>
        <w:ind w:left="1740" w:right="119" w:hanging="647"/>
        <w:spacing w:after="0" w:line="252" w:lineRule="auto"/>
        <w:rPr>
          <w:sz w:val="20"/>
          <w:szCs w:val="20"/>
          <w:color w:val="auto"/>
        </w:rPr>
      </w:pPr>
      <w:r>
        <w:rPr>
          <w:rFonts w:ascii="Arial" w:cs="Arial" w:eastAsia="Arial" w:hAnsi="Arial"/>
          <w:sz w:val="18"/>
          <w:szCs w:val="18"/>
          <w:color w:val="auto"/>
        </w:rPr>
        <w:t>14.2.2. In the event that the Awards are not assumed or substituted by an equivalent Award, then the Committee may (but shall not be obligated to), in lieu of such assumption or substitution of the Award and in its sole discretion, (i) provide for the Grantee to have the right to exercise the Award, or otherwise for the acceleration of vesting of such Award, as to all or part of the Shares, including Shares covered by the Award which would not otherwise be exercisable or vested, under such terms and conditions as the Committee shall determine, including the cancellation of all unexercised Awards upon closing of the Merger/Sale; and/or (ii) provide for the cancellation of each outstanding Award at the closing of such Merger/Sale, and payment to the Grantee of an amount in cash as determined by the Committee to be fair in the circumstances (with full authority to determine the method for making such determination, which may be Black-Scholes model or any other method, and which determination shall be conclusive and binding on all parties), and subject to such terms and conditions as determined by the Committee.</w:t>
      </w:r>
    </w:p>
    <w:p>
      <w:pPr>
        <w:spacing w:after="0" w:line="200" w:lineRule="exact"/>
        <w:rPr>
          <w:sz w:val="20"/>
          <w:szCs w:val="20"/>
          <w:color w:val="auto"/>
        </w:rPr>
      </w:pPr>
    </w:p>
    <w:p>
      <w:pPr>
        <w:jc w:val="both"/>
        <w:ind w:left="1740" w:right="119" w:hanging="647"/>
        <w:spacing w:after="0" w:line="286" w:lineRule="auto"/>
        <w:rPr>
          <w:sz w:val="20"/>
          <w:szCs w:val="20"/>
          <w:color w:val="auto"/>
        </w:rPr>
      </w:pPr>
      <w:r>
        <w:rPr>
          <w:rFonts w:ascii="Arial" w:cs="Arial" w:eastAsia="Arial" w:hAnsi="Arial"/>
          <w:sz w:val="16"/>
          <w:szCs w:val="16"/>
          <w:color w:val="auto"/>
        </w:rPr>
        <w:t xml:space="preserve">14.2.3. Notwithstanding the foregoing, in the event of a Merger/Sale, the Committee may determine, in its sole discretion, that upon completion of such Merger/Sale, the terms of any Award be otherwise amended, modified or terminated, as the Committee shall deem in good faith to be appropriate, and if an Option Award, that the Option Award shall confer the right to purchase or receive any other security or asset, or any combination thereof, or that its terms be otherwise amended, modified or terminated, as the Committee shall deem in good faith to be appropriate.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Arial" w:cs="Arial" w:eastAsia="Arial" w:hAnsi="Arial"/>
          <w:sz w:val="16"/>
          <w:szCs w:val="16"/>
          <w:i w:val="1"/>
          <w:iCs w:val="1"/>
          <w:color w:val="auto"/>
        </w:rPr>
        <w:t>inter alia</w:t>
      </w:r>
      <w:r>
        <w:rPr>
          <w:rFonts w:ascii="Arial" w:cs="Arial" w:eastAsia="Arial" w:hAnsi="Arial"/>
          <w:sz w:val="16"/>
          <w:szCs w:val="16"/>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w:t>
      </w:r>
    </w:p>
    <w:p>
      <w:pPr>
        <w:spacing w:after="0" w:line="175" w:lineRule="exact"/>
        <w:rPr>
          <w:sz w:val="20"/>
          <w:szCs w:val="20"/>
          <w:color w:val="auto"/>
        </w:rPr>
      </w:pPr>
    </w:p>
    <w:p>
      <w:pPr>
        <w:jc w:val="both"/>
        <w:ind w:left="1100" w:right="119" w:hanging="521"/>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as expressly provided in this Section 14, the Grantee of an Award hereunder shall have no rights by reason of any subdivision or consolidation of shares of any class or the payment of any</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8" w:name="page209"/>
    <w:bookmarkEnd w:id="208"/>
    <w:p>
      <w:pPr>
        <w:jc w:val="both"/>
        <w:ind w:left="1100" w:right="119"/>
        <w:spacing w:after="0" w:line="290" w:lineRule="auto"/>
        <w:rPr>
          <w:sz w:val="20"/>
          <w:szCs w:val="20"/>
          <w:color w:val="auto"/>
        </w:rPr>
      </w:pPr>
      <w:r>
        <w:rPr>
          <w:rFonts w:ascii="Arial" w:cs="Arial" w:eastAsia="Arial" w:hAnsi="Arial"/>
          <w:sz w:val="16"/>
          <w:szCs w:val="16"/>
          <w:color w:val="auto"/>
        </w:rPr>
        <w:t>stock dividend (bonus shares), any other increase or decrease in the number of shares of any class or by reason of any dissolution, liquidation, Merger/Sale, or consolidation, divestiture or spin-off of assets or shares of another company.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the Plan shall not affect in any way the right of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80" w:lineRule="exact"/>
        <w:rPr>
          <w:sz w:val="20"/>
          <w:szCs w:val="20"/>
          <w:color w:val="auto"/>
        </w:rPr>
      </w:pPr>
    </w:p>
    <w:p>
      <w:pPr>
        <w:ind w:left="560" w:hanging="435"/>
        <w:spacing w:after="0"/>
        <w:tabs>
          <w:tab w:leader="none" w:pos="560" w:val="left"/>
        </w:tabs>
        <w:numPr>
          <w:ilvl w:val="0"/>
          <w:numId w:val="250"/>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AWARDS; SURVIVING BENEFICIARY</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86" w:lineRule="auto"/>
        <w:tabs>
          <w:tab w:leader="none" w:pos="10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All Awards granted under the Plan shall not be transferable otherwise than by will or by the laws of descent and distribution, unless otherwise determined by the Board or under this Plan, provided that with respect to shares issued upon exercise of Options, the restrictions on transfer shall be the restrictions referred to in Section 16 (Conditions upon Issuance of Shares) hereof.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interest in any Award by, any party other than the Grantee shall be null and void and shall not confer upon any party or person, other than the Grantee, any rights. 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to transfer the Award to a family trust.</w:t>
      </w:r>
    </w:p>
    <w:p>
      <w:pPr>
        <w:spacing w:after="0" w:line="169"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15.2.</w:t>
        <w:tab/>
        <w:t>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81"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15.3.</w:t>
        <w:tab/>
        <w:t>The provisions of this Section 15 shall apply to the Grantee and to any purchaser, assignee or transferee of any Shares.</w:t>
      </w:r>
    </w:p>
    <w:p>
      <w:pPr>
        <w:spacing w:after="0" w:line="184" w:lineRule="exact"/>
        <w:rPr>
          <w:sz w:val="20"/>
          <w:szCs w:val="20"/>
          <w:color w:val="auto"/>
        </w:rPr>
      </w:pPr>
    </w:p>
    <w:p>
      <w:pPr>
        <w:ind w:left="560" w:hanging="435"/>
        <w:spacing w:after="0"/>
        <w:tabs>
          <w:tab w:leader="none" w:pos="560" w:val="left"/>
        </w:tabs>
        <w:numPr>
          <w:ilvl w:val="0"/>
          <w:numId w:val="251"/>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UPON ISSUANCE OF SHARES</w:t>
      </w:r>
    </w:p>
    <w:p>
      <w:pPr>
        <w:spacing w:after="0" w:line="233" w:lineRule="exact"/>
        <w:rPr>
          <w:sz w:val="20"/>
          <w:szCs w:val="20"/>
          <w:color w:val="auto"/>
        </w:rPr>
      </w:pPr>
    </w:p>
    <w:p>
      <w:pPr>
        <w:jc w:val="both"/>
        <w:ind w:left="1080" w:right="119" w:hanging="521"/>
        <w:spacing w:after="0" w:line="285" w:lineRule="auto"/>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 Shares shall not be issued pursuant to the exercise of an Award, unless the exercise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Award and the issuance and delivery of such Shares shall comply with Applicable Laws as determined by counsel to the Company. The inability of the Company to obtain authority from any regulatory body having jurisdiction, which authority is deemed by the Company’s counsel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Shares issued pursuant to an Awards shall be subject to the Articles of Association of the Company, any shareholders agreement applicable to all or substantially all of the Company’s holders of Shares (regardless of whether or not the Grantee is party to such shareholders agreement) and any other governing documents of the Company, including all policies, manuals and internal regulations adopted by the Company from time to time, as may be amended from time to time, including, without limitation, any provisions included therein concerning restrictions or limitations on transferability of Shares (such as, but not limited to, right of first refusal and lock up/market stand-off) or grant of any rights with respect thereto and any provisions concerning restrictions on the use of inside information and other provisions deemed by the Company to be appropriate in order to ensure compliance with Applicable Laws, statutes and regulations.</w:t>
      </w:r>
    </w:p>
    <w:p>
      <w:pPr>
        <w:spacing w:after="0" w:line="394"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person exercising such Award to represent and warrant at the time of any such exercise that the Shares are being purchased only for investment and without any present intention to sell or distribute such Shares, and make other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9" w:name="page210"/>
    <w:bookmarkEnd w:id="209"/>
    <w:p>
      <w:pPr>
        <w:ind w:left="1100" w:right="119"/>
        <w:spacing w:after="0" w:line="308" w:lineRule="auto"/>
        <w:rPr>
          <w:sz w:val="20"/>
          <w:szCs w:val="20"/>
          <w:color w:val="auto"/>
        </w:rPr>
      </w:pPr>
      <w:r>
        <w:rPr>
          <w:rFonts w:ascii="Arial" w:cs="Arial" w:eastAsia="Arial" w:hAnsi="Arial"/>
          <w:sz w:val="17"/>
          <w:szCs w:val="17"/>
          <w:color w:val="auto"/>
        </w:rPr>
        <w:t>representations as may be required under applicable securities laws if, in the opinion of counsel for the Company, such representations are required, all in form and content specified by the Company.</w:t>
      </w:r>
    </w:p>
    <w:p>
      <w:pPr>
        <w:spacing w:after="0" w:line="187" w:lineRule="exact"/>
        <w:rPr>
          <w:sz w:val="20"/>
          <w:szCs w:val="20"/>
          <w:color w:val="auto"/>
        </w:rPr>
      </w:pPr>
    </w:p>
    <w:p>
      <w:pPr>
        <w:ind w:left="560" w:hanging="435"/>
        <w:spacing w:after="0"/>
        <w:tabs>
          <w:tab w:leader="none" w:pos="560" w:val="left"/>
        </w:tabs>
        <w:numPr>
          <w:ilvl w:val="0"/>
          <w:numId w:val="252"/>
        </w:numPr>
        <w:rPr>
          <w:rFonts w:ascii="Arial" w:cs="Arial" w:eastAsia="Arial" w:hAnsi="Arial"/>
          <w:sz w:val="22"/>
          <w:szCs w:val="22"/>
          <w:color w:val="auto"/>
        </w:rPr>
      </w:pPr>
      <w:r>
        <w:rPr>
          <w:rFonts w:ascii="Arial" w:cs="Arial" w:eastAsia="Arial" w:hAnsi="Arial"/>
          <w:sz w:val="22"/>
          <w:szCs w:val="22"/>
          <w:b w:val="1"/>
          <w:bCs w:val="1"/>
          <w:u w:val="single" w:color="auto"/>
          <w:color w:val="auto"/>
        </w:rPr>
        <w:t>MARKET STAND-OFF</w:t>
      </w:r>
    </w:p>
    <w:p>
      <w:pPr>
        <w:spacing w:after="0" w:line="260" w:lineRule="exact"/>
        <w:rPr>
          <w:sz w:val="20"/>
          <w:szCs w:val="20"/>
          <w:color w:val="auto"/>
        </w:rPr>
      </w:pPr>
    </w:p>
    <w:p>
      <w:pPr>
        <w:jc w:val="both"/>
        <w:ind w:left="1100" w:right="119" w:hanging="521"/>
        <w:spacing w:after="0" w:line="286" w:lineRule="auto"/>
        <w:tabs>
          <w:tab w:leader="none" w:pos="10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In connection with any underwritten public offering by the Company of its equity securities pursuant to an effective registration statement filed under the United States Securities Act of 1933, as amended or equivalent law in another jurisdiction, the Grantee shall not directly or indirectly, without the prior written consent of the Company or its underwriters, (i) lend, offer, pledge, sell, contract to sell, sell any option or contract to purchase, purchase any option or contract to sell, grant any option, right or warrant to purchase, or otherwise transfer or dispose of, directly or indirectly, any Shares acquired under this Plan or any securities of the Company (whether or not such Shares acquired under this Plan), or (ii) enter into any swap or other arrangement that transfers to another, in whole or in part, any of the economic consequences of ownership of the Shares acquired under this Plan, whether any such transaction described in clause (i) or (ii) above is to be settled by delivery of Shares acquired under this Plan or such other securities, in cash or otherwise. Such restriction (the “</w:t>
      </w:r>
      <w:r>
        <w:rPr>
          <w:rFonts w:ascii="Arial" w:cs="Arial" w:eastAsia="Arial" w:hAnsi="Arial"/>
          <w:sz w:val="16"/>
          <w:szCs w:val="16"/>
          <w:b w:val="1"/>
          <w:bCs w:val="1"/>
          <w:color w:val="auto"/>
        </w:rPr>
        <w:t>Market Stand-Off</w:t>
      </w:r>
      <w:r>
        <w:rPr>
          <w:rFonts w:ascii="Arial" w:cs="Arial" w:eastAsia="Arial" w:hAnsi="Arial"/>
          <w:sz w:val="16"/>
          <w:szCs w:val="16"/>
          <w:color w:val="auto"/>
        </w:rPr>
        <w:t>”) shall be in effect for such period of time following the effective date of the registration statement relating to such offering, as may be requested by the Company or such underwriters, however in any event, such period shall not exceed 180 days (in the case of the Company’s first underwritten offering of its Shares) following the effective date of such registration statement; or 90 days (in the case of a registration statement thereafter).</w:t>
      </w:r>
    </w:p>
    <w:p>
      <w:pPr>
        <w:spacing w:after="0" w:line="196" w:lineRule="exact"/>
        <w:rPr>
          <w:sz w:val="20"/>
          <w:szCs w:val="20"/>
          <w:color w:val="auto"/>
        </w:rPr>
      </w:pPr>
    </w:p>
    <w:p>
      <w:pPr>
        <w:jc w:val="both"/>
        <w:ind w:left="1100" w:right="119" w:hanging="521"/>
        <w:spacing w:after="0" w:line="270" w:lineRule="auto"/>
        <w:tabs>
          <w:tab w:leader="none" w:pos="10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In the event of a subdivision of the outstanding share capital of the Company, the declaration and payment of a stock dividend (distribution of bonus shares), the declaration and payment of an extraordinary dividend payable in a form other than stock, a recapitalization, a reorganization (which may include a combination or exchange of shares or a similar transaction affecting the Company’s outstanding securities without receipt of consideration), a consolidation, a stock split, a spin-off or other corporate divestiture or division, a reclassification or other similar occurrence, an adjustment in conversion ratio,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209"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17.3.</w:t>
        <w:tab/>
        <w:t>In order to enforce the Market Stand-Off, the Company may impose stop-transfer instructions with respect to the Shares acquired under this Plan until the end of the applicable stand-off period.</w:t>
      </w:r>
    </w:p>
    <w:p>
      <w:pPr>
        <w:spacing w:after="0" w:line="197" w:lineRule="exact"/>
        <w:rPr>
          <w:sz w:val="20"/>
          <w:szCs w:val="20"/>
          <w:color w:val="auto"/>
        </w:rPr>
      </w:pPr>
    </w:p>
    <w:p>
      <w:pPr>
        <w:jc w:val="both"/>
        <w:ind w:left="1100" w:right="119" w:hanging="521"/>
        <w:spacing w:after="0" w:line="264" w:lineRule="auto"/>
        <w:tabs>
          <w:tab w:leader="none" w:pos="1080" w:val="left"/>
        </w:tabs>
        <w:rPr>
          <w:sz w:val="20"/>
          <w:szCs w:val="20"/>
          <w:color w:val="auto"/>
        </w:rPr>
      </w:pPr>
      <w:r>
        <w:rPr>
          <w:rFonts w:ascii="Arial" w:cs="Arial" w:eastAsia="Arial" w:hAnsi="Arial"/>
          <w:sz w:val="18"/>
          <w:szCs w:val="18"/>
          <w:color w:val="auto"/>
        </w:rPr>
        <w:t>17.4.</w:t>
        <w:tab/>
        <w:t xml:space="preserve">The underwriters in connection with a registration statement so filed are intended </w:t>
      </w:r>
      <w:r>
        <w:rPr>
          <w:rFonts w:ascii="Arial" w:cs="Arial" w:eastAsia="Arial" w:hAnsi="Arial"/>
          <w:sz w:val="18"/>
          <w:szCs w:val="18"/>
          <w:color w:val="191919"/>
        </w:rPr>
        <w:t>to be</w:t>
      </w:r>
      <w:r>
        <w:rPr>
          <w:rFonts w:ascii="Arial" w:cs="Arial" w:eastAsia="Arial" w:hAnsi="Arial"/>
          <w:sz w:val="18"/>
          <w:szCs w:val="18"/>
          <w:color w:val="auto"/>
        </w:rPr>
        <w:t xml:space="preserve"> third party beneficiaries of this Section 17 and shall have the right, power and authority to enforce the provisions hereof as though they were a party hereto.</w:t>
      </w:r>
    </w:p>
    <w:p>
      <w:pPr>
        <w:spacing w:after="0" w:line="208"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17.5.</w:t>
        <w:tab/>
        <w:t>The provisions of this Section 17 shall apply to the Grantee and to any purchaser, assignee or transferee of any Shares.</w:t>
      </w:r>
    </w:p>
    <w:p>
      <w:pPr>
        <w:spacing w:after="0" w:line="211" w:lineRule="exact"/>
        <w:rPr>
          <w:sz w:val="20"/>
          <w:szCs w:val="20"/>
          <w:color w:val="auto"/>
        </w:rPr>
      </w:pPr>
    </w:p>
    <w:p>
      <w:pPr>
        <w:ind w:left="560" w:hanging="435"/>
        <w:spacing w:after="0"/>
        <w:tabs>
          <w:tab w:leader="none" w:pos="560"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BY GRANTEE REGARDING TAXES</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left="1100" w:right="119" w:hanging="521"/>
        <w:spacing w:after="0" w:line="257" w:lineRule="auto"/>
        <w:tabs>
          <w:tab w:leader="none" w:pos="1080" w:val="left"/>
        </w:tabs>
        <w:rPr>
          <w:sz w:val="20"/>
          <w:szCs w:val="20"/>
          <w:color w:val="auto"/>
        </w:rPr>
      </w:pPr>
      <w:r>
        <w:rPr>
          <w:rFonts w:ascii="Arial" w:cs="Arial" w:eastAsia="Arial" w:hAnsi="Arial"/>
          <w:sz w:val="18"/>
          <w:szCs w:val="18"/>
          <w:color w:val="auto"/>
        </w:rPr>
        <w:t>18.1.</w:t>
        <w:tab/>
        <w:t>If the Committee shall so require, as a condition of exercise of an Award, the release of Shares by the Trustee or the expiration of the Restricted Period, a Grantee shall agree that, no later than the date of such occurrence, he will pay to the Company or make arrangements satisfactory to the Committee and the Trustee (if applicable) regarding payment of any applicable taxes of any kind required by Applicable Law to be withheld or paid.</w:t>
      </w:r>
    </w:p>
    <w:p>
      <w:pPr>
        <w:spacing w:after="0" w:line="215" w:lineRule="exact"/>
        <w:rPr>
          <w:sz w:val="20"/>
          <w:szCs w:val="20"/>
          <w:color w:val="auto"/>
        </w:rPr>
      </w:pPr>
    </w:p>
    <w:p>
      <w:pPr>
        <w:jc w:val="both"/>
        <w:ind w:left="1100" w:right="119" w:hanging="521"/>
        <w:spacing w:after="0" w:line="253" w:lineRule="auto"/>
        <w:tabs>
          <w:tab w:leader="none" w:pos="1080" w:val="left"/>
        </w:tabs>
        <w:rPr>
          <w:sz w:val="20"/>
          <w:szCs w:val="20"/>
          <w:color w:val="auto"/>
        </w:rPr>
      </w:pPr>
      <w:r>
        <w:rPr>
          <w:rFonts w:ascii="Arial" w:cs="Arial" w:eastAsia="Arial" w:hAnsi="Arial"/>
          <w:sz w:val="18"/>
          <w:szCs w:val="18"/>
          <w:color w:val="auto"/>
        </w:rPr>
        <w:t>18.2.</w:t>
        <w:tab/>
        <w:t>ALL TAX CONSEQUENCES UNDER ANY APPLICABLE LAW WHICH MAY ARISE FROM THE GRANT OF ANY AWARDS OR THE EXERCISE THEREOF, THE SALE OR DISPOSITION OF ANY SHARES GRANTED HEREUNDER OR ISSUED UPON EXERCISE OF ANY AWARD OR FROM ANY OTHER ACTION OF THE GRANTEE IN CONNECTION WITH THE FOREGOING SHALL BE BORNE AND PAID SOLELY BY THE GRANTEE, AND THE GRANTEE SHALL INDEMNIFY THE COMPANY, ITS SUBSIDIARIES AND AFFILIATES AND THE TRUSTEE, AND SHALL HOLD THEM HARMLESS AGAINST AND FROM ANY LIABILITY FOR ANY SUCH TAX OR PENALTY, INTEREST OR INDEXATION THEREON. EACH GRANTEE AGREES TO, AND UNDERTAKES TO COMPLY WITH, ANY RULING, SETTLEMENT,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0" w:name="page211"/>
    <w:bookmarkEnd w:id="210"/>
    <w:p>
      <w:pPr>
        <w:jc w:val="both"/>
        <w:ind w:left="1100" w:right="119"/>
        <w:spacing w:after="0" w:line="264" w:lineRule="auto"/>
        <w:rPr>
          <w:sz w:val="20"/>
          <w:szCs w:val="20"/>
          <w:color w:val="auto"/>
        </w:rPr>
      </w:pPr>
      <w:r>
        <w:rPr>
          <w:rFonts w:ascii="Arial" w:cs="Arial" w:eastAsia="Arial" w:hAnsi="Arial"/>
          <w:sz w:val="18"/>
          <w:szCs w:val="18"/>
          <w:color w:val="auto"/>
        </w:rPr>
        <w:t>CLOSING AGREEMENT OR OTHER SIMILAR AGREEMENT OR ARRANGEMENT WITH ANY TAX AUTHORITY IN CONNECTION WITH THE FOREGOING WHICH IS APPROVED BY THE COMPANY.</w:t>
      </w:r>
    </w:p>
    <w:p>
      <w:pPr>
        <w:spacing w:after="0" w:line="181" w:lineRule="exact"/>
        <w:rPr>
          <w:sz w:val="20"/>
          <w:szCs w:val="20"/>
          <w:color w:val="auto"/>
        </w:rPr>
      </w:pPr>
    </w:p>
    <w:p>
      <w:pPr>
        <w:jc w:val="both"/>
        <w:ind w:left="1100" w:right="119" w:hanging="20"/>
        <w:spacing w:after="0" w:line="279" w:lineRule="auto"/>
        <w:rPr>
          <w:sz w:val="20"/>
          <w:szCs w:val="20"/>
          <w:color w:val="auto"/>
        </w:rPr>
      </w:pPr>
      <w:r>
        <w:rPr>
          <w:rFonts w:ascii="Arial" w:cs="Arial" w:eastAsia="Arial" w:hAnsi="Arial"/>
          <w:sz w:val="17"/>
          <w:szCs w:val="17"/>
          <w:color w:val="auto"/>
        </w:rPr>
        <w:t>THE GRANTEE IS ADVISED TO CONSULT WITH A TAX ADVISOR WITH RESPECT TO THE TAX CONSEQUENCES OF RECEIVING OR EXERCISING AWARDS HEREUNDER. THE COMPANY DOES NOT ASSUME ANY RESPONSIBILITY TO ADVISE THE GRANTEE ON SUCH MATTERS, WHICH SHALL REMAIN SOLELY THE RESPONSIBILITY OF THE GRANTEE.</w:t>
      </w:r>
    </w:p>
    <w:p>
      <w:pPr>
        <w:spacing w:after="0" w:line="171" w:lineRule="exact"/>
        <w:rPr>
          <w:sz w:val="20"/>
          <w:szCs w:val="20"/>
          <w:color w:val="auto"/>
        </w:rPr>
      </w:pPr>
    </w:p>
    <w:p>
      <w:pPr>
        <w:jc w:val="both"/>
        <w:ind w:left="1080" w:right="119" w:hanging="521"/>
        <w:spacing w:after="0" w:line="269" w:lineRule="auto"/>
        <w:tabs>
          <w:tab w:leader="none" w:pos="10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The Company or any Subsidiary or Affiliate may take such action as it may deem necessary or appropriate, in its discretion, for the purpose of or in connection with withholding of any taxes which the Company or any Subsidiary or Affiliate is required by any Applicable Law to withhold in connection with any Awards (collectively, “</w:t>
      </w:r>
      <w:r>
        <w:rPr>
          <w:rFonts w:ascii="Arial" w:cs="Arial" w:eastAsia="Arial" w:hAnsi="Arial"/>
          <w:sz w:val="17"/>
          <w:szCs w:val="17"/>
          <w:b w:val="1"/>
          <w:bCs w:val="1"/>
          <w:color w:val="auto"/>
        </w:rPr>
        <w:t>Withholding Obligations</w:t>
      </w:r>
      <w:r>
        <w:rPr>
          <w:rFonts w:ascii="Arial" w:cs="Arial" w:eastAsia="Arial" w:hAnsi="Arial"/>
          <w:sz w:val="17"/>
          <w:szCs w:val="17"/>
          <w:color w:val="auto"/>
        </w:rPr>
        <w:t>”). Such actions may include, without limitation, (i) requiring a Grantees to remit to the Company in cash an amount sufficient to satisfy such Withholding Obligations; (ii) subject to Applicable Law, allowing the Grantees to provide Shares to the Company,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180" w:lineRule="exact"/>
        <w:rPr>
          <w:sz w:val="20"/>
          <w:szCs w:val="20"/>
          <w:color w:val="auto"/>
        </w:rPr>
      </w:pPr>
    </w:p>
    <w:p>
      <w:pPr>
        <w:jc w:val="both"/>
        <w:ind w:left="1100" w:right="119" w:hanging="521"/>
        <w:spacing w:after="0" w:line="271" w:lineRule="auto"/>
        <w:tabs>
          <w:tab w:leader="none" w:pos="10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Each Grantee shall notify the Company in writing promptly and in any event within ten (10) days after the date on which such Grantee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79"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18.5.</w:t>
        <w:tab/>
        <w:t>With respect to 102 Non-Trustee Options, if the Grantee ceases to be employed by the Company or any Affiliate, the Grantee shall extend to the Company and/or its Affiliate with whom the Grantee is employed a security or guarantee for the payment of taxes due at the time of sale of Shares, all in accordance with the provisions of Section 102 of the Ordinance and the Rules.</w:t>
      </w:r>
    </w:p>
    <w:p>
      <w:pPr>
        <w:spacing w:after="0" w:line="201" w:lineRule="exact"/>
        <w:rPr>
          <w:sz w:val="20"/>
          <w:szCs w:val="20"/>
          <w:color w:val="auto"/>
        </w:rPr>
      </w:pPr>
    </w:p>
    <w:p>
      <w:pPr>
        <w:ind w:left="560" w:hanging="435"/>
        <w:spacing w:after="0"/>
        <w:tabs>
          <w:tab w:leader="none" w:pos="560" w:val="left"/>
        </w:tabs>
        <w:numPr>
          <w:ilvl w:val="0"/>
          <w:numId w:val="254"/>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A SHAREHOLDER; VOTING AND DIVIDENDS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080" w:right="119" w:hanging="521"/>
        <w:spacing w:after="0" w:line="269" w:lineRule="auto"/>
        <w:tabs>
          <w:tab w:leader="none" w:pos="10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Subject to Section 11.7, a Grantee shall have no rights as a shareholder of the Company with respect to any Shares covered by the Award until the date of the issuance of a share certificate to the Grantee for such Shares. In the case of 102 Option Awards or 3(9) Option Awards (if such Share Options are being held by a Trustee), the Trustee shall have no rights as a shareholder of the Company with respect to any Shares covered by such Award until the date of the issuance of a share certificate to the Trustee for such Shares for the Grantee’s benefit, and the Grantee shall have no rights as a shareholder of the Company with respect to any Shares covered by the Award until the date of the release of such Shares from the Trustee to the Grantee and the issuance of a share certificate to the Grantee for such Shares. No adjustment shall be made for dividends (ordinary or extraordinary, whether in cash, securities or other property) or distribution of other rights for which the record date is prior to the date such share certificate is issued, except as provided in Section 14 hereof.</w:t>
      </w:r>
    </w:p>
    <w:p>
      <w:pPr>
        <w:spacing w:after="0" w:line="183" w:lineRule="exact"/>
        <w:rPr>
          <w:sz w:val="20"/>
          <w:szCs w:val="20"/>
          <w:color w:val="auto"/>
        </w:rPr>
      </w:pPr>
    </w:p>
    <w:p>
      <w:pPr>
        <w:jc w:val="both"/>
        <w:ind w:left="1100" w:right="119" w:hanging="521"/>
        <w:spacing w:after="0" w:line="302" w:lineRule="auto"/>
        <w:rPr>
          <w:sz w:val="20"/>
          <w:szCs w:val="20"/>
          <w:color w:val="auto"/>
        </w:rPr>
      </w:pPr>
      <w:r>
        <w:rPr>
          <w:rFonts w:ascii="Arial" w:cs="Arial" w:eastAsia="Arial" w:hAnsi="Arial"/>
          <w:sz w:val="16"/>
          <w:szCs w:val="16"/>
          <w:color w:val="auto"/>
        </w:rPr>
        <w:t>19.2. With respect to all Shares issued in the form of Awards hereunder or upon the exercise of Awards hereunder, any and all voting rights attached to such Shares shall be subject to Section 6.9, and the Grantee shall be entitled to receive dividends distributed with respect to such Shares, subject to the provisions of the Company’s Articles of Association, as amended from time to time, and subject to any Applicable Law.</w:t>
      </w:r>
    </w:p>
    <w:p>
      <w:pPr>
        <w:spacing w:after="0" w:line="154" w:lineRule="exact"/>
        <w:rPr>
          <w:sz w:val="20"/>
          <w:szCs w:val="20"/>
          <w:color w:val="auto"/>
        </w:rPr>
      </w:pPr>
    </w:p>
    <w:p>
      <w:pPr>
        <w:jc w:val="both"/>
        <w:ind w:left="1080" w:right="119" w:hanging="521"/>
        <w:spacing w:after="0" w:line="277" w:lineRule="auto"/>
        <w:tabs>
          <w:tab w:leader="none" w:pos="1060" w:val="left"/>
        </w:tabs>
        <w:rPr>
          <w:sz w:val="20"/>
          <w:szCs w:val="20"/>
          <w:color w:val="auto"/>
        </w:rPr>
      </w:pPr>
      <w:r>
        <w:rPr>
          <w:rFonts w:ascii="Arial" w:cs="Arial" w:eastAsia="Arial" w:hAnsi="Arial"/>
          <w:sz w:val="18"/>
          <w:szCs w:val="18"/>
          <w:color w:val="auto"/>
        </w:rPr>
        <w:t>19.3.</w:t>
        <w:tab/>
        <w:t>The Company may, but shall not be obligated to, register or qualify the sale of Shares under any applicable securities law or any other applicable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1" w:name="page212"/>
    <w:bookmarkEnd w:id="211"/>
    <w:p>
      <w:pPr>
        <w:ind w:left="560" w:hanging="435"/>
        <w:spacing w:after="0"/>
        <w:tabs>
          <w:tab w:leader="none" w:pos="560" w:val="left"/>
        </w:tabs>
        <w:numPr>
          <w:ilvl w:val="0"/>
          <w:numId w:val="255"/>
        </w:numPr>
        <w:rPr>
          <w:rFonts w:ascii="Arial" w:cs="Arial" w:eastAsia="Arial" w:hAnsi="Arial"/>
          <w:sz w:val="22"/>
          <w:szCs w:val="22"/>
          <w:color w:val="auto"/>
        </w:rPr>
      </w:pPr>
      <w:r>
        <w:rPr>
          <w:rFonts w:ascii="Arial" w:cs="Arial" w:eastAsia="Arial" w:hAnsi="Arial"/>
          <w:sz w:val="22"/>
          <w:szCs w:val="22"/>
          <w:b w:val="1"/>
          <w:bCs w:val="1"/>
          <w:u w:val="single" w:color="auto"/>
          <w:color w:val="auto"/>
        </w:rPr>
        <w:t>NO REPRESENTATION BY COMPANY</w:t>
      </w:r>
      <w:r>
        <w:rPr>
          <w:rFonts w:ascii="Arial" w:cs="Arial" w:eastAsia="Arial" w:hAnsi="Arial"/>
          <w:sz w:val="22"/>
          <w:szCs w:val="22"/>
          <w:b w:val="1"/>
          <w:bCs w:val="1"/>
          <w:color w:val="auto"/>
        </w:rPr>
        <w:t>.</w:t>
      </w:r>
    </w:p>
    <w:p>
      <w:pPr>
        <w:spacing w:after="0" w:line="233" w:lineRule="exact"/>
        <w:rPr>
          <w:sz w:val="20"/>
          <w:szCs w:val="20"/>
          <w:color w:val="auto"/>
        </w:rPr>
      </w:pPr>
    </w:p>
    <w:p>
      <w:pPr>
        <w:ind w:left="580" w:right="119"/>
        <w:spacing w:after="0" w:line="342" w:lineRule="auto"/>
        <w:rPr>
          <w:sz w:val="20"/>
          <w:szCs w:val="20"/>
          <w:color w:val="auto"/>
        </w:rPr>
      </w:pPr>
      <w:r>
        <w:rPr>
          <w:rFonts w:ascii="Arial" w:cs="Arial" w:eastAsia="Arial" w:hAnsi="Arial"/>
          <w:sz w:val="16"/>
          <w:szCs w:val="16"/>
          <w:color w:val="auto"/>
        </w:rPr>
        <w:t>By granting the Awards, the Company is not, and shall not be deemed as, granting any representation or warranties to the Grantee regarding the Company, its business affairs, its prospects or the future value of its Shares.</w:t>
      </w:r>
    </w:p>
    <w:p>
      <w:pPr>
        <w:spacing w:after="0" w:line="138" w:lineRule="exact"/>
        <w:rPr>
          <w:sz w:val="20"/>
          <w:szCs w:val="20"/>
          <w:color w:val="auto"/>
        </w:rPr>
      </w:pPr>
    </w:p>
    <w:p>
      <w:pPr>
        <w:ind w:left="560" w:hanging="435"/>
        <w:spacing w:after="0"/>
        <w:tabs>
          <w:tab w:leader="none" w:pos="560" w:val="left"/>
        </w:tabs>
        <w:numPr>
          <w:ilvl w:val="0"/>
          <w:numId w:val="256"/>
        </w:numPr>
        <w:rPr>
          <w:rFonts w:ascii="Arial" w:cs="Arial" w:eastAsia="Arial" w:hAnsi="Arial"/>
          <w:sz w:val="22"/>
          <w:szCs w:val="22"/>
          <w:color w:val="auto"/>
        </w:rPr>
      </w:pPr>
      <w:r>
        <w:rPr>
          <w:rFonts w:ascii="Arial" w:cs="Arial" w:eastAsia="Arial" w:hAnsi="Arial"/>
          <w:sz w:val="22"/>
          <w:szCs w:val="22"/>
          <w:b w:val="1"/>
          <w:bCs w:val="1"/>
          <w:u w:val="single" w:color="auto"/>
          <w:color w:val="auto"/>
        </w:rPr>
        <w:t>NO RETENTION RIGHTS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54" w:lineRule="auto"/>
        <w:rPr>
          <w:sz w:val="20"/>
          <w:szCs w:val="20"/>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or be in a consultant, advisor, director, officer or supplier relationship with, the Company or any Subsidiary or Affiliate or to be entitled to any remuneration or benefits not set forth in the Plan or such agreement or to interfere with or limit in any way the right of the Company or any such Subsidiary or Affiliate to terminate such Grantee’s employment or service. Awards granted under the Plan shall not be affected by any change in duties or position of a Grantee as long as such Grantee continues to be employed by, or be in a consultant, advisor, director, officer or supplier relationship with, the Company or any Subsidiary or Affiliate.</w:t>
      </w:r>
    </w:p>
    <w:p>
      <w:pPr>
        <w:spacing w:after="0" w:line="206" w:lineRule="exact"/>
        <w:rPr>
          <w:sz w:val="20"/>
          <w:szCs w:val="20"/>
          <w:color w:val="auto"/>
        </w:rPr>
      </w:pPr>
    </w:p>
    <w:p>
      <w:pPr>
        <w:ind w:left="560" w:hanging="435"/>
        <w:spacing w:after="0"/>
        <w:tabs>
          <w:tab w:leader="none" w:pos="560" w:val="left"/>
        </w:tabs>
        <w:numPr>
          <w:ilvl w:val="0"/>
          <w:numId w:val="257"/>
        </w:numPr>
        <w:rPr>
          <w:rFonts w:ascii="Arial" w:cs="Arial" w:eastAsia="Arial" w:hAnsi="Arial"/>
          <w:sz w:val="22"/>
          <w:szCs w:val="22"/>
          <w:color w:val="auto"/>
        </w:rPr>
      </w:pPr>
      <w:r>
        <w:rPr>
          <w:rFonts w:ascii="Arial" w:cs="Arial" w:eastAsia="Arial" w:hAnsi="Arial"/>
          <w:sz w:val="22"/>
          <w:szCs w:val="22"/>
          <w:b w:val="1"/>
          <w:bCs w:val="1"/>
          <w:u w:val="single" w:color="auto"/>
          <w:color w:val="auto"/>
        </w:rPr>
        <w:t>PERIOD DURING WHICH AWARDS MAY BE GRANTED</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68" w:lineRule="auto"/>
        <w:rPr>
          <w:sz w:val="20"/>
          <w:szCs w:val="20"/>
          <w:color w:val="auto"/>
        </w:rPr>
      </w:pPr>
      <w:r>
        <w:rPr>
          <w:rFonts w:ascii="Arial" w:cs="Arial" w:eastAsia="Arial" w:hAnsi="Arial"/>
          <w:sz w:val="16"/>
          <w:szCs w:val="16"/>
          <w:color w:val="auto"/>
        </w:rPr>
        <w:t>Awards may be granted pursuant to the Plan from time to time within a period of ten (10) years from the Effective Date. From the tenth (10</w:t>
      </w:r>
      <w:r>
        <w:rPr>
          <w:rFonts w:ascii="Arial" w:cs="Arial" w:eastAsia="Arial" w:hAnsi="Arial"/>
          <w:sz w:val="31"/>
          <w:szCs w:val="31"/>
          <w:color w:val="auto"/>
          <w:vertAlign w:val="superscript"/>
        </w:rPr>
        <w:t>th</w:t>
      </w:r>
      <w:r>
        <w:rPr>
          <w:rFonts w:ascii="Arial" w:cs="Arial" w:eastAsia="Arial" w:hAnsi="Arial"/>
          <w:sz w:val="16"/>
          <w:szCs w:val="16"/>
          <w:color w:val="auto"/>
        </w:rPr>
        <w:t>) anniversary of the Effective Date no grants of Awards may be made and the Plan shall continue to be in full force and effect solely with respect to such Awards that remain outstanding. The Plan shall terminate at such time after the tenth (10</w:t>
      </w:r>
      <w:r>
        <w:rPr>
          <w:rFonts w:ascii="Arial" w:cs="Arial" w:eastAsia="Arial" w:hAnsi="Arial"/>
          <w:sz w:val="31"/>
          <w:szCs w:val="31"/>
          <w:color w:val="auto"/>
          <w:vertAlign w:val="superscript"/>
        </w:rPr>
        <w:t>th</w:t>
      </w:r>
      <w:r>
        <w:rPr>
          <w:rFonts w:ascii="Arial" w:cs="Arial" w:eastAsia="Arial" w:hAnsi="Arial"/>
          <w:sz w:val="16"/>
          <w:szCs w:val="16"/>
          <w:color w:val="auto"/>
        </w:rPr>
        <w:t>) anniversary of the Effective Date that no Awards remain outstanding.</w:t>
      </w:r>
    </w:p>
    <w:p>
      <w:pPr>
        <w:spacing w:after="0" w:line="22" w:lineRule="exact"/>
        <w:rPr>
          <w:sz w:val="20"/>
          <w:szCs w:val="20"/>
          <w:color w:val="auto"/>
        </w:rPr>
      </w:pPr>
    </w:p>
    <w:p>
      <w:pPr>
        <w:ind w:left="560" w:hanging="435"/>
        <w:spacing w:after="0"/>
        <w:tabs>
          <w:tab w:leader="none" w:pos="560" w:val="left"/>
        </w:tabs>
        <w:numPr>
          <w:ilvl w:val="0"/>
          <w:numId w:val="25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AWARD</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Anything herein to the contrary notwithstanding, but without derogating from the provisions of Sections 6.6, 6.7 or 8.2 hereof, if any Award, or any part thereof, has not been exercised and the Shares covered thereby not paid for within the term of the Award as determined by the Committee, which in any event shall not exceed ten (10) years after the date on which the Award was granted, as set forth in the Notice of Grant in the Grantee’s Award, such Award, or such part thereof, and the right to acquire such Shares shall terminate, and all interests and rights of the Grantee in and to the same shall expire. In the case of Shares held by a Trustee, the Grantee shall elect whether to release such Shares from trust or sell the Shares and upon such release or sale such trust shall expire.</w:t>
      </w:r>
    </w:p>
    <w:p>
      <w:pPr>
        <w:spacing w:after="0" w:line="181" w:lineRule="exact"/>
        <w:rPr>
          <w:sz w:val="20"/>
          <w:szCs w:val="20"/>
          <w:color w:val="auto"/>
        </w:rPr>
      </w:pPr>
    </w:p>
    <w:p>
      <w:pPr>
        <w:ind w:left="560" w:hanging="435"/>
        <w:spacing w:after="0"/>
        <w:tabs>
          <w:tab w:leader="none" w:pos="560" w:val="left"/>
        </w:tabs>
        <w:numPr>
          <w:ilvl w:val="0"/>
          <w:numId w:val="25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 OF THE PLAN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71" w:lineRule="auto"/>
        <w:rPr>
          <w:sz w:val="20"/>
          <w:szCs w:val="20"/>
          <w:color w:val="auto"/>
        </w:rPr>
      </w:pPr>
      <w:r>
        <w:rPr>
          <w:rFonts w:ascii="Arial" w:cs="Arial" w:eastAsia="Arial" w:hAnsi="Arial"/>
          <w:sz w:val="17"/>
          <w:szCs w:val="17"/>
          <w:color w:val="auto"/>
        </w:rPr>
        <w:t>The Board at any time and from time to time may suspend, terminate, modify or amend the Plan, whether retroactively or prospectively; provided, however, that, unless otherwise determined by the Board, an amendment which requires shareholder approval in order for the Plan to continue to comply with any Applicable Law shall not be effective unless approved by the requisite vote of shareholders, and provided further that except as provided herein, no suspension, termination, modification or amendment of the Plan may adversely affect any Award previously granted, without the written consent of Grantees holding a majority in interest of the Awards so affected, and in the event that such consent is obtained, all Awards so affected and the holders thereof shall be bound by and be deemed amended as set forth in, such consent.</w:t>
      </w:r>
    </w:p>
    <w:p>
      <w:pPr>
        <w:spacing w:after="0" w:line="193" w:lineRule="exact"/>
        <w:rPr>
          <w:sz w:val="20"/>
          <w:szCs w:val="20"/>
          <w:color w:val="auto"/>
        </w:rPr>
      </w:pPr>
    </w:p>
    <w:p>
      <w:pPr>
        <w:ind w:left="560" w:hanging="435"/>
        <w:spacing w:after="0"/>
        <w:tabs>
          <w:tab w:leader="none" w:pos="560" w:val="left"/>
        </w:tabs>
        <w:numPr>
          <w:ilvl w:val="0"/>
          <w:numId w:val="260"/>
        </w:numPr>
        <w:rPr>
          <w:rFonts w:ascii="Arial" w:cs="Arial" w:eastAsia="Arial" w:hAnsi="Arial"/>
          <w:sz w:val="22"/>
          <w:szCs w:val="22"/>
          <w:color w:val="auto"/>
        </w:rPr>
      </w:pPr>
      <w:r>
        <w:rPr>
          <w:rFonts w:ascii="Arial" w:cs="Arial" w:eastAsia="Arial" w:hAnsi="Arial"/>
          <w:sz w:val="22"/>
          <w:szCs w:val="22"/>
          <w:b w:val="1"/>
          <w:bCs w:val="1"/>
          <w:u w:val="single" w:color="auto"/>
          <w:color w:val="auto"/>
        </w:rPr>
        <w:t>APPROVAL</w:t>
      </w:r>
      <w:r>
        <w:rPr>
          <w:rFonts w:ascii="Arial" w:cs="Arial" w:eastAsia="Arial" w:hAnsi="Arial"/>
          <w:sz w:val="22"/>
          <w:szCs w:val="22"/>
          <w:b w:val="1"/>
          <w:bCs w:val="1"/>
          <w:color w:val="auto"/>
        </w:rPr>
        <w:t>.</w:t>
      </w:r>
    </w:p>
    <w:p>
      <w:pPr>
        <w:spacing w:after="0" w:line="229" w:lineRule="exact"/>
        <w:rPr>
          <w:sz w:val="20"/>
          <w:szCs w:val="20"/>
          <w:color w:val="auto"/>
        </w:rPr>
      </w:pPr>
    </w:p>
    <w:p>
      <w:pPr>
        <w:jc w:val="both"/>
        <w:ind w:left="1100" w:right="119" w:hanging="521"/>
        <w:spacing w:after="0" w:line="271" w:lineRule="auto"/>
        <w:tabs>
          <w:tab w:leader="none" w:pos="10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The Plan shall take effect upon its adoption by the Board (the “</w:t>
      </w:r>
      <w:r>
        <w:rPr>
          <w:rFonts w:ascii="Arial" w:cs="Arial" w:eastAsia="Arial" w:hAnsi="Arial"/>
          <w:sz w:val="17"/>
          <w:szCs w:val="17"/>
          <w:b w:val="1"/>
          <w:bCs w:val="1"/>
          <w:color w:val="auto"/>
        </w:rPr>
        <w:t>Effective Date</w:t>
      </w:r>
      <w:r>
        <w:rPr>
          <w:rFonts w:ascii="Arial" w:cs="Arial" w:eastAsia="Arial" w:hAnsi="Arial"/>
          <w:sz w:val="17"/>
          <w:szCs w:val="17"/>
          <w:color w:val="auto"/>
        </w:rPr>
        <w:t>”), except that solely with respect to grants of Incentive Stock Options the Plan shall also be subject to approval within one year of the Effective Date, by a majority of the votes cast on the proposal at a meeting or a written consent of shareholders. Failure to obtain approval by the shareholders shall not in any way derogate from the valid and binding effect of any grant of an Award, which is not an Incentive Stock Option. Upon approval of the Plan by the shareholders of the Company as set forth above, all Incentive Stock Options granted under the Plan on or after the Effective Date shall be fully effective as if the shareholders of the Company had approved the Plan on the Effective Date. Notwithstanding the foregoing, in the event that approval of the Plan by the shareholders of the Company is required under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12" w:name="page213"/>
    <w:bookmarkEnd w:id="212"/>
    <w:p>
      <w:pPr>
        <w:jc w:val="both"/>
        <w:ind w:left="1100" w:right="119" w:hanging="521"/>
        <w:spacing w:after="0" w:line="264" w:lineRule="auto"/>
        <w:rPr>
          <w:sz w:val="20"/>
          <w:szCs w:val="20"/>
          <w:color w:val="auto"/>
        </w:rPr>
      </w:pPr>
      <w:r>
        <w:rPr>
          <w:rFonts w:ascii="Arial" w:cs="Arial" w:eastAsia="Arial" w:hAnsi="Arial"/>
          <w:sz w:val="18"/>
          <w:szCs w:val="18"/>
          <w:color w:val="auto"/>
        </w:rPr>
        <w:t>Law, in connection with the application of certain tax treatment or pursuant to applicable stock exchange rules or regulations or otherwise, such approval shall be obtained within the time required under the Applicable Law.</w:t>
      </w:r>
    </w:p>
    <w:p>
      <w:pPr>
        <w:spacing w:after="0" w:line="181" w:lineRule="exact"/>
        <w:rPr>
          <w:sz w:val="20"/>
          <w:szCs w:val="20"/>
          <w:color w:val="auto"/>
        </w:rPr>
      </w:pPr>
    </w:p>
    <w:p>
      <w:pPr>
        <w:jc w:val="both"/>
        <w:ind w:left="1100" w:right="119" w:hanging="521"/>
        <w:spacing w:after="0" w:line="277" w:lineRule="auto"/>
        <w:tabs>
          <w:tab w:leader="none" w:pos="1080" w:val="left"/>
        </w:tabs>
        <w:rPr>
          <w:sz w:val="20"/>
          <w:szCs w:val="20"/>
          <w:color w:val="auto"/>
        </w:rPr>
      </w:pPr>
      <w:r>
        <w:rPr>
          <w:rFonts w:ascii="Arial" w:cs="Arial" w:eastAsia="Arial" w:hAnsi="Arial"/>
          <w:sz w:val="18"/>
          <w:szCs w:val="18"/>
          <w:color w:val="auto"/>
        </w:rPr>
        <w:t>25.2.</w:t>
        <w:tab/>
        <w:t>The 102 Awards are subject to the approval, if required, of the ITA and receipt by the Company of all approvals thereof.</w:t>
      </w:r>
    </w:p>
    <w:p>
      <w:pPr>
        <w:spacing w:after="0" w:line="184" w:lineRule="exact"/>
        <w:rPr>
          <w:sz w:val="20"/>
          <w:szCs w:val="20"/>
          <w:color w:val="auto"/>
        </w:rPr>
      </w:pPr>
    </w:p>
    <w:p>
      <w:pPr>
        <w:ind w:left="560" w:hanging="435"/>
        <w:spacing w:after="0"/>
        <w:tabs>
          <w:tab w:leader="none" w:pos="560" w:val="left"/>
        </w:tabs>
        <w:numPr>
          <w:ilvl w:val="0"/>
          <w:numId w:val="261"/>
        </w:numPr>
        <w:rPr>
          <w:rFonts w:ascii="Arial" w:cs="Arial" w:eastAsia="Arial" w:hAnsi="Arial"/>
          <w:sz w:val="22"/>
          <w:szCs w:val="22"/>
          <w:color w:val="auto"/>
        </w:rPr>
      </w:pPr>
      <w:r>
        <w:rPr>
          <w:rFonts w:ascii="Arial" w:cs="Arial" w:eastAsia="Arial" w:hAnsi="Arial"/>
          <w:sz w:val="22"/>
          <w:szCs w:val="22"/>
          <w:b w:val="1"/>
          <w:bCs w:val="1"/>
          <w:u w:val="single" w:color="auto"/>
          <w:color w:val="auto"/>
        </w:rPr>
        <w:t>RULES PARTICULAR TO SPECIFIC COUNTRIES; SECTION 409A</w:t>
      </w:r>
    </w:p>
    <w:p>
      <w:pPr>
        <w:spacing w:after="0" w:line="233" w:lineRule="exact"/>
        <w:rPr>
          <w:sz w:val="20"/>
          <w:szCs w:val="20"/>
          <w:color w:val="auto"/>
        </w:rPr>
      </w:pPr>
    </w:p>
    <w:p>
      <w:pPr>
        <w:jc w:val="both"/>
        <w:ind w:left="580" w:right="119"/>
        <w:spacing w:after="0" w:line="285" w:lineRule="auto"/>
        <w:rPr>
          <w:sz w:val="20"/>
          <w:szCs w:val="20"/>
          <w:color w:val="auto"/>
        </w:rPr>
      </w:pPr>
      <w:r>
        <w:rPr>
          <w:rFonts w:ascii="Arial" w:cs="Arial" w:eastAsia="Arial" w:hAnsi="Arial"/>
          <w:sz w:val="16"/>
          <w:szCs w:val="16"/>
          <w:color w:val="auto"/>
        </w:rPr>
        <w:t>Notwithstanding anything herein to the contrary, the terms and conditions of the Plan may be amended with respect to a particular country by means of an appendix to the Plan, and to the extent that the terms and conditions set forth in any appendix conflict with any provisions of the Plan, the provisions of the appendix shall govern. Terms and conditions set forth in the Appendix shall apply only to Award granted to a Grantee under the jurisdiction of the specific country that is the subject of the appendix and shall not apply to Awards issued to a Grantee not under the jurisdiction of such country. The adoption of any such appendix shall be subject to the approval of the Board of Directors or Committee, and if required in connection with the application of certain tax treatment, pursuant to applicable stock exchange rules or regulations or otherwise, then also the approval of the shareholders of the Company at the required majority. To the extent applicable, the Plan and any agreement hereunder shall be interpreted in accordance with Section 409A of the Code. Notwithstanding any provision of the Plan to the contrary, in the event that, following the Effective Date, the Board determines that any Award may be subject to Section 409A of the Code, the Board may adopt such amendments to the Plan and such agreement or adopt other policies and procedures (including amendments, policies and procedures with retroactive effect), or take any other actions, that the Board determines are necessary or appropriate to (a) exempt the Award from Section 409A of the Code and/or preserve the intended tax treatment of the benefits provided with respect to the Award or (b) comply with the requirements of Section 409A of the Code.</w:t>
      </w:r>
    </w:p>
    <w:p>
      <w:pPr>
        <w:spacing w:after="0" w:line="192" w:lineRule="exact"/>
        <w:rPr>
          <w:sz w:val="20"/>
          <w:szCs w:val="20"/>
          <w:color w:val="auto"/>
        </w:rPr>
      </w:pPr>
    </w:p>
    <w:p>
      <w:pPr>
        <w:ind w:left="560" w:hanging="435"/>
        <w:spacing w:after="0"/>
        <w:tabs>
          <w:tab w:leader="none" w:pos="560" w:val="left"/>
        </w:tabs>
        <w:numPr>
          <w:ilvl w:val="0"/>
          <w:numId w:val="26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91" w:lineRule="auto"/>
        <w:rPr>
          <w:sz w:val="20"/>
          <w:szCs w:val="20"/>
          <w:color w:val="auto"/>
        </w:rPr>
      </w:pPr>
      <w:r>
        <w:rPr>
          <w:rFonts w:ascii="Arial" w:cs="Arial" w:eastAsia="Arial" w:hAnsi="Arial"/>
          <w:sz w:val="16"/>
          <w:szCs w:val="16"/>
          <w:color w:val="auto"/>
        </w:rPr>
        <w:t>The Plan and all determinations made and actions taken pursuant hereto shall be governed by the laws of the State of Israel, except with respect to matters that are subject to tax laws, regulations and rules in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and by signing any agreement relating to an Award hereunder each Grantee irrevocably submits to such exclusive jurisdiction.</w:t>
      </w:r>
    </w:p>
    <w:p>
      <w:pPr>
        <w:spacing w:after="0" w:line="181" w:lineRule="exact"/>
        <w:rPr>
          <w:sz w:val="20"/>
          <w:szCs w:val="20"/>
          <w:color w:val="auto"/>
        </w:rPr>
      </w:pPr>
    </w:p>
    <w:p>
      <w:pPr>
        <w:ind w:left="560" w:hanging="435"/>
        <w:spacing w:after="0"/>
        <w:tabs>
          <w:tab w:leader="none" w:pos="560" w:val="left"/>
        </w:tabs>
        <w:numPr>
          <w:ilvl w:val="0"/>
          <w:numId w:val="263"/>
        </w:numPr>
        <w:rPr>
          <w:rFonts w:ascii="Arial" w:cs="Arial" w:eastAsia="Arial" w:hAnsi="Arial"/>
          <w:sz w:val="22"/>
          <w:szCs w:val="22"/>
          <w:color w:val="auto"/>
        </w:rPr>
      </w:pPr>
      <w:r>
        <w:rPr>
          <w:rFonts w:ascii="Arial" w:cs="Arial" w:eastAsia="Arial" w:hAnsi="Arial"/>
          <w:sz w:val="22"/>
          <w:szCs w:val="22"/>
          <w:b w:val="1"/>
          <w:bCs w:val="1"/>
          <w:u w:val="single" w:color="auto"/>
          <w:color w:val="auto"/>
        </w:rPr>
        <w:t>NON-EXCLUSIVITY OF THE PLAN</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80" w:right="119"/>
        <w:spacing w:after="0" w:line="271" w:lineRule="auto"/>
        <w:rPr>
          <w:sz w:val="20"/>
          <w:szCs w:val="20"/>
          <w:color w:val="auto"/>
        </w:rPr>
      </w:pPr>
      <w:r>
        <w:rPr>
          <w:rFonts w:ascii="Arial" w:cs="Arial" w:eastAsia="Arial" w:hAnsi="Arial"/>
          <w:sz w:val="17"/>
          <w:szCs w:val="17"/>
          <w:color w:val="auto"/>
        </w:rPr>
        <w:t>Neither the adoption of the Plan by the Board nor the submission of the Plan to shareholders of the Company for approval (to the extent required under Applicable Law), shall be construed as creating any limitations on the power or authority of the Board to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generally, or to any class or group of employees, which the Company or any Subsidiary now has lawfully put into effect, including, without limitation, any retirement, pension, savings and stock purchase plan, insurance, death and disability benefits and executive short-term or long-term incentive plans.</w:t>
      </w:r>
    </w:p>
    <w:p>
      <w:pPr>
        <w:spacing w:after="0" w:line="193" w:lineRule="exact"/>
        <w:rPr>
          <w:sz w:val="20"/>
          <w:szCs w:val="20"/>
          <w:color w:val="auto"/>
        </w:rPr>
      </w:pPr>
    </w:p>
    <w:p>
      <w:pPr>
        <w:ind w:left="560" w:hanging="435"/>
        <w:spacing w:after="0"/>
        <w:tabs>
          <w:tab w:leader="none" w:pos="560" w:val="left"/>
        </w:tabs>
        <w:numPr>
          <w:ilvl w:val="0"/>
          <w:numId w:val="264"/>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1100" w:right="119" w:hanging="521"/>
        <w:spacing w:after="0" w:line="308" w:lineRule="auto"/>
        <w:tabs>
          <w:tab w:leader="none" w:pos="10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u w:val="single" w:color="auto"/>
          <w:color w:val="auto"/>
        </w:rPr>
        <w:t>Additional Terms</w:t>
      </w:r>
      <w:r>
        <w:rPr>
          <w:rFonts w:ascii="Arial" w:cs="Arial" w:eastAsia="Arial" w:hAnsi="Arial"/>
          <w:sz w:val="17"/>
          <w:szCs w:val="17"/>
          <w:color w:val="auto"/>
        </w:rPr>
        <w:t>. Each Award awarded under the Plan may contain such other terms and conditions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inconsistent with the Plan as may be determined by the Committee, in its sole discretion.</w:t>
      </w:r>
    </w:p>
    <w:p>
      <w:pPr>
        <w:spacing w:after="0" w:line="147" w:lineRule="exact"/>
        <w:rPr>
          <w:sz w:val="20"/>
          <w:szCs w:val="20"/>
          <w:color w:val="auto"/>
        </w:rPr>
      </w:pPr>
    </w:p>
    <w:p>
      <w:pPr>
        <w:jc w:val="both"/>
        <w:ind w:left="1100" w:right="119" w:hanging="521"/>
        <w:spacing w:after="0" w:line="259" w:lineRule="auto"/>
        <w:tabs>
          <w:tab w:leader="none" w:pos="10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determined to be illegal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by any court of law in any jurisdiction, the remaining provisions hereof and thereof shall be severable and enforceable in accordance with their terms, and all provisions shall remain enforceable in any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3" w:name="page214"/>
    <w:bookmarkEnd w:id="213"/>
    <w:p>
      <w:pPr>
        <w:jc w:val="both"/>
        <w:ind w:left="1100" w:right="119"/>
        <w:spacing w:after="0" w:line="259" w:lineRule="auto"/>
        <w:rPr>
          <w:sz w:val="20"/>
          <w:szCs w:val="20"/>
          <w:color w:val="auto"/>
        </w:rPr>
      </w:pPr>
      <w:r>
        <w:rPr>
          <w:rFonts w:ascii="Arial" w:cs="Arial" w:eastAsia="Arial" w:hAnsi="Arial"/>
          <w:sz w:val="18"/>
          <w:szCs w:val="18"/>
          <w:color w:val="auto"/>
        </w:rPr>
        <w:t>jurisdiction. In addition, if any particular provision contained in this Agreement shall for any reason be held to be excessively broad as to duration, geographic scope, activity or subject, it shall be construed by limiting and reducing such provision as to such characteristic so that the provision is enforceable to fullest extent compatible with the applicable law as it shall then appear.</w:t>
      </w:r>
    </w:p>
    <w:p>
      <w:pPr>
        <w:spacing w:after="0" w:line="187" w:lineRule="exact"/>
        <w:rPr>
          <w:sz w:val="20"/>
          <w:szCs w:val="20"/>
          <w:color w:val="auto"/>
        </w:rPr>
      </w:pPr>
    </w:p>
    <w:p>
      <w:pPr>
        <w:jc w:val="both"/>
        <w:ind w:left="1080" w:right="119" w:hanging="521"/>
        <w:spacing w:after="0" w:line="264" w:lineRule="auto"/>
        <w:tabs>
          <w:tab w:leader="none" w:pos="10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u w:val="single" w:color="auto"/>
          <w:color w:val="auto"/>
        </w:rPr>
        <w:t>Captions and Titles</w:t>
      </w:r>
      <w:r>
        <w:rPr>
          <w:rFonts w:ascii="Arial" w:cs="Arial" w:eastAsia="Arial" w:hAnsi="Arial"/>
          <w:sz w:val="18"/>
          <w:szCs w:val="18"/>
          <w:color w:val="auto"/>
        </w:rPr>
        <w:t>. The use of captions and titles in this Plan or any Option Agreement, Restricted Share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or other Award related agreement is for the convenience of reference only and shall not affect the meaning of any provision of the Plan or such agreement.</w:t>
      </w:r>
    </w:p>
    <w:p>
      <w:pPr>
        <w:spacing w:after="0" w:line="195" w:lineRule="exact"/>
        <w:rPr>
          <w:sz w:val="20"/>
          <w:szCs w:val="20"/>
          <w:color w:val="auto"/>
        </w:rPr>
      </w:pPr>
    </w:p>
    <w:p>
      <w:pPr>
        <w:jc w:val="center"/>
        <w:ind w:right="-20"/>
        <w:spacing w:after="0"/>
        <w:tabs>
          <w:tab w:leader="none" w:pos="200" w:val="left"/>
          <w:tab w:leader="none" w:pos="200" w:val="left"/>
        </w:tabs>
        <w:rPr>
          <w:sz w:val="20"/>
          <w:szCs w:val="20"/>
          <w:color w:val="auto"/>
        </w:rPr>
      </w:pPr>
      <w:r>
        <w:rPr>
          <w:rFonts w:ascii="Arial" w:cs="Arial" w:eastAsia="Arial" w:hAnsi="Arial"/>
          <w:sz w:val="22"/>
          <w:szCs w:val="22"/>
          <w:b w:val="1"/>
          <w:bCs w:val="1"/>
          <w:color w:val="auto"/>
        </w:rPr>
        <w:t>*</w:t>
        <w:tab/>
        <w:t>*</w:t>
        <w:tab/>
        <w:t>*</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4" w:name="page215"/>
    <w:bookmarkEnd w:id="214"/>
    <w:p>
      <w:pPr>
        <w:jc w:val="right"/>
        <w:ind w:right="119"/>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ANAGEMENT</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ERVICES</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29" w:lineRule="exact"/>
        <w:rPr>
          <w:sz w:val="20"/>
          <w:szCs w:val="20"/>
          <w:color w:val="auto"/>
        </w:rPr>
      </w:pPr>
    </w:p>
    <w:p>
      <w:pPr>
        <w:jc w:val="both"/>
        <w:ind w:left="120" w:right="119"/>
        <w:spacing w:after="0" w:line="277" w:lineRule="auto"/>
        <w:rPr>
          <w:sz w:val="20"/>
          <w:szCs w:val="20"/>
          <w:color w:val="auto"/>
        </w:rPr>
      </w:pPr>
      <w:r>
        <w:rPr>
          <w:rFonts w:ascii="Arial" w:cs="Arial" w:eastAsia="Arial" w:hAnsi="Arial"/>
          <w:sz w:val="17"/>
          <w:szCs w:val="17"/>
          <w:color w:val="auto"/>
        </w:rPr>
        <w:t>This Management Services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August 11, 2011 by and among Kornit Digital Ltd., an Israeli company, company registration number 51-319542-0 with its principal offices located at Haamal 12 St., Park Afek, Rosh Haayin, Israel (the “</w:t>
      </w:r>
      <w:r>
        <w:rPr>
          <w:rFonts w:ascii="Arial" w:cs="Arial" w:eastAsia="Arial" w:hAnsi="Arial"/>
          <w:sz w:val="17"/>
          <w:szCs w:val="17"/>
          <w:b w:val="1"/>
          <w:bCs w:val="1"/>
          <w:color w:val="auto"/>
        </w:rPr>
        <w:t>Company</w:t>
      </w:r>
      <w:r>
        <w:rPr>
          <w:rFonts w:ascii="Arial" w:cs="Arial" w:eastAsia="Arial" w:hAnsi="Arial"/>
          <w:sz w:val="17"/>
          <w:szCs w:val="17"/>
          <w:color w:val="auto"/>
        </w:rPr>
        <w:t>”) and Fortissimo Capital Fund II (Israel) L.P., a partnership organized under the laws of the Cayman Islands, on behalf of the several parallel partnerships and any affiliated entities thereof with offices at 14 Hamelacha Street, Park Afek, Rosh Haayin (“</w:t>
      </w:r>
      <w:r>
        <w:rPr>
          <w:rFonts w:ascii="Arial" w:cs="Arial" w:eastAsia="Arial" w:hAnsi="Arial"/>
          <w:sz w:val="17"/>
          <w:szCs w:val="17"/>
          <w:b w:val="1"/>
          <w:bCs w:val="1"/>
          <w:color w:val="auto"/>
        </w:rPr>
        <w:t>Fortissimo</w:t>
      </w:r>
      <w:r>
        <w:rPr>
          <w:rFonts w:ascii="Arial" w:cs="Arial" w:eastAsia="Arial" w:hAnsi="Arial"/>
          <w:sz w:val="17"/>
          <w:szCs w:val="17"/>
          <w:color w:val="auto"/>
        </w:rPr>
        <w:t>”).</w:t>
      </w:r>
    </w:p>
    <w:p>
      <w:pPr>
        <w:sectPr>
          <w:pgSz w:w="11900" w:h="16838" w:orient="portrait"/>
          <w:cols w:equalWidth="0" w:num="1">
            <w:col w:w="9019"/>
          </w:cols>
          <w:pgMar w:left="1440" w:top="139" w:right="1440" w:bottom="1440" w:gutter="0" w:footer="0" w:header="0"/>
        </w:sectPr>
      </w:pP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ind w:right="119"/>
        <w:spacing w:after="0" w:line="264" w:lineRule="auto"/>
        <w:rPr>
          <w:sz w:val="20"/>
          <w:szCs w:val="20"/>
          <w:color w:val="auto"/>
        </w:rPr>
      </w:pPr>
      <w:r>
        <w:rPr>
          <w:rFonts w:ascii="Arial" w:cs="Arial" w:eastAsia="Arial" w:hAnsi="Arial"/>
          <w:sz w:val="18"/>
          <w:szCs w:val="18"/>
          <w:color w:val="auto"/>
        </w:rPr>
        <w:t>the Company and Fortissimo have entered into a Share Purchase Agreement dated July 18, 2011 (the “</w:t>
      </w:r>
      <w:r>
        <w:rPr>
          <w:rFonts w:ascii="Arial" w:cs="Arial" w:eastAsia="Arial" w:hAnsi="Arial"/>
          <w:sz w:val="18"/>
          <w:szCs w:val="18"/>
          <w:b w:val="1"/>
          <w:bCs w:val="1"/>
          <w:color w:val="auto"/>
        </w:rPr>
        <w:t>SPA</w:t>
      </w:r>
      <w:r>
        <w:rPr>
          <w:rFonts w:ascii="Arial" w:cs="Arial" w:eastAsia="Arial" w:hAnsi="Arial"/>
          <w:sz w:val="18"/>
          <w:szCs w:val="18"/>
          <w:color w:val="auto"/>
        </w:rPr>
        <w:t>”); all capitalized terms used and not otherwise defined herein shall have the meanings ascribed to them in the SPA);</w:t>
      </w:r>
    </w:p>
    <w:p>
      <w:pPr>
        <w:spacing w:after="0" w:line="177"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jc w:val="both"/>
        <w:ind w:right="119"/>
        <w:spacing w:after="0" w:line="259" w:lineRule="auto"/>
        <w:rPr>
          <w:sz w:val="20"/>
          <w:szCs w:val="20"/>
          <w:color w:val="auto"/>
        </w:rPr>
      </w:pPr>
      <w:r>
        <w:rPr>
          <w:rFonts w:ascii="Arial" w:cs="Arial" w:eastAsia="Arial" w:hAnsi="Arial"/>
          <w:sz w:val="18"/>
          <w:szCs w:val="18"/>
          <w:color w:val="auto"/>
        </w:rPr>
        <w:t>Fortissimo will purchase, subject to the closing of the transactions contemplated under the SPA (the “</w:t>
      </w:r>
      <w:r>
        <w:rPr>
          <w:rFonts w:ascii="Arial" w:cs="Arial" w:eastAsia="Arial" w:hAnsi="Arial"/>
          <w:sz w:val="18"/>
          <w:szCs w:val="18"/>
          <w:b w:val="1"/>
          <w:bCs w:val="1"/>
          <w:color w:val="auto"/>
        </w:rPr>
        <w:t>Closing</w:t>
      </w:r>
      <w:r>
        <w:rPr>
          <w:rFonts w:ascii="Arial" w:cs="Arial" w:eastAsia="Arial" w:hAnsi="Arial"/>
          <w:sz w:val="18"/>
          <w:szCs w:val="18"/>
          <w:color w:val="auto"/>
        </w:rPr>
        <w:t>”), a substantial shareholding position in the Company and intends to actively participate in the management of the Company, including by way of election of members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w:t>
      </w:r>
    </w:p>
    <w:p>
      <w:pPr>
        <w:spacing w:after="0" w:line="183"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jc w:val="both"/>
        <w:ind w:right="119"/>
        <w:spacing w:after="0" w:line="264" w:lineRule="auto"/>
        <w:rPr>
          <w:sz w:val="20"/>
          <w:szCs w:val="20"/>
          <w:color w:val="auto"/>
        </w:rPr>
      </w:pPr>
      <w:r>
        <w:rPr>
          <w:rFonts w:ascii="Arial" w:cs="Arial" w:eastAsia="Arial" w:hAnsi="Arial"/>
          <w:sz w:val="18"/>
          <w:szCs w:val="18"/>
          <w:color w:val="auto"/>
        </w:rPr>
        <w:t>the Company desires to retain management services from Fortissimo pursuant to the terms and conditions set forth in this Agreement, and Fortissimo agrees to provide such services to the Company on such terms and conditions.</w:t>
      </w:r>
    </w:p>
    <w:p>
      <w:pPr>
        <w:spacing w:after="0" w:line="137" w:lineRule="exact"/>
        <w:rPr>
          <w:sz w:val="20"/>
          <w:szCs w:val="20"/>
          <w:color w:val="auto"/>
        </w:rPr>
      </w:pPr>
    </w:p>
    <w:p>
      <w:pPr>
        <w:sectPr>
          <w:pgSz w:w="11900" w:h="16838" w:orient="portrait"/>
          <w:cols w:equalWidth="0" w:num="2">
            <w:col w:w="1160" w:space="720"/>
            <w:col w:w="7139"/>
          </w:cols>
          <w:pgMar w:left="1440" w:top="139" w:right="1440" w:bottom="1440" w:gutter="0" w:footer="0" w:header="0"/>
          <w:type w:val="continuous"/>
        </w:sectPr>
      </w:pPr>
    </w:p>
    <w:p>
      <w:pPr>
        <w:ind w:left="120" w:right="11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conditions hereinafter set forth,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560" w:hanging="435"/>
        <w:spacing w:after="0"/>
        <w:tabs>
          <w:tab w:leader="none" w:pos="560" w:val="left"/>
        </w:tabs>
        <w:numPr>
          <w:ilvl w:val="0"/>
          <w:numId w:val="265"/>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COPE OF</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ERVICES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20"/>
          <w:szCs w:val="20"/>
          <w:u w:val="single" w:color="auto"/>
          <w:color w:val="auto"/>
        </w:rPr>
        <w:t>Management Services</w:t>
      </w:r>
    </w:p>
    <w:p>
      <w:pPr>
        <w:spacing w:after="0" w:line="218" w:lineRule="exact"/>
        <w:rPr>
          <w:sz w:val="20"/>
          <w:szCs w:val="20"/>
          <w:color w:val="auto"/>
        </w:rPr>
      </w:pPr>
    </w:p>
    <w:p>
      <w:pPr>
        <w:jc w:val="both"/>
        <w:ind w:left="940" w:right="119" w:hanging="377"/>
        <w:spacing w:after="0" w:line="279" w:lineRule="auto"/>
        <w:rPr>
          <w:sz w:val="20"/>
          <w:szCs w:val="20"/>
          <w:color w:val="auto"/>
        </w:rPr>
      </w:pPr>
      <w:r>
        <w:rPr>
          <w:rFonts w:ascii="Arial" w:cs="Arial" w:eastAsia="Arial" w:hAnsi="Arial"/>
          <w:sz w:val="17"/>
          <w:szCs w:val="17"/>
          <w:color w:val="auto"/>
        </w:rPr>
        <w:t>1.1. Fortissimo, through its employees, officers and directors, will conduct regular meetings and discussions with members of the Company’s management, to assist and advise them on matters concerning the affairs and business of the Company and render such other management services and advice as may be agreed to from time to time by the Company and Fortissimo (the “</w:t>
      </w:r>
      <w:r>
        <w:rPr>
          <w:rFonts w:ascii="Arial" w:cs="Arial" w:eastAsia="Arial" w:hAnsi="Arial"/>
          <w:sz w:val="17"/>
          <w:szCs w:val="17"/>
          <w:b w:val="1"/>
          <w:bCs w:val="1"/>
          <w:color w:val="auto"/>
        </w:rPr>
        <w:t>Management Services</w:t>
      </w:r>
      <w:r>
        <w:rPr>
          <w:rFonts w:ascii="Arial" w:cs="Arial" w:eastAsia="Arial" w:hAnsi="Arial"/>
          <w:sz w:val="17"/>
          <w:szCs w:val="17"/>
          <w:color w:val="auto"/>
        </w:rPr>
        <w:t>”).</w:t>
      </w:r>
    </w:p>
    <w:p>
      <w:pPr>
        <w:spacing w:after="0" w:line="171"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1.2. In rendering the Management Services hereunder, Fortissimo shall cooperate with the Company and utilize professional skill and diligence to provide the expertise required in connection with such services. Fortissimo shall dedicate as much time as will be reasonably necessary for the proper performance of the Management Services.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20"/>
          <w:szCs w:val="20"/>
          <w:u w:val="single" w:color="auto"/>
          <w:color w:val="auto"/>
        </w:rPr>
        <w:t>Board Services</w:t>
      </w:r>
    </w:p>
    <w:p>
      <w:pPr>
        <w:spacing w:after="0" w:line="218" w:lineRule="exact"/>
        <w:rPr>
          <w:sz w:val="20"/>
          <w:szCs w:val="20"/>
          <w:color w:val="auto"/>
        </w:rPr>
      </w:pPr>
    </w:p>
    <w:p>
      <w:pPr>
        <w:jc w:val="both"/>
        <w:ind w:left="940" w:right="119" w:hanging="377"/>
        <w:spacing w:after="0" w:line="286" w:lineRule="auto"/>
        <w:tabs>
          <w:tab w:leader="none" w:pos="9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Fortissimo is entitled, under the terms of the SPA and subject to the Closing, to elect Four out of seven members of the Board, including the chairman of the Board (the “</w:t>
      </w:r>
      <w:r>
        <w:rPr>
          <w:rFonts w:ascii="Arial" w:cs="Arial" w:eastAsia="Arial" w:hAnsi="Arial"/>
          <w:sz w:val="17"/>
          <w:szCs w:val="17"/>
          <w:b w:val="1"/>
          <w:bCs w:val="1"/>
          <w:color w:val="auto"/>
        </w:rPr>
        <w:t>Fortissimo Directors</w:t>
      </w:r>
      <w:r>
        <w:rPr>
          <w:rFonts w:ascii="Arial" w:cs="Arial" w:eastAsia="Arial" w:hAnsi="Arial"/>
          <w:sz w:val="17"/>
          <w:szCs w:val="17"/>
          <w:color w:val="auto"/>
        </w:rPr>
        <w:t>”). The services rendered by the Fortissimo Directors will be referred hereinafter as the “</w:t>
      </w:r>
      <w:r>
        <w:rPr>
          <w:rFonts w:ascii="Arial" w:cs="Arial" w:eastAsia="Arial" w:hAnsi="Arial"/>
          <w:sz w:val="17"/>
          <w:szCs w:val="17"/>
          <w:b w:val="1"/>
          <w:bCs w:val="1"/>
          <w:color w:val="auto"/>
        </w:rPr>
        <w:t>Board Services</w:t>
      </w:r>
      <w:r>
        <w:rPr>
          <w:rFonts w:ascii="Arial" w:cs="Arial" w:eastAsia="Arial" w:hAnsi="Arial"/>
          <w:sz w:val="17"/>
          <w:szCs w:val="17"/>
          <w:color w:val="auto"/>
        </w:rPr>
        <w:t>”.</w:t>
      </w:r>
    </w:p>
    <w:p>
      <w:pPr>
        <w:spacing w:after="0" w:line="166"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1.4. For the avoidance of doubt, it is clarified that in serving as members of the Board, the Fortissimo Directors, shall not be employees of the Company, nor shall the payment of the Management Fees (defined below) by the Company create employee-employer relations between the parties hereto or entitle the Fortissimo Directors to any social benefits.</w:t>
      </w:r>
    </w:p>
    <w:p>
      <w:pPr>
        <w:spacing w:after="0" w:line="187"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1.5. In providing the Board Services, the Fortissimo Directors shall be subject to any and all fiduciary and other duties applicable under law upon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211455</wp:posOffset>
            </wp:positionV>
            <wp:extent cx="55740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type w:val="continuous"/>
        </w:sectPr>
      </w:pPr>
    </w:p>
    <w:bookmarkStart w:id="215" w:name="page216"/>
    <w:bookmarkEnd w:id="215"/>
    <w:p>
      <w:pPr>
        <w:ind w:left="560" w:hanging="435"/>
        <w:spacing w:after="0"/>
        <w:tabs>
          <w:tab w:leader="none" w:pos="560"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OMPENSATION</w:t>
      </w:r>
    </w:p>
    <w:p>
      <w:pPr>
        <w:spacing w:after="0" w:line="233" w:lineRule="exact"/>
        <w:rPr>
          <w:sz w:val="20"/>
          <w:szCs w:val="20"/>
          <w:color w:val="auto"/>
        </w:rPr>
      </w:pPr>
    </w:p>
    <w:p>
      <w:pPr>
        <w:jc w:val="both"/>
        <w:ind w:left="940" w:right="119" w:hanging="377"/>
        <w:spacing w:after="0" w:line="287" w:lineRule="auto"/>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consideration of the performance of the Management Services and the Board Services hereunder, the Company shall pay to Fortissimo management services fees as follows: (i) monthly management fees in the amount of ten thousand United States Dollar (US$10,000) plus VAT (the “</w:t>
      </w:r>
      <w:r>
        <w:rPr>
          <w:rFonts w:ascii="Arial" w:cs="Arial" w:eastAsia="Arial" w:hAnsi="Arial"/>
          <w:sz w:val="16"/>
          <w:szCs w:val="16"/>
          <w:b w:val="1"/>
          <w:bCs w:val="1"/>
          <w:color w:val="auto"/>
        </w:rPr>
        <w:t>Management Fees</w:t>
      </w:r>
      <w:r>
        <w:rPr>
          <w:rFonts w:ascii="Arial" w:cs="Arial" w:eastAsia="Arial" w:hAnsi="Arial"/>
          <w:sz w:val="16"/>
          <w:szCs w:val="16"/>
          <w:color w:val="auto"/>
        </w:rPr>
        <w:t>”); and (ii) an annual amount calculated as the positive difference between 5% of the Company’s Net Income (as defined below) in each fiscal year and the aggregate amount of the Management Fees paid in such fiscal year (the “</w:t>
      </w:r>
      <w:r>
        <w:rPr>
          <w:rFonts w:ascii="Arial" w:cs="Arial" w:eastAsia="Arial" w:hAnsi="Arial"/>
          <w:sz w:val="16"/>
          <w:szCs w:val="16"/>
          <w:b w:val="1"/>
          <w:bCs w:val="1"/>
          <w:color w:val="auto"/>
        </w:rPr>
        <w:t>Additional Fees</w:t>
      </w:r>
      <w:r>
        <w:rPr>
          <w:rFonts w:ascii="Arial" w:cs="Arial" w:eastAsia="Arial" w:hAnsi="Arial"/>
          <w:sz w:val="16"/>
          <w:szCs w:val="16"/>
          <w:color w:val="auto"/>
        </w:rPr>
        <w:t>”); provided however, that the Management Fees together with the Additional Fees paid in each fiscal year shall not exceed two hundred and fifty thousand United States Dollar (US$ 250,000). Each</w:t>
      </w:r>
    </w:p>
    <w:p>
      <w:pPr>
        <w:spacing w:after="0" w:line="3" w:lineRule="exact"/>
        <w:rPr>
          <w:sz w:val="20"/>
          <w:szCs w:val="20"/>
          <w:color w:val="auto"/>
        </w:rPr>
      </w:pPr>
    </w:p>
    <w:p>
      <w:pPr>
        <w:jc w:val="both"/>
        <w:ind w:left="940" w:right="119"/>
        <w:spacing w:after="0" w:line="231" w:lineRule="auto"/>
        <w:rPr>
          <w:sz w:val="20"/>
          <w:szCs w:val="20"/>
          <w:color w:val="auto"/>
        </w:rPr>
      </w:pPr>
      <w:r>
        <w:rPr>
          <w:rFonts w:ascii="Arial" w:cs="Arial" w:eastAsia="Arial" w:hAnsi="Arial"/>
          <w:sz w:val="18"/>
          <w:szCs w:val="18"/>
          <w:color w:val="auto"/>
        </w:rPr>
        <w:t>monthly Management Fee shall be paid not later than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of each calendar month for services rendered during the preceding calendar month. The Additional Fees shall be paid no later than thirty (30) days from the date on which the Company’s annual financial statements have been approved by the Board. For the avoidance of doubt, the payments for 2011 only shall be pro-rated for the relative part of this year commencing from the date of this Agreement.</w:t>
      </w:r>
    </w:p>
    <w:p>
      <w:pPr>
        <w:spacing w:after="0" w:line="191" w:lineRule="exact"/>
        <w:rPr>
          <w:sz w:val="20"/>
          <w:szCs w:val="20"/>
          <w:color w:val="auto"/>
        </w:rPr>
      </w:pPr>
    </w:p>
    <w:p>
      <w:pPr>
        <w:jc w:val="both"/>
        <w:ind w:left="940" w:right="119" w:firstLine="28"/>
        <w:spacing w:after="0" w:line="255" w:lineRule="auto"/>
        <w:rPr>
          <w:sz w:val="20"/>
          <w:szCs w:val="20"/>
          <w:color w:val="auto"/>
        </w:rPr>
      </w:pPr>
      <w:r>
        <w:rPr>
          <w:rFonts w:ascii="Arial" w:cs="Arial" w:eastAsia="Arial" w:hAnsi="Arial"/>
          <w:sz w:val="18"/>
          <w:szCs w:val="18"/>
          <w:color w:val="auto"/>
        </w:rPr>
        <w:t>For purpose of this Agreement the term “Net Income” shall mean the amount of net income set forth in the Company’s respective year-end financial statements, provided however, that it shall be calculated based on actual research and development expenses (rather than on R&amp;D capitalization in accordance with International Financing Reporting Standards (“IFRS”)) but after: (a) effecting a corresponding adjustment reflecting the reduced tax resulting from this calculation; and (b) adding back the applicable depreciation related to the capitalization part.</w:t>
      </w:r>
    </w:p>
    <w:p>
      <w:pPr>
        <w:spacing w:after="0" w:line="166" w:lineRule="exact"/>
        <w:rPr>
          <w:sz w:val="20"/>
          <w:szCs w:val="20"/>
          <w:color w:val="auto"/>
        </w:rPr>
      </w:pPr>
    </w:p>
    <w:p>
      <w:pPr>
        <w:jc w:val="both"/>
        <w:ind w:left="940" w:right="119" w:hanging="377"/>
        <w:spacing w:after="0" w:line="279" w:lineRule="auto"/>
        <w:rPr>
          <w:sz w:val="20"/>
          <w:szCs w:val="20"/>
          <w:color w:val="auto"/>
        </w:rPr>
      </w:pPr>
      <w:r>
        <w:rPr>
          <w:rFonts w:ascii="Arial" w:cs="Arial" w:eastAsia="Arial" w:hAnsi="Arial"/>
          <w:sz w:val="17"/>
          <w:szCs w:val="17"/>
          <w:color w:val="auto"/>
        </w:rPr>
        <w:t>2.2. The Company will reimburse Fortissimo for reasonable documented out-of-pocket business expenses borne by Fortissimo or any of its employees, directors or officers in connection with the provision of the Management Services, in accordance with policies approved by the Board, provided that Fortissimo shall notify the Company of such out-of-pocket expenses prior to the actual spending thereof.</w:t>
      </w:r>
    </w:p>
    <w:p>
      <w:pPr>
        <w:spacing w:after="0" w:line="158" w:lineRule="exact"/>
        <w:rPr>
          <w:sz w:val="20"/>
          <w:szCs w:val="20"/>
          <w:color w:val="auto"/>
        </w:rPr>
      </w:pPr>
    </w:p>
    <w:p>
      <w:pPr>
        <w:jc w:val="both"/>
        <w:ind w:left="940" w:right="119" w:hanging="377"/>
        <w:spacing w:after="0" w:line="342" w:lineRule="auto"/>
        <w:rPr>
          <w:sz w:val="20"/>
          <w:szCs w:val="20"/>
          <w:color w:val="auto"/>
        </w:rPr>
      </w:pPr>
      <w:r>
        <w:rPr>
          <w:rFonts w:ascii="Arial" w:cs="Arial" w:eastAsia="Arial" w:hAnsi="Arial"/>
          <w:sz w:val="16"/>
          <w:szCs w:val="16"/>
          <w:color w:val="auto"/>
        </w:rPr>
        <w:t>2.3. All payments under this Agreement shall be made against the issuance of valid invoices by Fortissimo to the Company. Value Added Tax (“</w:t>
      </w:r>
      <w:r>
        <w:rPr>
          <w:rFonts w:ascii="Arial" w:cs="Arial" w:eastAsia="Arial" w:hAnsi="Arial"/>
          <w:sz w:val="16"/>
          <w:szCs w:val="16"/>
          <w:b w:val="1"/>
          <w:bCs w:val="1"/>
          <w:color w:val="auto"/>
        </w:rPr>
        <w:t>VAT</w:t>
      </w:r>
      <w:r>
        <w:rPr>
          <w:rFonts w:ascii="Arial" w:cs="Arial" w:eastAsia="Arial" w:hAnsi="Arial"/>
          <w:sz w:val="16"/>
          <w:szCs w:val="16"/>
          <w:color w:val="auto"/>
        </w:rPr>
        <w:t>”) pursuant to applicable law shall be added to all payments hereunder.</w:t>
      </w:r>
    </w:p>
    <w:p>
      <w:pPr>
        <w:spacing w:after="0" w:line="110" w:lineRule="exact"/>
        <w:rPr>
          <w:sz w:val="20"/>
          <w:szCs w:val="20"/>
          <w:color w:val="auto"/>
        </w:rPr>
      </w:pPr>
    </w:p>
    <w:p>
      <w:pPr>
        <w:jc w:val="both"/>
        <w:ind w:left="940" w:right="119" w:hanging="377"/>
        <w:spacing w:after="0" w:line="289" w:lineRule="auto"/>
        <w:rPr>
          <w:sz w:val="20"/>
          <w:szCs w:val="20"/>
          <w:color w:val="auto"/>
        </w:rPr>
      </w:pPr>
      <w:r>
        <w:rPr>
          <w:rFonts w:ascii="Arial" w:cs="Arial" w:eastAsia="Arial" w:hAnsi="Arial"/>
          <w:sz w:val="16"/>
          <w:szCs w:val="16"/>
          <w:color w:val="auto"/>
        </w:rPr>
        <w:t>2.4. Except for VAT, the Management Fees and the Additional Fees shall be inclusive of all taxes that may be incurred by the Company and/or Fortissimo in connection with the payment thereof, and any such taxes shall be borne by Fortissimo. Furthermore, the Management Fees and Additional Fees are the full and final compensation for the provision of the Management Services and the Board Services and shall be in lieu of any and all payments that are due to the Fortissimo Directors in their capacity as members of the Board or any of its committees to which they are appointed, except for the right to receive options to purchase ordinary shares of the Company granted to the Company’s directors from time to time. Notwithstanding the above, Fortissimo Directors who are not employees, directors or officers of Fortissimo shall be entitled to such compensation, payments and options as are provided to the other Company Board members.</w:t>
      </w:r>
    </w:p>
    <w:p>
      <w:pPr>
        <w:spacing w:after="0" w:line="154" w:lineRule="exact"/>
        <w:rPr>
          <w:sz w:val="20"/>
          <w:szCs w:val="20"/>
          <w:color w:val="auto"/>
        </w:rPr>
      </w:pPr>
    </w:p>
    <w:p>
      <w:pPr>
        <w:ind w:left="560" w:hanging="435"/>
        <w:spacing w:after="0"/>
        <w:tabs>
          <w:tab w:leader="none" w:pos="56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ERM AND</w:t>
      </w:r>
      <w:r>
        <w:rPr>
          <w:rFonts w:ascii="Arial" w:cs="Arial" w:eastAsia="Arial" w:hAnsi="Arial"/>
          <w:sz w:val="22"/>
          <w:szCs w:val="22"/>
          <w:b w:val="1"/>
          <w:bCs w:val="1"/>
          <w:u w:val="single" w:color="auto"/>
          <w:color w:val="auto"/>
        </w:rPr>
        <w:t xml:space="preserve"> T</w:t>
      </w:r>
      <w:r>
        <w:rPr>
          <w:rFonts w:ascii="Arial" w:cs="Arial" w:eastAsia="Arial" w:hAnsi="Arial"/>
          <w:sz w:val="14"/>
          <w:szCs w:val="14"/>
          <w:b w:val="1"/>
          <w:bCs w:val="1"/>
          <w:u w:val="single" w:color="auto"/>
          <w:color w:val="auto"/>
        </w:rPr>
        <w:t>ERMINATION</w:t>
      </w:r>
    </w:p>
    <w:p>
      <w:pPr>
        <w:spacing w:after="0" w:line="219"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3.1. This Agreement shall only come into effect at the Closing of the SPA, following receipt of the approval of the Company’s shareholders at the shareholders meeting.</w:t>
      </w:r>
    </w:p>
    <w:p>
      <w:pPr>
        <w:spacing w:after="0" w:line="157"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3.2. In the event such approval is not obtained, this Agreement shall expire and become null and void, without giving any right or claim to either party in this respect. Nothing herein shall be deemed to derogate from Fortissimo’s rights under the SPA.</w:t>
      </w:r>
    </w:p>
    <w:p>
      <w:pPr>
        <w:spacing w:after="0" w:line="154" w:lineRule="exact"/>
        <w:rPr>
          <w:sz w:val="20"/>
          <w:szCs w:val="20"/>
          <w:color w:val="auto"/>
        </w:rPr>
      </w:pPr>
    </w:p>
    <w:p>
      <w:pPr>
        <w:jc w:val="both"/>
        <w:ind w:left="940" w:right="119" w:hanging="377"/>
        <w:spacing w:after="0" w:line="257" w:lineRule="auto"/>
        <w:tabs>
          <w:tab w:leader="none" w:pos="920" w:val="left"/>
        </w:tabs>
        <w:rPr>
          <w:sz w:val="20"/>
          <w:szCs w:val="20"/>
          <w:color w:val="auto"/>
        </w:rPr>
      </w:pPr>
      <w:r>
        <w:rPr>
          <w:rFonts w:ascii="Arial" w:cs="Arial" w:eastAsia="Arial" w:hAnsi="Arial"/>
          <w:sz w:val="18"/>
          <w:szCs w:val="18"/>
          <w:color w:val="auto"/>
        </w:rPr>
        <w:t>3.3.</w:t>
        <w:tab/>
        <w:t>This Agreement may be terminated by Board resolution that may be adopted at such time as the Board includes less than two (2) Fortissimo Directors and shall terminate automatically in the event that Fortissimo holds less than fifteen percent (15%) of the Company’s issued share capital. In the event of termination hereunder, Fortissimo shall be entitled to receive a pro-rated part of the Management Fees and Additional Fees until termination becomes effective.</w:t>
      </w:r>
    </w:p>
    <w:p>
      <w:pPr>
        <w:spacing w:after="0" w:line="148" w:lineRule="exact"/>
        <w:rPr>
          <w:sz w:val="20"/>
          <w:szCs w:val="20"/>
          <w:color w:val="auto"/>
        </w:rPr>
      </w:pPr>
    </w:p>
    <w:p>
      <w:pPr>
        <w:jc w:val="both"/>
        <w:ind w:left="580" w:right="119" w:hanging="455"/>
        <w:spacing w:after="0" w:line="236" w:lineRule="auto"/>
        <w:tabs>
          <w:tab w:leader="none" w:pos="602" w:val="left"/>
        </w:tabs>
        <w:numPr>
          <w:ilvl w:val="0"/>
          <w:numId w:val="268"/>
        </w:numPr>
        <w:rPr>
          <w:rFonts w:ascii="Arial" w:cs="Arial" w:eastAsia="Arial" w:hAnsi="Arial"/>
          <w:sz w:val="22"/>
          <w:szCs w:val="22"/>
          <w:color w:val="auto"/>
        </w:rPr>
      </w:pPr>
      <w:r>
        <w:rPr>
          <w:rFonts w:ascii="Arial" w:cs="Arial" w:eastAsia="Arial" w:hAnsi="Arial"/>
          <w:sz w:val="22"/>
          <w:szCs w:val="22"/>
          <w:b w:val="1"/>
          <w:bCs w:val="1"/>
          <w:u w:val="single" w:color="auto"/>
          <w:color w:val="auto"/>
        </w:rPr>
        <w:t>I</w:t>
      </w:r>
      <w:r>
        <w:rPr>
          <w:rFonts w:ascii="Arial" w:cs="Arial" w:eastAsia="Arial" w:hAnsi="Arial"/>
          <w:sz w:val="14"/>
          <w:szCs w:val="14"/>
          <w:b w:val="1"/>
          <w:bCs w:val="1"/>
          <w:u w:val="single" w:color="auto"/>
          <w:color w:val="auto"/>
        </w:rPr>
        <w:t>NDEPENDENT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ONTRACTOR</w:t>
      </w:r>
      <w:r>
        <w:rPr>
          <w:rFonts w:ascii="Arial" w:cs="Arial" w:eastAsia="Arial" w:hAnsi="Arial"/>
          <w:sz w:val="18"/>
          <w:szCs w:val="18"/>
          <w:color w:val="auto"/>
        </w:rPr>
        <w:t>. Fortissimo is an independent contractor and is not an agent or employee of the</w:t>
      </w:r>
      <w:r>
        <w:rPr>
          <w:rFonts w:ascii="Arial" w:cs="Arial" w:eastAsia="Arial" w:hAnsi="Arial"/>
          <w:sz w:val="22"/>
          <w:szCs w:val="22"/>
          <w:b w:val="1"/>
          <w:bCs w:val="1"/>
          <w:color w:val="auto"/>
        </w:rPr>
        <w:t xml:space="preserve"> </w:t>
      </w:r>
      <w:r>
        <w:rPr>
          <w:rFonts w:ascii="Arial" w:cs="Arial" w:eastAsia="Arial" w:hAnsi="Arial"/>
          <w:sz w:val="18"/>
          <w:szCs w:val="18"/>
          <w:color w:val="auto"/>
        </w:rPr>
        <w:t>Company, and has no authority to bind the Company by contract or otherwise. Fortissimo will perform the Management Services under the general direction of the Company.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16" w:name="page217"/>
    <w:bookmarkEnd w:id="216"/>
    <w:p>
      <w:pPr>
        <w:ind w:left="560" w:hanging="435"/>
        <w:spacing w:after="0"/>
        <w:tabs>
          <w:tab w:leader="none" w:pos="560" w:val="left"/>
        </w:tabs>
        <w:numPr>
          <w:ilvl w:val="0"/>
          <w:numId w:val="269"/>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ISCELLANEOUS</w:t>
      </w:r>
    </w:p>
    <w:p>
      <w:pPr>
        <w:spacing w:after="0" w:line="233" w:lineRule="exact"/>
        <w:rPr>
          <w:sz w:val="20"/>
          <w:szCs w:val="20"/>
          <w:color w:val="auto"/>
        </w:rPr>
      </w:pPr>
    </w:p>
    <w:p>
      <w:pPr>
        <w:jc w:val="both"/>
        <w:ind w:left="940" w:right="119" w:hanging="377"/>
        <w:spacing w:after="0" w:line="28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This Agreement and the SPA contain the entire agreement of the parties with relation to the subject matter hereof, and cancel and supersede all prior and contemporaneous negotiations, correspondence, understandings and agreements (oral or written) of the parties relating to such subject matter.</w:t>
      </w:r>
    </w:p>
    <w:p>
      <w:pPr>
        <w:spacing w:after="0" w:line="166"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Amendment</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for termination under Section 3.3, this Agreement may not be modified or amended except by mutual written agreement of the parties.</w:t>
      </w:r>
    </w:p>
    <w:p>
      <w:pPr>
        <w:spacing w:after="0" w:line="170"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Waiver</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w:t>
      </w:r>
    </w:p>
    <w:p>
      <w:pPr>
        <w:spacing w:after="0" w:line="181" w:lineRule="exact"/>
        <w:rPr>
          <w:sz w:val="20"/>
          <w:szCs w:val="20"/>
          <w:color w:val="auto"/>
        </w:rPr>
      </w:pPr>
    </w:p>
    <w:p>
      <w:pPr>
        <w:jc w:val="both"/>
        <w:ind w:left="940" w:right="119" w:hanging="37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Assignment</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Except as provided herein, this Agreement shall not be assigned by a party hereof to a third party without the other party’s prior written consent and any attempt to effect an assignment of this Agreement or any portion thereof without obtaining such consent shall be null and void.</w:t>
      </w:r>
    </w:p>
    <w:p>
      <w:pPr>
        <w:spacing w:after="0" w:line="181" w:lineRule="exact"/>
        <w:rPr>
          <w:sz w:val="20"/>
          <w:szCs w:val="20"/>
          <w:color w:val="auto"/>
        </w:rPr>
      </w:pPr>
    </w:p>
    <w:p>
      <w:pPr>
        <w:jc w:val="both"/>
        <w:ind w:left="940" w:right="119" w:hanging="377"/>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Severability</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In case any one or more of the provisions contained in this Agreement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w:t>
      </w:r>
    </w:p>
    <w:p>
      <w:pPr>
        <w:spacing w:after="0" w:line="187" w:lineRule="exact"/>
        <w:rPr>
          <w:sz w:val="20"/>
          <w:szCs w:val="20"/>
          <w:color w:val="auto"/>
        </w:rPr>
      </w:pPr>
    </w:p>
    <w:p>
      <w:pPr>
        <w:jc w:val="both"/>
        <w:ind w:left="940" w:right="119" w:hanging="377"/>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Notices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Any notice under this Agreement shall be in writing and shall be deemed to have been duly given for all purposes (a) seven (7) days after it is mailed by registered mail; (b) upon the transmittal thereof by facsimile or email; or (c) upon the manual delivery thereof, to the respective party’s address set forth in the preamble or to such other address with respect to a party as such party shall notify the other party in accordance with the above.</w:t>
      </w:r>
    </w:p>
    <w:p>
      <w:pPr>
        <w:spacing w:after="0" w:line="188" w:lineRule="exact"/>
        <w:rPr>
          <w:sz w:val="20"/>
          <w:szCs w:val="20"/>
          <w:color w:val="auto"/>
        </w:rPr>
      </w:pPr>
    </w:p>
    <w:p>
      <w:pPr>
        <w:jc w:val="both"/>
        <w:ind w:left="940" w:right="119" w:hanging="37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This Agreement may be executed in multiple counterparts, including, without limitation, by facsimile signature, which taken together shall constitute a single document.</w:t>
      </w:r>
    </w:p>
    <w:p>
      <w:pPr>
        <w:spacing w:after="0" w:line="170" w:lineRule="exact"/>
        <w:rPr>
          <w:sz w:val="20"/>
          <w:szCs w:val="20"/>
          <w:color w:val="auto"/>
        </w:rPr>
      </w:pPr>
    </w:p>
    <w:p>
      <w:pPr>
        <w:jc w:val="both"/>
        <w:ind w:left="940" w:right="119" w:hanging="377"/>
        <w:spacing w:after="0" w:line="257" w:lineRule="auto"/>
        <w:tabs>
          <w:tab w:leader="none" w:pos="9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and the transactions contemplated hereunder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governed by and construed in accordance with the laws of the State of Israel, without giving effect to rules respecting conflict of law that would cause the laws of any jurisdiction other than the State of Israel to be applied. The competent courts of Tel Aviv-Jaffa shall have sole and exclusive jurisdiction to hear and resolve any disputes among the parties related to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22"/>
          <w:szCs w:val="22"/>
          <w:b w:val="1"/>
          <w:bCs w:val="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217" w:name="page218"/>
    <w:bookmarkEnd w:id="217"/>
    <w:p>
      <w:pPr>
        <w:ind w:left="12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signed this Management Services Agreement as of the date first set forth above.</w:t>
      </w:r>
    </w:p>
    <w:p>
      <w:pPr>
        <w:spacing w:after="0" w:line="248" w:lineRule="exact"/>
        <w:rPr>
          <w:sz w:val="20"/>
          <w:szCs w:val="20"/>
          <w:color w:val="auto"/>
        </w:rPr>
      </w:pPr>
    </w:p>
    <w:p>
      <w:pPr>
        <w:ind w:left="700"/>
        <w:spacing w:after="0"/>
        <w:tabs>
          <w:tab w:leader="none" w:pos="4800" w:val="left"/>
        </w:tabs>
        <w:rPr>
          <w:sz w:val="20"/>
          <w:szCs w:val="20"/>
          <w:color w:val="auto"/>
        </w:rPr>
      </w:pPr>
      <w:r>
        <w:rPr>
          <w:rFonts w:ascii="Arial" w:cs="Arial" w:eastAsia="Arial" w:hAnsi="Arial"/>
          <w:sz w:val="18"/>
          <w:szCs w:val="18"/>
          <w:b w:val="1"/>
          <w:bCs w:val="1"/>
          <w:color w:val="auto"/>
        </w:rPr>
        <w:t>Kornit Digital Ltd.</w:t>
      </w:r>
      <w:r>
        <w:rPr>
          <w:sz w:val="20"/>
          <w:szCs w:val="20"/>
          <w:color w:val="auto"/>
        </w:rPr>
        <w:tab/>
      </w:r>
      <w:r>
        <w:rPr>
          <w:rFonts w:ascii="Arial" w:cs="Arial" w:eastAsia="Arial" w:hAnsi="Arial"/>
          <w:sz w:val="16"/>
          <w:szCs w:val="16"/>
          <w:b w:val="1"/>
          <w:bCs w:val="1"/>
          <w:color w:val="auto"/>
        </w:rPr>
        <w:t>Fortissimo Capital Fund II (Israel) L.P.</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By: Fortissimo Capital Fund II (GP), L.P., its general</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partner, by Fortissimo Capital 2 Management (GP) Ltd.,</w:t>
      </w:r>
    </w:p>
    <w:p>
      <w:pPr>
        <w:spacing w:after="0" w:line="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c>
          <w:tcPr>
            <w:tcW w:w="2120" w:type="dxa"/>
            <w:vAlign w:val="bottom"/>
          </w:tcPr>
          <w:p>
            <w:pPr>
              <w:ind w:left="140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Yuval Cohen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c>
          <w:tcPr>
            <w:tcW w:w="2120" w:type="dxa"/>
            <w:vAlign w:val="bottom"/>
          </w:tcPr>
          <w:p>
            <w:pPr>
              <w:ind w:left="1400"/>
              <w:spacing w:after="0"/>
              <w:rPr>
                <w:sz w:val="20"/>
                <w:szCs w:val="20"/>
                <w:color w:val="auto"/>
              </w:rPr>
            </w:pPr>
            <w:r>
              <w:rPr>
                <w:rFonts w:ascii="Arial" w:cs="Arial" w:eastAsia="Arial" w:hAnsi="Arial"/>
                <w:sz w:val="18"/>
                <w:szCs w:val="18"/>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Yuval Cohen</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2120" w:type="dxa"/>
            <w:vAlign w:val="bottom"/>
          </w:tcPr>
          <w:p>
            <w:pPr>
              <w:ind w:left="1400"/>
              <w:spacing w:after="0"/>
              <w:rPr>
                <w:sz w:val="20"/>
                <w:szCs w:val="20"/>
                <w:color w:val="auto"/>
              </w:rPr>
            </w:pPr>
            <w:r>
              <w:rPr>
                <w:rFonts w:ascii="Arial" w:cs="Arial" w:eastAsia="Arial" w:hAnsi="Arial"/>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Director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Moshe Nur</w:t>
            </w:r>
          </w:p>
        </w:tc>
        <w:tc>
          <w:tcPr>
            <w:tcW w:w="21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Moshe Nur</w:t>
            </w:r>
          </w:p>
        </w:tc>
        <w:tc>
          <w:tcPr>
            <w:tcW w:w="2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c>
          <w:tcPr>
            <w:tcW w:w="212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8" w:name="page219"/>
    <w:bookmarkEnd w:id="218"/>
    <w:p>
      <w:pPr>
        <w:ind w:left="8900"/>
        <w:spacing w:after="0"/>
        <w:rPr>
          <w:sz w:val="20"/>
          <w:szCs w:val="20"/>
          <w:color w:val="auto"/>
        </w:rPr>
      </w:pPr>
      <w:r>
        <w:rPr>
          <w:rFonts w:ascii="Arial" w:cs="Arial" w:eastAsia="Arial" w:hAnsi="Arial"/>
          <w:sz w:val="22"/>
          <w:szCs w:val="22"/>
          <w:b w:val="1"/>
          <w:bCs w:val="1"/>
          <w:color w:val="auto"/>
        </w:rPr>
        <w:t>Exhibit 21.1</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UBSIDIARIES OF</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ORNIT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IGITAL</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460" w:type="dxa"/>
            <w:vAlign w:val="bottom"/>
          </w:tcPr>
          <w:p>
            <w:pPr>
              <w:spacing w:after="0"/>
              <w:rPr>
                <w:sz w:val="20"/>
                <w:szCs w:val="20"/>
                <w:color w:val="auto"/>
              </w:rPr>
            </w:pPr>
            <w:r>
              <w:rPr>
                <w:rFonts w:ascii="Arial" w:cs="Arial" w:eastAsia="Arial" w:hAnsi="Arial"/>
                <w:sz w:val="18"/>
                <w:szCs w:val="18"/>
                <w:b w:val="1"/>
                <w:bCs w:val="1"/>
                <w:color w:val="auto"/>
              </w:rPr>
              <w:t>Place of Incorporation</w:t>
            </w:r>
          </w:p>
        </w:tc>
        <w:tc>
          <w:tcPr>
            <w:tcW w:w="2580" w:type="dxa"/>
            <w:vAlign w:val="bottom"/>
          </w:tcPr>
          <w:p>
            <w:pPr>
              <w:spacing w:after="0"/>
              <w:rPr>
                <w:sz w:val="20"/>
                <w:szCs w:val="20"/>
                <w:color w:val="auto"/>
              </w:rPr>
            </w:pPr>
          </w:p>
        </w:tc>
      </w:tr>
      <w:tr>
        <w:trPr>
          <w:trHeight w:val="195"/>
        </w:trPr>
        <w:tc>
          <w:tcPr>
            <w:tcW w:w="25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Kornit Digital Technologies Ltd.</w:t>
            </w:r>
          </w:p>
        </w:tc>
        <w:tc>
          <w:tcPr>
            <w:tcW w:w="120" w:type="dxa"/>
            <w:vAlign w:val="bottom"/>
          </w:tcPr>
          <w:p>
            <w:pPr>
              <w:spacing w:after="0"/>
              <w:rPr>
                <w:sz w:val="16"/>
                <w:szCs w:val="16"/>
                <w:color w:val="auto"/>
              </w:rPr>
            </w:pPr>
          </w:p>
        </w:tc>
        <w:tc>
          <w:tcPr>
            <w:tcW w:w="2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w:t>
            </w:r>
          </w:p>
        </w:tc>
        <w:tc>
          <w:tcPr>
            <w:tcW w:w="25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North America Inc.</w:t>
            </w:r>
          </w:p>
        </w:tc>
        <w:tc>
          <w:tcPr>
            <w:tcW w:w="2460" w:type="dxa"/>
            <w:vAlign w:val="bottom"/>
          </w:tcPr>
          <w:p>
            <w:pPr>
              <w:spacing w:after="0"/>
              <w:rPr>
                <w:sz w:val="20"/>
                <w:szCs w:val="20"/>
                <w:color w:val="auto"/>
              </w:rPr>
            </w:pPr>
            <w:r>
              <w:rPr>
                <w:rFonts w:ascii="Arial" w:cs="Arial" w:eastAsia="Arial" w:hAnsi="Arial"/>
                <w:sz w:val="18"/>
                <w:szCs w:val="18"/>
                <w:color w:val="auto"/>
              </w:rPr>
              <w:t>Delaware, United States</w:t>
            </w:r>
          </w:p>
        </w:tc>
        <w:tc>
          <w:tcPr>
            <w:tcW w:w="25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Europe GmbH</w:t>
            </w:r>
          </w:p>
        </w:tc>
        <w:tc>
          <w:tcPr>
            <w:tcW w:w="2460" w:type="dxa"/>
            <w:vAlign w:val="bottom"/>
          </w:tcPr>
          <w:p>
            <w:pPr>
              <w:spacing w:after="0"/>
              <w:rPr>
                <w:sz w:val="20"/>
                <w:szCs w:val="20"/>
                <w:color w:val="auto"/>
              </w:rPr>
            </w:pPr>
            <w:r>
              <w:rPr>
                <w:rFonts w:ascii="Arial" w:cs="Arial" w:eastAsia="Arial" w:hAnsi="Arial"/>
                <w:sz w:val="18"/>
                <w:szCs w:val="18"/>
                <w:color w:val="auto"/>
              </w:rPr>
              <w:t>Germany</w:t>
            </w:r>
          </w:p>
        </w:tc>
        <w:tc>
          <w:tcPr>
            <w:tcW w:w="25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Kornit Digital Asia Pacific Limited</w:t>
            </w:r>
          </w:p>
        </w:tc>
        <w:tc>
          <w:tcPr>
            <w:tcW w:w="2460" w:type="dxa"/>
            <w:vAlign w:val="bottom"/>
          </w:tcPr>
          <w:p>
            <w:pPr>
              <w:spacing w:after="0"/>
              <w:rPr>
                <w:sz w:val="20"/>
                <w:szCs w:val="20"/>
                <w:color w:val="auto"/>
              </w:rPr>
            </w:pPr>
            <w:r>
              <w:rPr>
                <w:rFonts w:ascii="Arial" w:cs="Arial" w:eastAsia="Arial" w:hAnsi="Arial"/>
                <w:sz w:val="18"/>
                <w:szCs w:val="18"/>
                <w:color w:val="auto"/>
              </w:rPr>
              <w:t>Hong Kong</w:t>
            </w:r>
          </w:p>
        </w:tc>
        <w:tc>
          <w:tcPr>
            <w:tcW w:w="2580" w:type="dxa"/>
            <w:vAlign w:val="bottom"/>
          </w:tcPr>
          <w:p>
            <w:pPr>
              <w:spacing w:after="0"/>
              <w:rPr>
                <w:sz w:val="20"/>
                <w:szCs w:val="20"/>
                <w:color w:val="auto"/>
              </w:rPr>
            </w:pPr>
          </w:p>
        </w:tc>
      </w:tr>
      <w:tr>
        <w:trPr>
          <w:trHeight w:val="716"/>
        </w:trPr>
        <w:tc>
          <w:tcPr>
            <w:tcW w:w="2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20" w:top="13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1)"/>
      <w:numFmt w:val="decimal"/>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
      <w:numFmt w:val="bullet"/>
      <w:start w:val="1"/>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
      <w:numFmt w:val="bullet"/>
      <w:start w:val="1"/>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1)"/>
      <w:numFmt w:val="decimal"/>
      <w:start w:val="2"/>
    </w:lvl>
  </w:abstractNum>
  <w:abstractNum w:abstractNumId="10">
    <w:nsid w:val="1849C29B"/>
    <w:multiLevelType w:val="hybridMultilevel"/>
    <w:lvl w:ilvl="0">
      <w:lvlJc w:val="left"/>
      <w:lvlText w:val="(%1)"/>
      <w:numFmt w:val="decimal"/>
      <w:start w:val="5"/>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
      <w:numFmt w:val="bullet"/>
      <w:start w:val="1"/>
    </w:lvl>
  </w:abstractNum>
  <w:abstractNum w:abstractNumId="15">
    <w:nsid w:val="1816F8C4"/>
    <w:multiLevelType w:val="hybridMultilevel"/>
    <w:lvl w:ilvl="0">
      <w:lvlJc w:val="left"/>
      <w:lvlText w:val="•"/>
      <w:numFmt w:val="bullet"/>
      <w:start w:val="1"/>
    </w:lvl>
  </w:abstractNum>
  <w:abstractNum w:abstractNumId="16">
    <w:nsid w:val="37DF2233"/>
    <w:multiLevelType w:val="hybridMultilevel"/>
    <w:lvl w:ilvl="0">
      <w:lvlJc w:val="left"/>
      <w:lvlText w:val="•"/>
      <w:numFmt w:val="bullet"/>
      <w:start w:val="1"/>
    </w:lvl>
  </w:abstractNum>
  <w:abstractNum w:abstractNumId="17">
    <w:nsid w:val="7AB49DAF"/>
    <w:multiLevelType w:val="hybridMultilevel"/>
    <w:lvl w:ilvl="0">
      <w:lvlJc w:val="left"/>
      <w:lvlText w:val="•"/>
      <w:numFmt w:val="bullet"/>
      <w:start w:val="1"/>
    </w:lvl>
  </w:abstractNum>
  <w:abstractNum w:abstractNumId="18">
    <w:nsid w:val="759F82CD"/>
    <w:multiLevelType w:val="hybridMultilevel"/>
    <w:lvl w:ilvl="0">
      <w:lvlJc w:val="left"/>
      <w:lvlText w:val="•"/>
      <w:numFmt w:val="bullet"/>
      <w:start w:val="1"/>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
      <w:numFmt w:val="bullet"/>
      <w:start w:val="1"/>
    </w:lvl>
  </w:abstractNum>
  <w:abstractNum w:abstractNumId="21">
    <w:nsid w:val="F819E7F"/>
    <w:multiLevelType w:val="hybridMultilevel"/>
    <w:lvl w:ilvl="0">
      <w:lvlJc w:val="left"/>
      <w:lvlText w:val="•"/>
      <w:numFmt w:val="bullet"/>
      <w:start w:val="1"/>
    </w:lvl>
  </w:abstractNum>
  <w:abstractNum w:abstractNumId="22">
    <w:nsid w:val="57C7D42D"/>
    <w:multiLevelType w:val="hybridMultilevel"/>
    <w:lvl w:ilvl="0">
      <w:lvlJc w:val="left"/>
      <w:lvlText w:val="•"/>
      <w:numFmt w:val="bullet"/>
      <w:start w:val="1"/>
    </w:lvl>
  </w:abstractNum>
  <w:abstractNum w:abstractNumId="23">
    <w:nsid w:val="312167AD"/>
    <w:multiLevelType w:val="hybridMultilevel"/>
    <w:lvl w:ilvl="0">
      <w:lvlJc w:val="left"/>
      <w:lvlText w:val="(%1)"/>
      <w:numFmt w:val="decimal"/>
      <w:start w:val="2"/>
    </w:lvl>
  </w:abstractNum>
  <w:abstractNum w:abstractNumId="24">
    <w:nsid w:val="631B64D4"/>
    <w:multiLevelType w:val="hybridMultilevel"/>
    <w:lvl w:ilvl="0">
      <w:lvlJc w:val="left"/>
      <w:lvlText w:val="•"/>
      <w:numFmt w:val="bullet"/>
      <w:start w:val="1"/>
    </w:lvl>
  </w:abstractNum>
  <w:abstractNum w:abstractNumId="25">
    <w:nsid w:val="78B5E776"/>
    <w:multiLevelType w:val="hybridMultilevel"/>
    <w:lvl w:ilvl="0">
      <w:lvlJc w:val="left"/>
      <w:lvlText w:val="(%1)"/>
      <w:numFmt w:val="decimal"/>
      <w:start w:val="1"/>
    </w:lvl>
  </w:abstractNum>
  <w:abstractNum w:abstractNumId="26">
    <w:nsid w:val="75486E47"/>
    <w:multiLevelType w:val="hybridMultilevel"/>
    <w:lvl w:ilvl="0">
      <w:lvlJc w:val="left"/>
      <w:lvlText w:val="•"/>
      <w:numFmt w:val="bullet"/>
      <w:start w:val="1"/>
    </w:lvl>
  </w:abstractNum>
  <w:abstractNum w:abstractNumId="27">
    <w:nsid w:val="6E534CDE"/>
    <w:multiLevelType w:val="hybridMultilevel"/>
    <w:lvl w:ilvl="0">
      <w:lvlJc w:val="left"/>
      <w:lvlText w:val="•"/>
      <w:numFmt w:val="bullet"/>
      <w:start w:val="1"/>
    </w:lvl>
  </w:abstractNum>
  <w:abstractNum w:abstractNumId="28">
    <w:nsid w:val="1A0DDE32"/>
    <w:multiLevelType w:val="hybridMultilevel"/>
    <w:lvl w:ilvl="0">
      <w:lvlJc w:val="left"/>
      <w:lvlText w:val="•"/>
      <w:numFmt w:val="bullet"/>
      <w:start w:val="1"/>
    </w:lvl>
  </w:abstractNum>
  <w:abstractNum w:abstractNumId="29">
    <w:nsid w:val="65968C1C"/>
    <w:multiLevelType w:val="hybridMultilevel"/>
    <w:lvl w:ilvl="0">
      <w:lvlJc w:val="left"/>
      <w:lvlText w:val="•"/>
      <w:numFmt w:val="bullet"/>
      <w:start w:val="1"/>
    </w:lvl>
  </w:abstractNum>
  <w:abstractNum w:abstractNumId="30">
    <w:nsid w:val="46263DEC"/>
    <w:multiLevelType w:val="hybridMultilevel"/>
    <w:lvl w:ilvl="0">
      <w:lvlJc w:val="left"/>
      <w:lvlText w:val="•"/>
      <w:numFmt w:val="bullet"/>
      <w:start w:val="1"/>
    </w:lvl>
  </w:abstractNum>
  <w:abstractNum w:abstractNumId="31">
    <w:nsid w:val="260D8C4A"/>
    <w:multiLevelType w:val="hybridMultilevel"/>
    <w:lvl w:ilvl="0">
      <w:lvlJc w:val="left"/>
      <w:lvlText w:val="•"/>
      <w:numFmt w:val="bullet"/>
      <w:start w:val="1"/>
    </w:lvl>
  </w:abstractNum>
  <w:abstractNum w:abstractNumId="32">
    <w:nsid w:val="73D4D3C4"/>
    <w:multiLevelType w:val="hybridMultilevel"/>
    <w:lvl w:ilvl="0">
      <w:lvlJc w:val="left"/>
      <w:lvlText w:val="•"/>
      <w:numFmt w:val="bullet"/>
      <w:start w:val="1"/>
    </w:lvl>
  </w:abstractNum>
  <w:abstractNum w:abstractNumId="33">
    <w:nsid w:val="746F2E30"/>
    <w:multiLevelType w:val="hybridMultilevel"/>
    <w:lvl w:ilvl="0">
      <w:lvlJc w:val="left"/>
      <w:lvlText w:val="•"/>
      <w:numFmt w:val="bullet"/>
      <w:start w:val="1"/>
    </w:lvl>
  </w:abstractNum>
  <w:abstractNum w:abstractNumId="34">
    <w:nsid w:val="6FDE8AF6"/>
    <w:multiLevelType w:val="hybridMultilevel"/>
    <w:lvl w:ilvl="0">
      <w:lvlJc w:val="left"/>
      <w:lvlText w:val="•"/>
      <w:numFmt w:val="bullet"/>
      <w:start w:val="1"/>
    </w:lvl>
  </w:abstractNum>
  <w:abstractNum w:abstractNumId="35">
    <w:nsid w:val="3FC32E20"/>
    <w:multiLevelType w:val="hybridMultilevel"/>
    <w:lvl w:ilvl="0">
      <w:lvlJc w:val="left"/>
      <w:lvlText w:val="•"/>
      <w:numFmt w:val="bullet"/>
      <w:start w:val="1"/>
    </w:lvl>
  </w:abstractNum>
  <w:abstractNum w:abstractNumId="36">
    <w:nsid w:val="49C0E823"/>
    <w:multiLevelType w:val="hybridMultilevel"/>
    <w:lvl w:ilvl="0">
      <w:lvlJc w:val="left"/>
      <w:lvlText w:val="•"/>
      <w:numFmt w:val="bullet"/>
      <w:start w:val="1"/>
    </w:lvl>
  </w:abstractNum>
  <w:abstractNum w:abstractNumId="37">
    <w:nsid w:val="14D53685"/>
    <w:multiLevelType w:val="hybridMultilevel"/>
    <w:lvl w:ilvl="0">
      <w:lvlJc w:val="left"/>
      <w:lvlText w:val="•"/>
      <w:numFmt w:val="bullet"/>
      <w:start w:val="1"/>
    </w:lvl>
  </w:abstractNum>
  <w:abstractNum w:abstractNumId="38">
    <w:nsid w:val="230F856C"/>
    <w:multiLevelType w:val="hybridMultilevel"/>
    <w:lvl w:ilvl="0">
      <w:lvlJc w:val="left"/>
      <w:lvlText w:val="•"/>
      <w:numFmt w:val="bullet"/>
      <w:start w:val="1"/>
    </w:lvl>
  </w:abstractNum>
  <w:abstractNum w:abstractNumId="39">
    <w:nsid w:val="6EAA85FB"/>
    <w:multiLevelType w:val="hybridMultilevel"/>
    <w:lvl w:ilvl="0">
      <w:lvlJc w:val="left"/>
      <w:lvlText w:val="•"/>
      <w:numFmt w:val="bullet"/>
      <w:start w:val="1"/>
    </w:lvl>
  </w:abstractNum>
  <w:abstractNum w:abstractNumId="40">
    <w:nsid w:val="3F06ECB2"/>
    <w:multiLevelType w:val="hybridMultilevel"/>
    <w:lvl w:ilvl="0">
      <w:lvlJc w:val="left"/>
      <w:lvlText w:val="•"/>
      <w:numFmt w:val="bullet"/>
      <w:start w:val="1"/>
    </w:lvl>
  </w:abstractNum>
  <w:abstractNum w:abstractNumId="41">
    <w:nsid w:val="3B594807"/>
    <w:multiLevelType w:val="hybridMultilevel"/>
    <w:lvl w:ilvl="0">
      <w:lvlJc w:val="left"/>
      <w:lvlText w:val=","/>
      <w:numFmt w:val="bullet"/>
      <w:start w:val="1"/>
    </w:lvl>
  </w:abstractNum>
  <w:abstractNum w:abstractNumId="42">
    <w:nsid w:val="6CAA2304"/>
    <w:multiLevelType w:val="hybridMultilevel"/>
    <w:lvl w:ilvl="0">
      <w:lvlJc w:val="left"/>
      <w:lvlText w:val="•"/>
      <w:numFmt w:val="bullet"/>
      <w:start w:val="1"/>
    </w:lvl>
  </w:abstractNum>
  <w:abstractNum w:abstractNumId="43">
    <w:nsid w:val="3F7C2FF4"/>
    <w:multiLevelType w:val="hybridMultilevel"/>
    <w:lvl w:ilvl="0">
      <w:lvlJc w:val="left"/>
      <w:lvlText w:val="•"/>
      <w:numFmt w:val="bullet"/>
      <w:start w:val="1"/>
    </w:lvl>
  </w:abstractNum>
  <w:abstractNum w:abstractNumId="44">
    <w:nsid w:val="25413BEC"/>
    <w:multiLevelType w:val="hybridMultilevel"/>
    <w:lvl w:ilvl="0">
      <w:lvlJc w:val="left"/>
      <w:lvlText w:val="•"/>
      <w:numFmt w:val="bullet"/>
      <w:start w:val="1"/>
    </w:lvl>
  </w:abstractNum>
  <w:abstractNum w:abstractNumId="45">
    <w:nsid w:val="17180B0B"/>
    <w:multiLevelType w:val="hybridMultilevel"/>
    <w:lvl w:ilvl="0">
      <w:lvlJc w:val="left"/>
      <w:lvlText w:val="•"/>
      <w:numFmt w:val="bullet"/>
      <w:start w:val="1"/>
    </w:lvl>
  </w:abstractNum>
  <w:abstractNum w:abstractNumId="46">
    <w:nsid w:val="579328B9"/>
    <w:multiLevelType w:val="hybridMultilevel"/>
    <w:lvl w:ilvl="0">
      <w:lvlJc w:val="left"/>
      <w:lvlText w:val="•"/>
      <w:numFmt w:val="bullet"/>
      <w:start w:val="1"/>
    </w:lvl>
  </w:abstractNum>
  <w:abstractNum w:abstractNumId="47">
    <w:nsid w:val="5D205E20"/>
    <w:multiLevelType w:val="hybridMultilevel"/>
    <w:lvl w:ilvl="0">
      <w:lvlJc w:val="left"/>
      <w:lvlText w:val="•"/>
      <w:numFmt w:val="bullet"/>
      <w:start w:val="1"/>
    </w:lvl>
  </w:abstractNum>
  <w:abstractNum w:abstractNumId="48">
    <w:nsid w:val="11CCA8BA"/>
    <w:multiLevelType w:val="hybridMultilevel"/>
    <w:lvl w:ilvl="0">
      <w:lvlJc w:val="left"/>
      <w:lvlText w:val="•"/>
      <w:numFmt w:val="bullet"/>
      <w:start w:val="1"/>
    </w:lvl>
  </w:abstractNum>
  <w:abstractNum w:abstractNumId="49">
    <w:nsid w:val="4D32AB86"/>
    <w:multiLevelType w:val="hybridMultilevel"/>
    <w:lvl w:ilvl="0">
      <w:lvlJc w:val="left"/>
      <w:lvlText w:val="•"/>
      <w:numFmt w:val="bullet"/>
      <w:start w:val="1"/>
    </w:lvl>
  </w:abstractNum>
  <w:abstractNum w:abstractNumId="50">
    <w:nsid w:val="3F07ACC3"/>
    <w:multiLevelType w:val="hybridMultilevel"/>
    <w:lvl w:ilvl="0">
      <w:lvlJc w:val="left"/>
      <w:lvlText w:val="•"/>
      <w:numFmt w:val="bullet"/>
      <w:start w:val="1"/>
    </w:lvl>
  </w:abstractNum>
  <w:abstractNum w:abstractNumId="51">
    <w:nsid w:val="6B47F63E"/>
    <w:multiLevelType w:val="hybridMultilevel"/>
    <w:lvl w:ilvl="0">
      <w:lvlJc w:val="left"/>
      <w:lvlText w:val="•"/>
      <w:numFmt w:val="bullet"/>
      <w:start w:val="1"/>
    </w:lvl>
  </w:abstractNum>
  <w:abstractNum w:abstractNumId="52">
    <w:nsid w:val="5CB44A05"/>
    <w:multiLevelType w:val="hybridMultilevel"/>
    <w:lvl w:ilvl="0">
      <w:lvlJc w:val="left"/>
      <w:lvlText w:val="•"/>
      <w:numFmt w:val="bullet"/>
      <w:start w:val="1"/>
    </w:lvl>
  </w:abstractNum>
  <w:abstractNum w:abstractNumId="53">
    <w:nsid w:val="16CF80F1"/>
    <w:multiLevelType w:val="hybridMultilevel"/>
    <w:lvl w:ilvl="0">
      <w:lvlJc w:val="left"/>
      <w:lvlText w:val="•"/>
      <w:numFmt w:val="bullet"/>
      <w:start w:val="1"/>
    </w:lvl>
  </w:abstractNum>
  <w:abstractNum w:abstractNumId="54">
    <w:nsid w:val="1C695DEC"/>
    <w:multiLevelType w:val="hybridMultilevel"/>
    <w:lvl w:ilvl="0">
      <w:lvlJc w:val="left"/>
      <w:lvlText w:val="•"/>
      <w:numFmt w:val="bullet"/>
      <w:start w:val="1"/>
    </w:lvl>
  </w:abstractNum>
  <w:abstractNum w:abstractNumId="55">
    <w:nsid w:val="3FCFAED9"/>
    <w:multiLevelType w:val="hybridMultilevel"/>
    <w:lvl w:ilvl="0">
      <w:lvlJc w:val="left"/>
      <w:lvlText w:val="•"/>
      <w:numFmt w:val="bullet"/>
      <w:start w:val="1"/>
    </w:lvl>
  </w:abstractNum>
  <w:abstractNum w:abstractNumId="56">
    <w:nsid w:val="F856867"/>
    <w:multiLevelType w:val="hybridMultilevel"/>
    <w:lvl w:ilvl="0">
      <w:lvlJc w:val="left"/>
      <w:lvlText w:val="•"/>
      <w:numFmt w:val="bullet"/>
      <w:start w:val="1"/>
    </w:lvl>
  </w:abstractNum>
  <w:abstractNum w:abstractNumId="57">
    <w:nsid w:val="11B1CC33"/>
    <w:multiLevelType w:val="hybridMultilevel"/>
    <w:lvl w:ilvl="0">
      <w:lvlJc w:val="left"/>
      <w:lvlText w:val="(%1)"/>
      <w:numFmt w:val="lowerLetter"/>
      <w:start w:val="3"/>
    </w:lvl>
    <w:lvl w:ilvl="1">
      <w:lvlJc w:val="left"/>
      <w:lvlText w:val="•"/>
      <w:numFmt w:val="bullet"/>
      <w:start w:val="1"/>
    </w:lvl>
  </w:abstractNum>
  <w:abstractNum w:abstractNumId="58">
    <w:nsid w:val="2E22FBB7"/>
    <w:multiLevelType w:val="hybridMultilevel"/>
    <w:lvl w:ilvl="0">
      <w:lvlJc w:val="left"/>
      <w:lvlText w:val="•"/>
      <w:numFmt w:val="bullet"/>
      <w:start w:val="1"/>
    </w:lvl>
  </w:abstractNum>
  <w:abstractNum w:abstractNumId="59">
    <w:nsid w:val="29934699"/>
    <w:multiLevelType w:val="hybridMultilevel"/>
    <w:lvl w:ilvl="0">
      <w:lvlJc w:val="left"/>
      <w:lvlText w:val="•"/>
      <w:numFmt w:val="bullet"/>
      <w:start w:val="1"/>
    </w:lvl>
  </w:abstractNum>
  <w:abstractNum w:abstractNumId="60">
    <w:nsid w:val="77485850"/>
    <w:multiLevelType w:val="hybridMultilevel"/>
    <w:lvl w:ilvl="0">
      <w:lvlJc w:val="left"/>
      <w:lvlText w:val="•"/>
      <w:numFmt w:val="bullet"/>
      <w:start w:val="1"/>
    </w:lvl>
  </w:abstractNum>
  <w:abstractNum w:abstractNumId="61">
    <w:nsid w:val="744939A3"/>
    <w:multiLevelType w:val="hybridMultilevel"/>
    <w:lvl w:ilvl="0">
      <w:lvlJc w:val="left"/>
      <w:lvlText w:val="•"/>
      <w:numFmt w:val="bullet"/>
      <w:start w:val="1"/>
    </w:lvl>
  </w:abstractNum>
  <w:abstractNum w:abstractNumId="62">
    <w:nsid w:val="4FA0D2E3"/>
    <w:multiLevelType w:val="hybridMultilevel"/>
    <w:lvl w:ilvl="0">
      <w:lvlJc w:val="left"/>
      <w:lvlText w:val="•"/>
      <w:numFmt w:val="bullet"/>
      <w:start w:val="1"/>
    </w:lvl>
  </w:abstractNum>
  <w:abstractNum w:abstractNumId="63">
    <w:nsid w:val="6B1D2C14"/>
    <w:multiLevelType w:val="hybridMultilevel"/>
    <w:lvl w:ilvl="0">
      <w:lvlJc w:val="left"/>
      <w:lvlText w:val="*"/>
      <w:numFmt w:val="bullet"/>
      <w:start w:val="1"/>
    </w:lvl>
  </w:abstractNum>
  <w:abstractNum w:abstractNumId="64">
    <w:nsid w:val="68B867D3"/>
    <w:multiLevelType w:val="hybridMultilevel"/>
    <w:lvl w:ilvl="0">
      <w:lvlJc w:val="left"/>
      <w:lvlText w:val="(%1)"/>
      <w:numFmt w:val="decimal"/>
      <w:start w:val="1"/>
    </w:lvl>
  </w:abstractNum>
  <w:abstractNum w:abstractNumId="65">
    <w:nsid w:val="3F7F5DD9"/>
    <w:multiLevelType w:val="hybridMultilevel"/>
    <w:lvl w:ilvl="0">
      <w:lvlJc w:val="left"/>
      <w:lvlText w:val="•"/>
      <w:numFmt w:val="bullet"/>
      <w:start w:val="1"/>
    </w:lvl>
  </w:abstractNum>
  <w:abstractNum w:abstractNumId="66">
    <w:nsid w:val="2AE05A34"/>
    <w:multiLevelType w:val="hybridMultilevel"/>
    <w:lvl w:ilvl="0">
      <w:lvlJc w:val="left"/>
      <w:lvlText w:val="•"/>
      <w:numFmt w:val="bullet"/>
      <w:start w:val="1"/>
    </w:lvl>
  </w:abstractNum>
  <w:abstractNum w:abstractNumId="67">
    <w:nsid w:val="32794FF7"/>
    <w:multiLevelType w:val="hybridMultilevel"/>
    <w:lvl w:ilvl="0">
      <w:lvlJc w:val="left"/>
      <w:lvlText w:val="•"/>
      <w:numFmt w:val="bullet"/>
      <w:start w:val="1"/>
    </w:lvl>
  </w:abstractNum>
  <w:abstractNum w:abstractNumId="68">
    <w:nsid w:val="5454945E"/>
    <w:multiLevelType w:val="hybridMultilevel"/>
    <w:lvl w:ilvl="0">
      <w:lvlJc w:val="left"/>
      <w:lvlText w:val="•"/>
      <w:numFmt w:val="bullet"/>
      <w:start w:val="1"/>
    </w:lvl>
  </w:abstractNum>
  <w:abstractNum w:abstractNumId="69">
    <w:nsid w:val="4DEFDFA0"/>
    <w:multiLevelType w:val="hybridMultilevel"/>
    <w:lvl w:ilvl="0">
      <w:lvlJc w:val="left"/>
      <w:lvlText w:val="(%1)"/>
      <w:numFmt w:val="lowerRoman"/>
      <w:start w:val="2"/>
    </w:lvl>
  </w:abstractNum>
  <w:abstractNum w:abstractNumId="70">
    <w:nsid w:val="2123D5F2"/>
    <w:multiLevelType w:val="hybridMultilevel"/>
    <w:lvl w:ilvl="0">
      <w:lvlJc w:val="left"/>
      <w:lvlText w:val="•"/>
      <w:numFmt w:val="bullet"/>
      <w:start w:val="1"/>
    </w:lvl>
  </w:abstractNum>
  <w:abstractNum w:abstractNumId="71">
    <w:nsid w:val="135B8110"/>
    <w:multiLevelType w:val="hybridMultilevel"/>
    <w:lvl w:ilvl="0">
      <w:lvlJc w:val="left"/>
      <w:lvlText w:val="•"/>
      <w:numFmt w:val="bullet"/>
      <w:start w:val="1"/>
    </w:lvl>
  </w:abstractNum>
  <w:abstractNum w:abstractNumId="72">
    <w:nsid w:val="94927A8"/>
    <w:multiLevelType w:val="hybridMultilevel"/>
    <w:lvl w:ilvl="0">
      <w:lvlJc w:val="left"/>
      <w:lvlText w:val="•"/>
      <w:numFmt w:val="bullet"/>
      <w:start w:val="1"/>
    </w:lvl>
  </w:abstractNum>
  <w:abstractNum w:abstractNumId="73">
    <w:nsid w:val="DCDF8F6"/>
    <w:multiLevelType w:val="hybridMultilevel"/>
    <w:lvl w:ilvl="0">
      <w:lvlJc w:val="left"/>
      <w:lvlText w:val="•"/>
      <w:numFmt w:val="bullet"/>
      <w:start w:val="1"/>
    </w:lvl>
  </w:abstractNum>
  <w:abstractNum w:abstractNumId="74">
    <w:nsid w:val="52D7B105"/>
    <w:multiLevelType w:val="hybridMultilevel"/>
    <w:lvl w:ilvl="0">
      <w:lvlJc w:val="left"/>
      <w:lvlText w:val="•"/>
      <w:numFmt w:val="bullet"/>
      <w:start w:val="1"/>
    </w:lvl>
  </w:abstractNum>
  <w:abstractNum w:abstractNumId="75">
    <w:nsid w:val="2E8A6394"/>
    <w:multiLevelType w:val="hybridMultilevel"/>
    <w:lvl w:ilvl="0">
      <w:lvlJc w:val="left"/>
      <w:lvlText w:val="•"/>
      <w:numFmt w:val="bullet"/>
      <w:start w:val="1"/>
    </w:lvl>
  </w:abstractNum>
  <w:abstractNum w:abstractNumId="76">
    <w:nsid w:val="24E60401"/>
    <w:multiLevelType w:val="hybridMultilevel"/>
    <w:lvl w:ilvl="0">
      <w:lvlJc w:val="left"/>
      <w:lvlText w:val="•"/>
      <w:numFmt w:val="bullet"/>
      <w:start w:val="1"/>
    </w:lvl>
  </w:abstractNum>
  <w:abstractNum w:abstractNumId="77">
    <w:nsid w:val="2A6AD9BE"/>
    <w:multiLevelType w:val="hybridMultilevel"/>
    <w:lvl w:ilvl="0">
      <w:lvlJc w:val="left"/>
      <w:lvlText w:val="•"/>
      <w:numFmt w:val="bullet"/>
      <w:start w:val="1"/>
    </w:lvl>
  </w:abstractNum>
  <w:abstractNum w:abstractNumId="78">
    <w:nsid w:val="BAAC1B4"/>
    <w:multiLevelType w:val="hybridMultilevel"/>
    <w:lvl w:ilvl="0">
      <w:lvlJc w:val="left"/>
      <w:lvlText w:val="•"/>
      <w:numFmt w:val="bullet"/>
      <w:start w:val="1"/>
    </w:lvl>
  </w:abstractNum>
  <w:abstractNum w:abstractNumId="79">
    <w:nsid w:val="36B2ACBC"/>
    <w:multiLevelType w:val="hybridMultilevel"/>
    <w:lvl w:ilvl="0">
      <w:lvlJc w:val="left"/>
      <w:lvlText w:val="•"/>
      <w:numFmt w:val="bullet"/>
      <w:start w:val="1"/>
    </w:lvl>
  </w:abstractNum>
  <w:abstractNum w:abstractNumId="80">
    <w:nsid w:val="779D8544"/>
    <w:multiLevelType w:val="hybridMultilevel"/>
    <w:lvl w:ilvl="0">
      <w:lvlJc w:val="left"/>
      <w:lvlText w:val="•"/>
      <w:numFmt w:val="bullet"/>
      <w:start w:val="1"/>
    </w:lvl>
  </w:abstractNum>
  <w:abstractNum w:abstractNumId="81">
    <w:nsid w:val="4AB26E78"/>
    <w:multiLevelType w:val="hybridMultilevel"/>
    <w:lvl w:ilvl="0">
      <w:lvlJc w:val="left"/>
      <w:lvlText w:val="%1."/>
      <w:numFmt w:val="lowerLetter"/>
      <w:start w:val="1"/>
    </w:lvl>
  </w:abstractNum>
  <w:abstractNum w:abstractNumId="82">
    <w:nsid w:val="21FAA2FA"/>
    <w:multiLevelType w:val="hybridMultilevel"/>
    <w:lvl w:ilvl="0">
      <w:lvlJc w:val="left"/>
      <w:lvlText w:val="%1."/>
      <w:numFmt w:val="lowerLetter"/>
      <w:start w:val="6"/>
    </w:lvl>
  </w:abstractNum>
  <w:abstractNum w:abstractNumId="83">
    <w:nsid w:val="5451CF49"/>
    <w:multiLevelType w:val="hybridMultilevel"/>
    <w:lvl w:ilvl="0">
      <w:lvlJc w:val="left"/>
      <w:lvlText w:val="%1."/>
      <w:numFmt w:val="lowerRoman"/>
      <w:start w:val="1"/>
    </w:lvl>
  </w:abstractNum>
  <w:abstractNum w:abstractNumId="84">
    <w:nsid w:val="6181EF69"/>
    <w:multiLevelType w:val="hybridMultilevel"/>
    <w:lvl w:ilvl="0">
      <w:lvlJc w:val="left"/>
      <w:lvlText w:val="%1."/>
      <w:numFmt w:val="lowerLetter"/>
      <w:start w:val="9"/>
    </w:lvl>
    <w:lvl w:ilvl="1">
      <w:lvlJc w:val="left"/>
      <w:lvlText w:val="(*)"/>
      <w:numFmt w:val="bullet"/>
      <w:start w:val="1"/>
    </w:lvl>
  </w:abstractNum>
  <w:abstractNum w:abstractNumId="85">
    <w:nsid w:val="3E6400E6"/>
    <w:multiLevelType w:val="hybridMultilevel"/>
    <w:lvl w:ilvl="0">
      <w:lvlJc w:val="left"/>
      <w:lvlText w:val="%1."/>
      <w:numFmt w:val="lowerLetter"/>
      <w:start w:val="12"/>
    </w:lvl>
  </w:abstractNum>
  <w:abstractNum w:abstractNumId="86">
    <w:nsid w:val="14217E23"/>
    <w:multiLevelType w:val="hybridMultilevel"/>
    <w:lvl w:ilvl="0">
      <w:lvlJc w:val="left"/>
      <w:lvlText w:val="\emdash "/>
      <w:numFmt w:val="bullet"/>
      <w:start w:val="1"/>
    </w:lvl>
  </w:abstractNum>
  <w:abstractNum w:abstractNumId="87">
    <w:nsid w:val="710757D0"/>
    <w:multiLevelType w:val="hybridMultilevel"/>
    <w:lvl w:ilvl="0">
      <w:lvlJc w:val="left"/>
      <w:lvlText w:val="%1."/>
      <w:numFmt w:val="lowerLetter"/>
      <w:start w:val="18"/>
    </w:lvl>
  </w:abstractNum>
  <w:abstractNum w:abstractNumId="88">
    <w:nsid w:val="5015CD1A"/>
    <w:multiLevelType w:val="hybridMultilevel"/>
    <w:lvl w:ilvl="0">
      <w:lvlJc w:val="left"/>
      <w:lvlText w:val="%1."/>
      <w:numFmt w:val="lowerLetter"/>
      <w:start w:val="20"/>
    </w:lvl>
  </w:abstractNum>
  <w:abstractNum w:abstractNumId="89">
    <w:nsid w:val="424479DA"/>
    <w:multiLevelType w:val="hybridMultilevel"/>
    <w:lvl w:ilvl="0">
      <w:lvlJc w:val="left"/>
      <w:lvlText w:val="(*)"/>
      <w:numFmt w:val="bullet"/>
      <w:start w:val="1"/>
    </w:lvl>
  </w:abstractNum>
  <w:abstractNum w:abstractNumId="90">
    <w:nsid w:val="1A9A9E69"/>
    <w:multiLevelType w:val="hybridMultilevel"/>
    <w:lvl w:ilvl="0">
      <w:lvlJc w:val="left"/>
      <w:lvlText w:val="%1."/>
      <w:numFmt w:val="lowerLetter"/>
      <w:start w:val="5"/>
    </w:lvl>
    <w:lvl w:ilvl="1">
      <w:lvlJc w:val="left"/>
      <w:lvlText w:val="%2."/>
      <w:numFmt w:val="decimal"/>
      <w:start w:val="1"/>
    </w:lvl>
  </w:abstractNum>
  <w:abstractNum w:abstractNumId="91">
    <w:nsid w:val="475E256A"/>
    <w:multiLevelType w:val="hybridMultilevel"/>
    <w:lvl w:ilvl="0">
      <w:lvlJc w:val="left"/>
      <w:lvlText w:val="%1."/>
      <w:numFmt w:val="decimal"/>
      <w:start w:val="2"/>
    </w:lvl>
  </w:abstractNum>
  <w:abstractNum w:abstractNumId="92">
    <w:nsid w:val="368DB37E"/>
    <w:multiLevelType w:val="hybridMultilevel"/>
    <w:lvl w:ilvl="0">
      <w:lvlJc w:val="left"/>
      <w:lvlText w:val="%1."/>
      <w:numFmt w:val="lowerLetter"/>
      <w:start w:val="3"/>
    </w:lvl>
  </w:abstractNum>
  <w:abstractNum w:abstractNumId="93">
    <w:nsid w:val="6A3B714C"/>
    <w:multiLevelType w:val="hybridMultilevel"/>
    <w:lvl w:ilvl="0">
      <w:lvlJc w:val="left"/>
      <w:lvlText w:val="%1."/>
      <w:numFmt w:val="lowerLetter"/>
      <w:start w:val="5"/>
    </w:lvl>
  </w:abstractNum>
  <w:abstractNum w:abstractNumId="94">
    <w:nsid w:val="327B517E"/>
    <w:multiLevelType w:val="hybridMultilevel"/>
    <w:lvl w:ilvl="0">
      <w:lvlJc w:val="left"/>
      <w:lvlText w:val="(%1)"/>
      <w:numFmt w:val="lowerLetter"/>
      <w:start w:val="1"/>
    </w:lvl>
  </w:abstractNum>
  <w:abstractNum w:abstractNumId="95">
    <w:nsid w:val="1F461B51"/>
    <w:multiLevelType w:val="hybridMultilevel"/>
    <w:lvl w:ilvl="0">
      <w:lvlJc w:val="left"/>
      <w:lvlText w:val="%1."/>
      <w:numFmt w:val="lowerLetter"/>
      <w:start w:val="6"/>
    </w:lvl>
  </w:abstractNum>
  <w:abstractNum w:abstractNumId="96">
    <w:nsid w:val="29BACF25"/>
    <w:multiLevelType w:val="hybridMultilevel"/>
    <w:lvl w:ilvl="0">
      <w:lvlJc w:val="left"/>
      <w:lvlText w:val="%1."/>
      <w:numFmt w:val="lowerRoman"/>
      <w:start w:val="1"/>
    </w:lvl>
  </w:abstractNum>
  <w:abstractNum w:abstractNumId="97">
    <w:nsid w:val="5D5BABB3"/>
    <w:multiLevelType w:val="hybridMultilevel"/>
    <w:lvl w:ilvl="0">
      <w:lvlJc w:val="left"/>
      <w:lvlText w:val="•"/>
      <w:numFmt w:val="bullet"/>
      <w:start w:val="1"/>
    </w:lvl>
  </w:abstractNum>
  <w:abstractNum w:abstractNumId="98">
    <w:nsid w:val="51BF6B48"/>
    <w:multiLevelType w:val="hybridMultilevel"/>
    <w:lvl w:ilvl="0">
      <w:lvlJc w:val="left"/>
      <w:lvlText w:val="•"/>
      <w:numFmt w:val="bullet"/>
      <w:start w:val="1"/>
    </w:lvl>
  </w:abstractNum>
  <w:abstractNum w:abstractNumId="99">
    <w:nsid w:val="7E0F6384"/>
    <w:multiLevelType w:val="hybridMultilevel"/>
    <w:lvl w:ilvl="0">
      <w:lvlJc w:val="left"/>
      <w:lvlText w:val="•"/>
      <w:numFmt w:val="bullet"/>
      <w:start w:val="1"/>
    </w:lvl>
  </w:abstractNum>
  <w:abstractNum w:abstractNumId="100">
    <w:nsid w:val="2B4B8B53"/>
    <w:multiLevelType w:val="hybridMultilevel"/>
    <w:lvl w:ilvl="0">
      <w:lvlJc w:val="left"/>
      <w:lvlText w:val="•"/>
      <w:numFmt w:val="bullet"/>
      <w:start w:val="1"/>
    </w:lvl>
  </w:abstractNum>
  <w:abstractNum w:abstractNumId="101">
    <w:nsid w:val="72E3413A"/>
    <w:multiLevelType w:val="hybridMultilevel"/>
    <w:lvl w:ilvl="0">
      <w:lvlJc w:val="left"/>
      <w:lvlText w:val="•"/>
      <w:numFmt w:val="bullet"/>
      <w:start w:val="1"/>
    </w:lvl>
  </w:abstractNum>
  <w:abstractNum w:abstractNumId="102">
    <w:nsid w:val="116AE494"/>
    <w:multiLevelType w:val="hybridMultilevel"/>
    <w:lvl w:ilvl="0">
      <w:lvlJc w:val="left"/>
      <w:lvlText w:val="•"/>
      <w:numFmt w:val="bullet"/>
      <w:start w:val="1"/>
    </w:lvl>
  </w:abstractNum>
  <w:abstractNum w:abstractNumId="103">
    <w:nsid w:val="3494B2FB"/>
    <w:multiLevelType w:val="hybridMultilevel"/>
    <w:lvl w:ilvl="0">
      <w:lvlJc w:val="left"/>
      <w:lvlText w:val="(%1)"/>
      <w:numFmt w:val="lowerLetter"/>
      <w:start w:val="1"/>
    </w:lvl>
  </w:abstractNum>
  <w:abstractNum w:abstractNumId="104">
    <w:nsid w:val="B13A31"/>
    <w:multiLevelType w:val="hybridMultilevel"/>
    <w:lvl w:ilvl="0">
      <w:lvlJc w:val="left"/>
      <w:lvlText w:val="%1."/>
      <w:numFmt w:val="decimal"/>
      <w:start w:val="1"/>
    </w:lvl>
  </w:abstractNum>
  <w:abstractNum w:abstractNumId="105">
    <w:nsid w:val="64429599"/>
    <w:multiLevelType w:val="hybridMultilevel"/>
    <w:lvl w:ilvl="0">
      <w:lvlJc w:val="left"/>
      <w:lvlText w:val="*"/>
      <w:numFmt w:val="bullet"/>
      <w:start w:val="1"/>
    </w:lvl>
  </w:abstractNum>
  <w:abstractNum w:abstractNumId="106">
    <w:nsid w:val="631F1690"/>
    <w:multiLevelType w:val="hybridMultilevel"/>
    <w:lvl w:ilvl="0">
      <w:lvlJc w:val="left"/>
      <w:lvlText w:val="†"/>
      <w:numFmt w:val="bullet"/>
      <w:start w:val="1"/>
    </w:lvl>
  </w:abstractNum>
  <w:abstractNum w:abstractNumId="107">
    <w:nsid w:val="25973E32"/>
    <w:multiLevelType w:val="hybridMultilevel"/>
    <w:lvl w:ilvl="0">
      <w:lvlJc w:val="left"/>
      <w:lvlText w:val="(%1)"/>
      <w:numFmt w:val="lowerRoman"/>
      <w:start w:val="7"/>
    </w:lvl>
  </w:abstractNum>
  <w:abstractNum w:abstractNumId="108">
    <w:nsid w:val="EAD6F57"/>
    <w:multiLevelType w:val="hybridMultilevel"/>
    <w:lvl w:ilvl="0">
      <w:lvlJc w:val="left"/>
      <w:lvlText w:val="%1."/>
      <w:numFmt w:val="decimal"/>
      <w:start w:val="2"/>
    </w:lvl>
    <w:lvl w:ilvl="1">
      <w:lvlJc w:val="left"/>
      <w:lvlText w:val="(%2)"/>
      <w:numFmt w:val="lowerLetter"/>
      <w:start w:val="1"/>
    </w:lvl>
  </w:abstractNum>
  <w:abstractNum w:abstractNumId="109">
    <w:nsid w:val="6EC9D844"/>
    <w:multiLevelType w:val="hybridMultilevel"/>
    <w:lvl w:ilvl="0">
      <w:lvlJc w:val="left"/>
      <w:lvlText w:val="(%1)"/>
      <w:numFmt w:val="lowerLetter"/>
      <w:start w:val="3"/>
    </w:lvl>
  </w:abstractNum>
  <w:abstractNum w:abstractNumId="110">
    <w:nsid w:val="5C49EAEE"/>
    <w:multiLevelType w:val="hybridMultilevel"/>
    <w:lvl w:ilvl="0">
      <w:lvlJc w:val="left"/>
      <w:lvlText w:val="%1."/>
      <w:numFmt w:val="decimal"/>
      <w:start w:val="3"/>
    </w:lvl>
  </w:abstractNum>
  <w:abstractNum w:abstractNumId="111">
    <w:nsid w:val="64AF49B"/>
    <w:multiLevelType w:val="hybridMultilevel"/>
    <w:lvl w:ilvl="0">
      <w:lvlJc w:val="left"/>
      <w:lvlText w:val="%1."/>
      <w:numFmt w:val="decimal"/>
      <w:start w:val="6"/>
    </w:lvl>
  </w:abstractNum>
  <w:abstractNum w:abstractNumId="112">
    <w:nsid w:val="397C46BC"/>
    <w:multiLevelType w:val="hybridMultilevel"/>
    <w:lvl w:ilvl="0">
      <w:lvlJc w:val="left"/>
      <w:lvlText w:val="%1."/>
      <w:numFmt w:val="decimal"/>
      <w:start w:val="7"/>
    </w:lvl>
    <w:lvl w:ilvl="1">
      <w:lvlJc w:val="left"/>
      <w:lvlText w:val="(%2)"/>
      <w:numFmt w:val="lowerLetter"/>
      <w:start w:val="1"/>
    </w:lvl>
  </w:abstractNum>
  <w:abstractNum w:abstractNumId="113">
    <w:nsid w:val="7E448DE9"/>
    <w:multiLevelType w:val="hybridMultilevel"/>
    <w:lvl w:ilvl="0">
      <w:lvlJc w:val="left"/>
      <w:lvlText w:val="(%1)"/>
      <w:numFmt w:val="lowerLetter"/>
      <w:start w:val="2"/>
    </w:lvl>
    <w:lvl w:ilvl="1">
      <w:lvlJc w:val="left"/>
      <w:lvlText w:val="(%2)"/>
      <w:numFmt w:val="lowerRoman"/>
      <w:start w:val="1"/>
    </w:lvl>
  </w:abstractNum>
  <w:abstractNum w:abstractNumId="114">
    <w:nsid w:val="5A9CC3E5"/>
    <w:multiLevelType w:val="hybridMultilevel"/>
    <w:lvl w:ilvl="0">
      <w:lvlJc w:val="left"/>
      <w:lvlText w:val="%1"/>
      <w:numFmt w:val="lowerLetter"/>
      <w:start w:val="1"/>
    </w:lvl>
    <w:lvl w:ilvl="1">
      <w:lvlJc w:val="left"/>
      <w:lvlText w:val="(%2)"/>
      <w:numFmt w:val="lowerLetter"/>
      <w:start w:val="61"/>
    </w:lvl>
  </w:abstractNum>
  <w:abstractNum w:abstractNumId="115">
    <w:nsid w:val="1AFE3625"/>
    <w:multiLevelType w:val="hybridMultilevel"/>
    <w:lvl w:ilvl="0">
      <w:lvlJc w:val="left"/>
      <w:lvlText w:val="(%1)"/>
      <w:numFmt w:val="lowerLetter"/>
      <w:start w:val="3"/>
    </w:lvl>
    <w:lvl w:ilvl="1">
      <w:lvlJc w:val="left"/>
      <w:lvlText w:val="(%2)"/>
      <w:numFmt w:val="lowerLetter"/>
      <w:start w:val="9"/>
    </w:lvl>
  </w:abstractNum>
  <w:abstractNum w:abstractNumId="116">
    <w:nsid w:val="3CA88ECF"/>
    <w:multiLevelType w:val="hybridMultilevel"/>
    <w:lvl w:ilvl="0">
      <w:lvlJc w:val="left"/>
      <w:lvlText w:val="(%1)"/>
      <w:numFmt w:val="lowerRoman"/>
      <w:start w:val="2"/>
    </w:lvl>
  </w:abstractNum>
  <w:abstractNum w:abstractNumId="117">
    <w:nsid w:val="6EBE4208"/>
    <w:multiLevelType w:val="hybridMultilevel"/>
    <w:lvl w:ilvl="0">
      <w:lvlJc w:val="left"/>
      <w:lvlText w:val="(%1)"/>
      <w:numFmt w:val="lowerRoman"/>
      <w:start w:val="4"/>
    </w:lvl>
    <w:lvl w:ilvl="1">
      <w:lvlJc w:val="left"/>
      <w:lvlText w:val="(%2)"/>
      <w:numFmt w:val="decimal"/>
      <w:start w:val="1"/>
    </w:lvl>
  </w:abstractNum>
  <w:abstractNum w:abstractNumId="118">
    <w:nsid w:val="C058DF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19">
    <w:nsid w:val="CBE5BE9"/>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120">
    <w:nsid w:val="3102BBE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21">
    <w:nsid w:val="26A02C5E"/>
    <w:multiLevelType w:val="hybridMultilevel"/>
    <w:lvl w:ilvl="0">
      <w:lvlJc w:val="left"/>
      <w:lvlText w:val="%1."/>
      <w:numFmt w:val="decimal"/>
      <w:start w:val="8"/>
    </w:lvl>
  </w:abstractNum>
  <w:abstractNum w:abstractNumId="122">
    <w:nsid w:val="541C8153"/>
    <w:multiLevelType w:val="hybridMultilevel"/>
    <w:lvl w:ilvl="0">
      <w:lvlJc w:val="left"/>
      <w:lvlText w:val="%1."/>
      <w:numFmt w:val="decimal"/>
      <w:start w:val="10"/>
    </w:lvl>
    <w:lvl w:ilvl="1">
      <w:lvlJc w:val="left"/>
      <w:lvlText w:val="(%2)"/>
      <w:numFmt w:val="lowerLetter"/>
      <w:start w:val="2"/>
    </w:lvl>
    <w:lvl w:ilvl="2">
      <w:lvlJc w:val="left"/>
      <w:lvlText w:val="(%3)"/>
      <w:numFmt w:val="decimal"/>
      <w:start w:val="7"/>
    </w:lvl>
  </w:abstractNum>
  <w:abstractNum w:abstractNumId="123">
    <w:nsid w:val="67906F6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4"/>
    </w:lvl>
  </w:abstractNum>
  <w:abstractNum w:abstractNumId="124">
    <w:nsid w:val="10DB9DA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25">
    <w:nsid w:val="697D2D2"/>
    <w:multiLevelType w:val="hybridMultilevel"/>
    <w:lvl w:ilvl="0">
      <w:lvlJc w:val="left"/>
      <w:lvlText w:val="%1."/>
      <w:numFmt w:val="decimal"/>
      <w:start w:val="11"/>
    </w:lvl>
    <w:lvl w:ilvl="1">
      <w:lvlJc w:val="left"/>
      <w:lvlText w:val="(%2)"/>
      <w:numFmt w:val="lowerLetter"/>
      <w:start w:val="2"/>
    </w:lvl>
  </w:abstractNum>
  <w:abstractNum w:abstractNumId="126">
    <w:nsid w:val="6D68AB2"/>
    <w:multiLevelType w:val="hybridMultilevel"/>
    <w:lvl w:ilvl="0">
      <w:lvlJc w:val="left"/>
      <w:lvlText w:val="%1."/>
      <w:numFmt w:val="decimal"/>
      <w:start w:val="13"/>
    </w:lvl>
    <w:lvl w:ilvl="1">
      <w:lvlJc w:val="left"/>
      <w:lvlText w:val="(%2)"/>
      <w:numFmt w:val="lowerLetter"/>
      <w:start w:val="2"/>
    </w:lvl>
  </w:abstractNum>
  <w:abstractNum w:abstractNumId="127">
    <w:nsid w:val="3A966CD0"/>
    <w:multiLevelType w:val="hybridMultilevel"/>
    <w:lvl w:ilvl="0">
      <w:lvlJc w:val="left"/>
      <w:lvlText w:val="%1."/>
      <w:numFmt w:val="decimal"/>
      <w:start w:val="15"/>
    </w:lvl>
  </w:abstractNum>
  <w:abstractNum w:abstractNumId="128">
    <w:nsid w:val="63F37E85"/>
    <w:multiLevelType w:val="hybridMultilevel"/>
    <w:lvl w:ilvl="0">
      <w:lvlJc w:val="left"/>
      <w:lvlText w:val="%1."/>
      <w:numFmt w:val="decimal"/>
      <w:start w:val="17"/>
    </w:lvl>
  </w:abstractNum>
  <w:abstractNum w:abstractNumId="129">
    <w:nsid w:val="5895F5FA"/>
    <w:multiLevelType w:val="hybridMultilevel"/>
    <w:lvl w:ilvl="0">
      <w:lvlJc w:val="left"/>
      <w:lvlText w:val="%1."/>
      <w:numFmt w:val="decimal"/>
      <w:start w:val="18"/>
    </w:lvl>
  </w:abstractNum>
  <w:abstractNum w:abstractNumId="130">
    <w:nsid w:val="38A5D054"/>
    <w:multiLevelType w:val="hybridMultilevel"/>
    <w:lvl w:ilvl="0">
      <w:lvlJc w:val="left"/>
      <w:lvlText w:val="%1."/>
      <w:numFmt w:val="decimal"/>
      <w:start w:val="21"/>
    </w:lvl>
  </w:abstractNum>
  <w:abstractNum w:abstractNumId="131">
    <w:nsid w:val="F3F09D8"/>
    <w:multiLevelType w:val="hybridMultilevel"/>
    <w:lvl w:ilvl="0">
      <w:lvlJc w:val="left"/>
      <w:lvlText w:val="%1."/>
      <w:numFmt w:val="decimal"/>
      <w:start w:val="23"/>
    </w:lvl>
  </w:abstractNum>
  <w:abstractNum w:abstractNumId="132">
    <w:nsid w:val="4B793735"/>
    <w:multiLevelType w:val="hybridMultilevel"/>
    <w:lvl w:ilvl="0">
      <w:lvlJc w:val="left"/>
      <w:lvlText w:val="%1."/>
      <w:numFmt w:val="decimal"/>
      <w:start w:val="29"/>
    </w:lvl>
    <w:lvl w:ilvl="1">
      <w:lvlJc w:val="left"/>
      <w:lvlText w:val="(%2)"/>
      <w:numFmt w:val="lowerLetter"/>
      <w:start w:val="2"/>
    </w:lvl>
  </w:abstractNum>
  <w:abstractNum w:abstractNumId="133">
    <w:nsid w:val="4A10B4E8"/>
    <w:multiLevelType w:val="hybridMultilevel"/>
    <w:lvl w:ilvl="0">
      <w:lvlJc w:val="left"/>
      <w:lvlText w:val="%1"/>
      <w:numFmt w:val="lowerLetter"/>
      <w:start w:val="1"/>
    </w:lvl>
    <w:lvl w:ilvl="1">
      <w:lvlJc w:val="left"/>
      <w:lvlText w:val="(%2)"/>
      <w:numFmt w:val="decimal"/>
      <w:start w:val="30"/>
    </w:lvl>
  </w:abstractNum>
  <w:abstractNum w:abstractNumId="134">
    <w:nsid w:val="43D3BCD4"/>
    <w:multiLevelType w:val="hybridMultilevel"/>
    <w:lvl w:ilvl="0">
      <w:lvlJc w:val="left"/>
      <w:lvlText w:val="(%1)"/>
      <w:numFmt w:val="lowerLetter"/>
      <w:start w:val="5"/>
    </w:lvl>
    <w:lvl w:ilvl="1">
      <w:lvlJc w:val="left"/>
      <w:lvlText w:val="%2"/>
      <w:numFmt w:val="decimal"/>
      <w:start w:val="1"/>
    </w:lvl>
  </w:abstractNum>
  <w:abstractNum w:abstractNumId="135">
    <w:nsid w:val="4C2A7166"/>
    <w:multiLevelType w:val="hybridMultilevel"/>
    <w:lvl w:ilvl="0">
      <w:lvlJc w:val="left"/>
      <w:lvlText w:val="%1."/>
      <w:numFmt w:val="decimal"/>
      <w:start w:val="30"/>
    </w:lvl>
    <w:lvl w:ilvl="1">
      <w:lvlJc w:val="left"/>
      <w:lvlText w:val="(%2)"/>
      <w:numFmt w:val="lowerLetter"/>
      <w:start w:val="2"/>
    </w:lvl>
    <w:lvl w:ilvl="2">
      <w:lvlJc w:val="left"/>
      <w:lvlText w:val="(%3)"/>
      <w:numFmt w:val="decimal"/>
      <w:start w:val="14"/>
    </w:lvl>
  </w:abstractNum>
  <w:abstractNum w:abstractNumId="136">
    <w:nsid w:val="2E534A82"/>
    <w:multiLevelType w:val="hybridMultilevel"/>
    <w:lvl w:ilvl="0">
      <w:lvlJc w:val="left"/>
      <w:lvlText w:val="(%1)"/>
      <w:numFmt w:val="lowerLetter"/>
      <w:start w:val="5"/>
    </w:lvl>
  </w:abstractNum>
  <w:abstractNum w:abstractNumId="137">
    <w:nsid w:val="26F2D364"/>
    <w:multiLevelType w:val="hybridMultilevel"/>
    <w:lvl w:ilvl="0">
      <w:lvlJc w:val="left"/>
      <w:lvlText w:val="%1."/>
      <w:numFmt w:val="decimal"/>
      <w:start w:val="31"/>
    </w:lvl>
    <w:lvl w:ilvl="1">
      <w:lvlJc w:val="left"/>
      <w:lvlText w:val="(%2)"/>
      <w:numFmt w:val="lowerLetter"/>
      <w:start w:val="2"/>
    </w:lvl>
  </w:abstractNum>
  <w:abstractNum w:abstractNumId="138">
    <w:nsid w:val="71C1AF98"/>
    <w:multiLevelType w:val="hybridMultilevel"/>
    <w:lvl w:ilvl="0">
      <w:lvlJc w:val="left"/>
      <w:lvlText w:val="(%1)"/>
      <w:numFmt w:val="lowerLetter"/>
      <w:start w:val="7"/>
    </w:lvl>
  </w:abstractNum>
  <w:abstractNum w:abstractNumId="139">
    <w:nsid w:val="3D00B9D9"/>
    <w:multiLevelType w:val="hybridMultilevel"/>
    <w:lvl w:ilvl="0">
      <w:lvlJc w:val="left"/>
      <w:lvlText w:val="%1."/>
      <w:numFmt w:val="decimal"/>
      <w:start w:val="32"/>
    </w:lvl>
  </w:abstractNum>
  <w:abstractNum w:abstractNumId="140">
    <w:nsid w:val="15BCABA8"/>
    <w:multiLevelType w:val="hybridMultilevel"/>
    <w:lvl w:ilvl="0">
      <w:lvlJc w:val="left"/>
      <w:lvlText w:val="%1."/>
      <w:numFmt w:val="decimal"/>
      <w:start w:val="40"/>
    </w:lvl>
  </w:abstractNum>
  <w:abstractNum w:abstractNumId="141">
    <w:nsid w:val="4E0B9A87"/>
    <w:multiLevelType w:val="hybridMultilevel"/>
    <w:lvl w:ilvl="0">
      <w:lvlJc w:val="left"/>
      <w:lvlText w:val="%1."/>
      <w:numFmt w:val="decimal"/>
      <w:start w:val="43"/>
    </w:lvl>
  </w:abstractNum>
  <w:abstractNum w:abstractNumId="142">
    <w:nsid w:val="434BAE75"/>
    <w:multiLevelType w:val="hybridMultilevel"/>
    <w:lvl w:ilvl="0">
      <w:lvlJc w:val="left"/>
      <w:lvlText w:val="%1."/>
      <w:numFmt w:val="decimal"/>
      <w:start w:val="47"/>
    </w:lvl>
    <w:lvl w:ilvl="1">
      <w:lvlJc w:val="left"/>
      <w:lvlText w:val="(%2)"/>
      <w:numFmt w:val="lowerLetter"/>
      <w:start w:val="1"/>
    </w:lvl>
  </w:abstractNum>
  <w:abstractNum w:abstractNumId="143">
    <w:nsid w:val="4F38F265"/>
    <w:multiLevelType w:val="hybridMultilevel"/>
    <w:lvl w:ilvl="0">
      <w:lvlJc w:val="left"/>
      <w:lvlText w:val="%1."/>
      <w:numFmt w:val="decimal"/>
      <w:start w:val="48"/>
    </w:lvl>
  </w:abstractNum>
  <w:abstractNum w:abstractNumId="144">
    <w:nsid w:val="4C502870"/>
    <w:multiLevelType w:val="hybridMultilevel"/>
    <w:lvl w:ilvl="0">
      <w:lvlJc w:val="left"/>
      <w:lvlText w:val="%1."/>
      <w:numFmt w:val="decimal"/>
      <w:start w:val="50"/>
    </w:lvl>
  </w:abstractNum>
  <w:abstractNum w:abstractNumId="145">
    <w:nsid w:val="1DE8725A"/>
    <w:multiLevelType w:val="hybridMultilevel"/>
    <w:lvl w:ilvl="0">
      <w:lvlJc w:val="left"/>
      <w:lvlText w:val="%1"/>
      <w:numFmt w:val="decimal"/>
      <w:start w:val="1"/>
    </w:lvl>
    <w:lvl w:ilvl="1">
      <w:lvlJc w:val="left"/>
      <w:lvlText w:val="(%2)"/>
      <w:numFmt w:val="lowerLetter"/>
      <w:start w:val="1"/>
    </w:lvl>
  </w:abstractNum>
  <w:abstractNum w:abstractNumId="146">
    <w:nsid w:val="6A37288A"/>
    <w:multiLevelType w:val="hybridMultilevel"/>
    <w:lvl w:ilvl="0">
      <w:lvlJc w:val="left"/>
      <w:lvlText w:val="%1."/>
      <w:numFmt w:val="decimal"/>
      <w:start w:val="51"/>
    </w:lvl>
    <w:lvl w:ilvl="1">
      <w:lvlJc w:val="left"/>
      <w:lvlText w:val="%2"/>
      <w:numFmt w:val="lowerLetter"/>
      <w:start w:val="1"/>
    </w:lvl>
  </w:abstractNum>
  <w:abstractNum w:abstractNumId="147">
    <w:nsid w:val="8F8B73F"/>
    <w:multiLevelType w:val="hybridMultilevel"/>
    <w:lvl w:ilvl="0">
      <w:lvlJc w:val="left"/>
      <w:lvlText w:val="%1."/>
      <w:numFmt w:val="decimal"/>
      <w:start w:val="53"/>
    </w:lvl>
  </w:abstractNum>
  <w:abstractNum w:abstractNumId="148">
    <w:nsid w:val="CA6B462"/>
    <w:multiLevelType w:val="hybridMultilevel"/>
    <w:lvl w:ilvl="0">
      <w:lvlJc w:val="left"/>
      <w:lvlText w:val="(%1)"/>
      <w:numFmt w:val="lowerLetter"/>
      <w:start w:val="2"/>
    </w:lvl>
  </w:abstractNum>
  <w:abstractNum w:abstractNumId="149">
    <w:nsid w:val="763CB680"/>
    <w:multiLevelType w:val="hybridMultilevel"/>
    <w:lvl w:ilvl="0">
      <w:lvlJc w:val="left"/>
      <w:lvlText w:val="%1."/>
      <w:numFmt w:val="decimal"/>
      <w:start w:val="54"/>
    </w:lvl>
  </w:abstractNum>
  <w:abstractNum w:abstractNumId="150">
    <w:nsid w:val="15B71329"/>
    <w:multiLevelType w:val="hybridMultilevel"/>
    <w:lvl w:ilvl="0">
      <w:lvlJc w:val="left"/>
      <w:lvlText w:val="(%1)"/>
      <w:numFmt w:val="lowerLetter"/>
      <w:start w:val="2"/>
    </w:lvl>
    <w:lvl w:ilvl="1">
      <w:lvlJc w:val="left"/>
      <w:lvlText w:val="(%2)"/>
      <w:numFmt w:val="lowerRoman"/>
      <w:start w:val="1"/>
    </w:lvl>
  </w:abstractNum>
  <w:abstractNum w:abstractNumId="151">
    <w:nsid w:val="3DA97044"/>
    <w:multiLevelType w:val="hybridMultilevel"/>
    <w:lvl w:ilvl="0">
      <w:lvlJc w:val="left"/>
      <w:lvlText w:val="%1."/>
      <w:numFmt w:val="decimal"/>
      <w:start w:val="55"/>
    </w:lvl>
  </w:abstractNum>
  <w:abstractNum w:abstractNumId="152">
    <w:nsid w:val="1CDCE2DE"/>
    <w:multiLevelType w:val="hybridMultilevel"/>
    <w:lvl w:ilvl="0">
      <w:lvlJc w:val="left"/>
      <w:lvlText w:val="%1."/>
      <w:numFmt w:val="decimal"/>
      <w:start w:val="56"/>
    </w:lvl>
  </w:abstractNum>
  <w:abstractNum w:abstractNumId="153">
    <w:nsid w:val="69D3947C"/>
    <w:multiLevelType w:val="hybridMultilevel"/>
    <w:lvl w:ilvl="0">
      <w:lvlJc w:val="left"/>
      <w:lvlText w:val="%1."/>
      <w:numFmt w:val="decimal"/>
      <w:start w:val="57"/>
    </w:lvl>
  </w:abstractNum>
  <w:abstractNum w:abstractNumId="154">
    <w:nsid w:val="2539DFA5"/>
    <w:multiLevelType w:val="hybridMultilevel"/>
    <w:lvl w:ilvl="0">
      <w:lvlJc w:val="left"/>
      <w:lvlText w:val="%1."/>
      <w:numFmt w:val="decimal"/>
      <w:start w:val="61"/>
    </w:lvl>
    <w:lvl w:ilvl="1">
      <w:lvlJc w:val="left"/>
      <w:lvlText w:val="(%2)"/>
      <w:numFmt w:val="lowerLetter"/>
      <w:start w:val="2"/>
    </w:lvl>
  </w:abstractNum>
  <w:abstractNum w:abstractNumId="155">
    <w:nsid w:val="2DB88089"/>
    <w:multiLevelType w:val="hybridMultilevel"/>
    <w:lvl w:ilvl="0">
      <w:lvlJc w:val="left"/>
      <w:lvlText w:val="%1."/>
      <w:numFmt w:val="decimal"/>
      <w:start w:val="63"/>
    </w:lvl>
  </w:abstractNum>
  <w:abstractNum w:abstractNumId="156">
    <w:nsid w:val="706B674E"/>
    <w:multiLevelType w:val="hybridMultilevel"/>
    <w:lvl w:ilvl="0">
      <w:lvlJc w:val="left"/>
      <w:lvlText w:val="%1."/>
      <w:numFmt w:val="decimal"/>
      <w:start w:val="65"/>
    </w:lvl>
  </w:abstractNum>
  <w:abstractNum w:abstractNumId="157">
    <w:nsid w:val="2C106A57"/>
    <w:multiLevelType w:val="hybridMultilevel"/>
    <w:lvl w:ilvl="0">
      <w:lvlJc w:val="left"/>
      <w:lvlText w:val="%1."/>
      <w:numFmt w:val="decimal"/>
      <w:start w:val="66"/>
    </w:lvl>
    <w:lvl w:ilvl="1">
      <w:lvlJc w:val="left"/>
      <w:lvlText w:val="(%2)"/>
      <w:numFmt w:val="lowerLetter"/>
      <w:start w:val="2"/>
    </w:lvl>
  </w:abstractNum>
  <w:abstractNum w:abstractNumId="158">
    <w:nsid w:val="684EED59"/>
    <w:multiLevelType w:val="hybridMultilevel"/>
    <w:lvl w:ilvl="0">
      <w:lvlJc w:val="left"/>
      <w:lvlText w:val="%1."/>
      <w:numFmt w:val="decimal"/>
      <w:start w:val="68"/>
    </w:lvl>
    <w:lvl w:ilvl="1">
      <w:lvlJc w:val="left"/>
      <w:lvlText w:val="(%2)"/>
      <w:numFmt w:val="lowerLetter"/>
      <w:start w:val="2"/>
    </w:lvl>
    <w:lvl w:ilvl="2">
      <w:lvlJc w:val="left"/>
      <w:lvlText w:val="\emdash "/>
      <w:numFmt w:val="bullet"/>
      <w:start w:val="1"/>
    </w:lvl>
    <w:lvl w:ilvl="3">
      <w:lvlJc w:val="left"/>
      <w:lvlText w:val="(%4)"/>
      <w:numFmt w:val="lowerRoman"/>
      <w:start w:val="1"/>
    </w:lvl>
  </w:abstractNum>
  <w:abstractNum w:abstractNumId="159">
    <w:nsid w:val="545EE5D3"/>
    <w:multiLevelType w:val="hybridMultilevel"/>
    <w:lvl w:ilvl="0">
      <w:lvlJc w:val="left"/>
      <w:lvlText w:val="%1."/>
      <w:numFmt w:val="decimal"/>
      <w:start w:val="70"/>
    </w:lvl>
  </w:abstractNum>
  <w:abstractNum w:abstractNumId="160">
    <w:nsid w:val="4A66051"/>
    <w:multiLevelType w:val="hybridMultilevel"/>
    <w:lvl w:ilvl="0">
      <w:lvlJc w:val="left"/>
      <w:lvlText w:val="%1."/>
      <w:numFmt w:val="decimal"/>
      <w:start w:val="71"/>
    </w:lvl>
  </w:abstractNum>
  <w:abstractNum w:abstractNumId="161">
    <w:nsid w:val="20F4BDAD"/>
    <w:multiLevelType w:val="hybridMultilevel"/>
    <w:lvl w:ilvl="0">
      <w:lvlJc w:val="left"/>
      <w:lvlText w:val="%1."/>
      <w:numFmt w:val="decimal"/>
      <w:start w:val="72"/>
    </w:lvl>
  </w:abstractNum>
  <w:abstractNum w:abstractNumId="162">
    <w:nsid w:val="639DEFAC"/>
    <w:multiLevelType w:val="hybridMultilevel"/>
    <w:lvl w:ilvl="0">
      <w:lvlJc w:val="left"/>
      <w:lvlText w:val="%1."/>
      <w:numFmt w:val="decimal"/>
      <w:start w:val="75"/>
    </w:lvl>
    <w:lvl w:ilvl="1">
      <w:lvlJc w:val="left"/>
      <w:lvlText w:val="(%2)"/>
      <w:numFmt w:val="lowerLetter"/>
      <w:start w:val="2"/>
    </w:lvl>
  </w:abstractNum>
  <w:abstractNum w:abstractNumId="163">
    <w:nsid w:val="501F9786"/>
    <w:multiLevelType w:val="hybridMultilevel"/>
    <w:lvl w:ilvl="0">
      <w:lvlJc w:val="left"/>
      <w:lvlText w:val="%1."/>
      <w:numFmt w:val="decimal"/>
      <w:start w:val="76"/>
    </w:lvl>
  </w:abstractNum>
  <w:abstractNum w:abstractNumId="164">
    <w:nsid w:val="6B057295"/>
    <w:multiLevelType w:val="hybridMultilevel"/>
    <w:lvl w:ilvl="0">
      <w:lvlJc w:val="left"/>
      <w:lvlText w:val="%1."/>
      <w:numFmt w:val="decimal"/>
      <w:start w:val="77"/>
    </w:lvl>
  </w:abstractNum>
  <w:abstractNum w:abstractNumId="165">
    <w:nsid w:val="2771AC80"/>
    <w:multiLevelType w:val="hybridMultilevel"/>
    <w:lvl w:ilvl="0">
      <w:lvlJc w:val="left"/>
      <w:lvlText w:val="(%1)"/>
      <w:numFmt w:val="lowerLetter"/>
      <w:start w:val="2"/>
    </w:lvl>
  </w:abstractNum>
  <w:abstractNum w:abstractNumId="166">
    <w:nsid w:val="1C4A08EC"/>
    <w:multiLevelType w:val="hybridMultilevel"/>
    <w:lvl w:ilvl="0">
      <w:lvlJc w:val="left"/>
      <w:lvlText w:val="%1."/>
      <w:numFmt w:val="decimal"/>
      <w:start w:val="79"/>
    </w:lvl>
    <w:lvl w:ilvl="1">
      <w:lvlJc w:val="left"/>
      <w:lvlText w:val="(%2)"/>
      <w:numFmt w:val="lowerLetter"/>
      <w:start w:val="2"/>
    </w:lvl>
  </w:abstractNum>
  <w:abstractNum w:abstractNumId="167">
    <w:nsid w:val="1958BD17"/>
    <w:multiLevelType w:val="hybridMultilevel"/>
    <w:lvl w:ilvl="0">
      <w:lvlJc w:val="left"/>
      <w:lvlText w:val="%1."/>
      <w:numFmt w:val="decimal"/>
      <w:start w:val="80"/>
    </w:lvl>
  </w:abstractNum>
  <w:abstractNum w:abstractNumId="168">
    <w:nsid w:val="4E647FE4"/>
    <w:multiLevelType w:val="hybridMultilevel"/>
    <w:lvl w:ilvl="0">
      <w:lvlJc w:val="left"/>
      <w:lvlText w:val="%1."/>
      <w:numFmt w:val="decimal"/>
      <w:start w:val="81"/>
    </w:lvl>
    <w:lvl w:ilvl="1">
      <w:lvlJc w:val="left"/>
      <w:lvlText w:val="(%2)"/>
      <w:numFmt w:val="lowerLetter"/>
      <w:start w:val="2"/>
    </w:lvl>
  </w:abstractNum>
  <w:abstractNum w:abstractNumId="169">
    <w:nsid w:val="E0BB885"/>
    <w:multiLevelType w:val="hybridMultilevel"/>
    <w:lvl w:ilvl="0">
      <w:lvlJc w:val="left"/>
      <w:lvlText w:val="(%1)"/>
      <w:numFmt w:val="lowerLetter"/>
      <w:start w:val="8"/>
    </w:lvl>
  </w:abstractNum>
  <w:abstractNum w:abstractNumId="170">
    <w:nsid w:val="565976F1"/>
    <w:multiLevelType w:val="hybridMultilevel"/>
    <w:lvl w:ilvl="0">
      <w:lvlJc w:val="left"/>
      <w:lvlText w:val="%1."/>
      <w:numFmt w:val="decimal"/>
      <w:start w:val="82"/>
    </w:lvl>
    <w:lvl w:ilvl="1">
      <w:lvlJc w:val="left"/>
      <w:lvlText w:val="(%2)"/>
      <w:numFmt w:val="lowerRoman"/>
      <w:start w:val="1"/>
    </w:lvl>
  </w:abstractNum>
  <w:abstractNum w:abstractNumId="171">
    <w:nsid w:val="64212B8C"/>
    <w:multiLevelType w:val="hybridMultilevel"/>
    <w:lvl w:ilvl="0">
      <w:lvlJc w:val="left"/>
      <w:lvlText w:val="(%1)"/>
      <w:numFmt w:val="lowerLetter"/>
      <w:start w:val="2"/>
    </w:lvl>
  </w:abstractNum>
  <w:abstractNum w:abstractNumId="172">
    <w:nsid w:val="5C17530C"/>
    <w:multiLevelType w:val="hybridMultilevel"/>
    <w:lvl w:ilvl="0">
      <w:lvlJc w:val="left"/>
      <w:lvlText w:val="%1."/>
      <w:numFmt w:val="decimal"/>
      <w:start w:val="83"/>
    </w:lvl>
  </w:abstractNum>
  <w:abstractNum w:abstractNumId="173">
    <w:nsid w:val="19A52566"/>
    <w:multiLevelType w:val="hybridMultilevel"/>
    <w:lvl w:ilvl="0">
      <w:lvlJc w:val="left"/>
      <w:lvlText w:val="%1."/>
      <w:numFmt w:val="decimal"/>
      <w:start w:val="84"/>
    </w:lvl>
    <w:lvl w:ilvl="1">
      <w:lvlJc w:val="left"/>
      <w:lvlText w:val="(%2)"/>
      <w:numFmt w:val="lowerLetter"/>
      <w:start w:val="2"/>
    </w:lvl>
  </w:abstractNum>
  <w:abstractNum w:abstractNumId="174">
    <w:nsid w:val="335A1DF1"/>
    <w:multiLevelType w:val="hybridMultilevel"/>
    <w:lvl w:ilvl="0">
      <w:lvlJc w:val="left"/>
      <w:lvlText w:val="%1."/>
      <w:numFmt w:val="decimal"/>
      <w:start w:val="85"/>
    </w:lvl>
  </w:abstractNum>
  <w:abstractNum w:abstractNumId="175">
    <w:nsid w:val="28677B7C"/>
    <w:multiLevelType w:val="hybridMultilevel"/>
    <w:lvl w:ilvl="0">
      <w:lvlJc w:val="left"/>
      <w:lvlText w:val="%1."/>
      <w:numFmt w:val="decimal"/>
      <w:start w:val="86"/>
    </w:lvl>
  </w:abstractNum>
  <w:abstractNum w:abstractNumId="176">
    <w:nsid w:val="378D97C0"/>
    <w:multiLevelType w:val="hybridMultilevel"/>
    <w:lvl w:ilvl="0">
      <w:lvlJc w:val="left"/>
      <w:lvlText w:val="(%1)"/>
      <w:numFmt w:val="lowerLetter"/>
      <w:start w:val="2"/>
    </w:lvl>
  </w:abstractNum>
  <w:abstractNum w:abstractNumId="177">
    <w:nsid w:val="1D91467C"/>
    <w:multiLevelType w:val="hybridMultilevel"/>
    <w:lvl w:ilvl="0">
      <w:lvlJc w:val="left"/>
      <w:lvlText w:val="(%1)"/>
      <w:numFmt w:val="lowerLetter"/>
      <w:start w:val="3"/>
    </w:lvl>
  </w:abstractNum>
  <w:abstractNum w:abstractNumId="178">
    <w:nsid w:val="316032BB"/>
    <w:multiLevelType w:val="hybridMultilevel"/>
    <w:lvl w:ilvl="0">
      <w:lvlJc w:val="left"/>
      <w:lvlText w:val="%1."/>
      <w:numFmt w:val="decimal"/>
      <w:start w:val="87"/>
    </w:lvl>
    <w:lvl w:ilvl="1">
      <w:lvlJc w:val="left"/>
      <w:lvlText w:val="(%2)"/>
      <w:numFmt w:val="lowerLetter"/>
      <w:start w:val="2"/>
    </w:lvl>
    <w:lvl w:ilvl="2">
      <w:lvlJc w:val="left"/>
      <w:lvlText w:val="(%3)"/>
      <w:numFmt w:val="lowerRoman"/>
      <w:start w:val="1"/>
    </w:lvl>
  </w:abstractNum>
  <w:abstractNum w:abstractNumId="179">
    <w:nsid w:val="44344C22"/>
    <w:multiLevelType w:val="hybridMultilevel"/>
    <w:lvl w:ilvl="0">
      <w:lvlJc w:val="left"/>
      <w:lvlText w:val="(%1)"/>
      <w:numFmt w:val="lowerLetter"/>
      <w:start w:val="2"/>
    </w:lvl>
  </w:abstractNum>
  <w:abstractNum w:abstractNumId="180">
    <w:nsid w:val="13CDFCFC"/>
    <w:multiLevelType w:val="hybridMultilevel"/>
    <w:lvl w:ilvl="0">
      <w:lvlJc w:val="left"/>
      <w:lvlText w:val="%1."/>
      <w:numFmt w:val="decimal"/>
      <w:start w:val="96"/>
    </w:lvl>
    <w:lvl w:ilvl="1">
      <w:lvlJc w:val="left"/>
      <w:lvlText w:val="(%2)"/>
      <w:numFmt w:val="lowerLetter"/>
      <w:start w:val="1"/>
    </w:lvl>
    <w:lvl w:ilvl="2">
      <w:lvlJc w:val="left"/>
      <w:lvlText w:val="(%3)"/>
      <w:numFmt w:val="lowerRoman"/>
      <w:start w:val="1"/>
    </w:lvl>
  </w:abstractNum>
  <w:abstractNum w:abstractNumId="181">
    <w:nsid w:val="471745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2">
    <w:nsid w:val="1DDBC66"/>
    <w:multiLevelType w:val="hybridMultilevel"/>
    <w:lvl w:ilvl="0">
      <w:lvlJc w:val="left"/>
      <w:lvlText w:val="%1."/>
      <w:numFmt w:val="decimal"/>
      <w:start w:val="99"/>
    </w:lvl>
  </w:abstractNum>
  <w:abstractNum w:abstractNumId="183">
    <w:nsid w:val="30AADFDA"/>
    <w:multiLevelType w:val="hybridMultilevel"/>
    <w:lvl w:ilvl="0">
      <w:lvlJc w:val="left"/>
      <w:lvlText w:val="%1."/>
      <w:numFmt w:val="decimal"/>
      <w:start w:val="101"/>
    </w:lvl>
    <w:lvl w:ilvl="1">
      <w:lvlJc w:val="left"/>
      <w:lvlText w:val="(%2)"/>
      <w:numFmt w:val="lowerLetter"/>
      <w:start w:val="2"/>
    </w:lvl>
  </w:abstractNum>
  <w:abstractNum w:abstractNumId="184">
    <w:nsid w:val="30EADA61"/>
    <w:multiLevelType w:val="hybridMultilevel"/>
    <w:lvl w:ilvl="0">
      <w:lvlJc w:val="left"/>
      <w:lvlText w:val="%1."/>
      <w:numFmt w:val="decimal"/>
      <w:start w:val="105"/>
    </w:lvl>
  </w:abstractNum>
  <w:abstractNum w:abstractNumId="185">
    <w:nsid w:val="27179C0B"/>
    <w:multiLevelType w:val="hybridMultilevel"/>
    <w:lvl w:ilvl="0">
      <w:lvlJc w:val="left"/>
      <w:lvlText w:val="%1."/>
      <w:numFmt w:val="decimal"/>
      <w:start w:val="106"/>
    </w:lvl>
    <w:lvl w:ilvl="1">
      <w:lvlJc w:val="left"/>
      <w:lvlText w:val="(%2)"/>
      <w:numFmt w:val="lowerLetter"/>
      <w:start w:val="1"/>
    </w:lvl>
  </w:abstractNum>
  <w:abstractNum w:abstractNumId="186">
    <w:nsid w:val="5E636063"/>
    <w:multiLevelType w:val="hybridMultilevel"/>
    <w:lvl w:ilvl="0">
      <w:lvlJc w:val="left"/>
      <w:lvlText w:val="%1."/>
      <w:numFmt w:val="decimal"/>
      <w:start w:val="107"/>
    </w:lvl>
    <w:lvl w:ilvl="1">
      <w:lvlJc w:val="left"/>
      <w:lvlText w:val="(%2)"/>
      <w:numFmt w:val="lowerLetter"/>
      <w:start w:val="1"/>
    </w:lvl>
  </w:abstractNum>
  <w:abstractNum w:abstractNumId="187">
    <w:nsid w:val="215641AF"/>
    <w:multiLevelType w:val="hybridMultilevel"/>
    <w:lvl w:ilvl="0">
      <w:lvlJc w:val="left"/>
      <w:lvlText w:val="%1."/>
      <w:numFmt w:val="decimal"/>
      <w:start w:val="109"/>
    </w:lvl>
  </w:abstractNum>
  <w:abstractNum w:abstractNumId="188">
    <w:nsid w:val="53280662"/>
    <w:multiLevelType w:val="hybridMultilevel"/>
    <w:lvl w:ilvl="0">
      <w:lvlJc w:val="left"/>
      <w:lvlText w:val="%1."/>
      <w:numFmt w:val="decimal"/>
      <w:start w:val="110"/>
    </w:lvl>
    <w:lvl w:ilvl="1">
      <w:lvlJc w:val="left"/>
      <w:lvlText w:val="(%2)"/>
      <w:numFmt w:val="lowerLetter"/>
      <w:start w:val="1"/>
    </w:lvl>
  </w:abstractNum>
  <w:abstractNum w:abstractNumId="189">
    <w:nsid w:val="46B24DBC"/>
    <w:multiLevelType w:val="hybridMultilevel"/>
    <w:lvl w:ilvl="0">
      <w:lvlJc w:val="left"/>
      <w:lvlText w:val="%1."/>
      <w:numFmt w:val="decimal"/>
      <w:start w:val="111"/>
    </w:lvl>
  </w:abstractNum>
  <w:abstractNum w:abstractNumId="190">
    <w:nsid w:val="75B52783"/>
    <w:multiLevelType w:val="hybridMultilevel"/>
    <w:lvl w:ilvl="0">
      <w:lvlJc w:val="left"/>
      <w:lvlText w:val="%1."/>
      <w:numFmt w:val="decimal"/>
      <w:start w:val="113"/>
    </w:lvl>
    <w:lvl w:ilvl="1">
      <w:lvlJc w:val="left"/>
      <w:lvlText w:val="(%2)"/>
      <w:numFmt w:val="lowerLetter"/>
      <w:start w:val="2"/>
    </w:lvl>
  </w:abstractNum>
  <w:abstractNum w:abstractNumId="191">
    <w:nsid w:val="57CE66B4"/>
    <w:multiLevelType w:val="hybridMultilevel"/>
    <w:lvl w:ilvl="0">
      <w:lvlJc w:val="left"/>
      <w:lvlText w:val="%1."/>
      <w:numFmt w:val="decimal"/>
      <w:start w:val="114"/>
    </w:lvl>
  </w:abstractNum>
  <w:abstractNum w:abstractNumId="192">
    <w:nsid w:val="67A70B69"/>
    <w:multiLevelType w:val="hybridMultilevel"/>
    <w:lvl w:ilvl="0">
      <w:lvlJc w:val="left"/>
      <w:lvlText w:val="%1."/>
      <w:numFmt w:val="decimal"/>
      <w:start w:val="1"/>
    </w:lvl>
  </w:abstractNum>
  <w:abstractNum w:abstractNumId="193">
    <w:nsid w:val="5953172F"/>
    <w:multiLevelType w:val="hybridMultilevel"/>
    <w:lvl w:ilvl="0">
      <w:lvlJc w:val="left"/>
      <w:lvlText w:val="%1."/>
      <w:numFmt w:val="decimal"/>
      <w:start w:val="2"/>
    </w:lvl>
  </w:abstractNum>
  <w:abstractNum w:abstractNumId="194">
    <w:nsid w:val="27EDFE3A"/>
    <w:multiLevelType w:val="hybridMultilevel"/>
    <w:lvl w:ilvl="0">
      <w:lvlJc w:val="left"/>
      <w:lvlText w:val="%1."/>
      <w:numFmt w:val="decimal"/>
      <w:start w:val="3"/>
    </w:lvl>
  </w:abstractNum>
  <w:abstractNum w:abstractNumId="195">
    <w:nsid w:val="52AC7DFF"/>
    <w:multiLevelType w:val="hybridMultilevel"/>
    <w:lvl w:ilvl="0">
      <w:lvlJc w:val="left"/>
      <w:lvlText w:val="%1."/>
      <w:numFmt w:val="decimal"/>
      <w:start w:val="4"/>
    </w:lvl>
  </w:abstractNum>
  <w:abstractNum w:abstractNumId="196">
    <w:nsid w:val="C4C3AF"/>
    <w:multiLevelType w:val="hybridMultilevel"/>
    <w:lvl w:ilvl="0">
      <w:lvlJc w:val="left"/>
      <w:lvlText w:val="%1."/>
      <w:numFmt w:val="decimal"/>
      <w:start w:val="5"/>
    </w:lvl>
  </w:abstractNum>
  <w:abstractNum w:abstractNumId="197">
    <w:nsid w:val="44380727"/>
    <w:multiLevelType w:val="hybridMultilevel"/>
    <w:lvl w:ilvl="0">
      <w:lvlJc w:val="left"/>
      <w:lvlText w:val="(%1)"/>
      <w:numFmt w:val="upperLetter"/>
      <w:start w:val="1"/>
    </w:lvl>
    <w:lvl w:ilvl="1">
      <w:lvlJc w:val="left"/>
      <w:lvlText w:val="(%2)"/>
      <w:numFmt w:val="lowerRoman"/>
      <w:start w:val="1"/>
    </w:lvl>
  </w:abstractNum>
  <w:abstractNum w:abstractNumId="198">
    <w:nsid w:val="6C053B16"/>
    <w:multiLevelType w:val="hybridMultilevel"/>
    <w:lvl w:ilvl="0">
      <w:lvlJc w:val="left"/>
      <w:lvlText w:val="(%1)"/>
      <w:numFmt w:val="upperLetter"/>
      <w:start w:val="2"/>
    </w:lvl>
    <w:lvl w:ilvl="1">
      <w:lvlJc w:val="left"/>
      <w:lvlText w:val="(%2)"/>
      <w:numFmt w:val="lowerRoman"/>
      <w:start w:val="1"/>
    </w:lvl>
  </w:abstractNum>
  <w:abstractNum w:abstractNumId="199">
    <w:nsid w:val="4F294393"/>
    <w:multiLevelType w:val="hybridMultilevel"/>
    <w:lvl w:ilvl="0">
      <w:lvlJc w:val="left"/>
      <w:lvlText w:val="%1."/>
      <w:numFmt w:val="decimal"/>
      <w:start w:val="6"/>
    </w:lvl>
  </w:abstractNum>
  <w:abstractNum w:abstractNumId="200">
    <w:nsid w:val="5243BFAC"/>
    <w:multiLevelType w:val="hybridMultilevel"/>
    <w:lvl w:ilvl="0">
      <w:lvlJc w:val="left"/>
      <w:lvlText w:val="(%1)"/>
      <w:numFmt w:val="upperLetter"/>
      <w:start w:val="1"/>
    </w:lvl>
  </w:abstractNum>
  <w:abstractNum w:abstractNumId="201">
    <w:nsid w:val="425EB207"/>
    <w:multiLevelType w:val="hybridMultilevel"/>
    <w:lvl w:ilvl="0">
      <w:lvlJc w:val="left"/>
      <w:lvlText w:val="%1."/>
      <w:numFmt w:val="decimal"/>
      <w:start w:val="7"/>
    </w:lvl>
  </w:abstractNum>
  <w:abstractNum w:abstractNumId="202">
    <w:nsid w:val="334A6F1F"/>
    <w:multiLevelType w:val="hybridMultilevel"/>
    <w:lvl w:ilvl="0">
      <w:lvlJc w:val="left"/>
      <w:lvlText w:val="%1"/>
      <w:numFmt w:val="decimal"/>
      <w:start w:val="1"/>
    </w:lvl>
    <w:lvl w:ilvl="1">
      <w:lvlJc w:val="left"/>
      <w:lvlText w:val="(%2)"/>
      <w:numFmt w:val="upperLetter"/>
      <w:start w:val="2"/>
    </w:lvl>
  </w:abstractNum>
  <w:abstractNum w:abstractNumId="203">
    <w:nsid w:val="2E5B12B8"/>
    <w:multiLevelType w:val="hybridMultilevel"/>
    <w:lvl w:ilvl="0">
      <w:lvlJc w:val="left"/>
      <w:lvlText w:val="%1."/>
      <w:numFmt w:val="decimal"/>
      <w:start w:val="8"/>
    </w:lvl>
    <w:lvl w:ilvl="1">
      <w:lvlJc w:val="left"/>
      <w:lvlText w:val="%2"/>
      <w:numFmt w:val="upperLetter"/>
      <w:start w:val="1"/>
    </w:lvl>
  </w:abstractNum>
  <w:abstractNum w:abstractNumId="204">
    <w:nsid w:val="5C03D76D"/>
    <w:multiLevelType w:val="hybridMultilevel"/>
    <w:lvl w:ilvl="0">
      <w:lvlJc w:val="left"/>
      <w:lvlText w:val="%1."/>
      <w:numFmt w:val="decimal"/>
      <w:start w:val="9"/>
    </w:lvl>
  </w:abstractNum>
  <w:abstractNum w:abstractNumId="205">
    <w:nsid w:val="66A48D11"/>
    <w:multiLevelType w:val="hybridMultilevel"/>
    <w:lvl w:ilvl="0">
      <w:lvlJc w:val="left"/>
      <w:lvlText w:val="%1."/>
      <w:numFmt w:val="decimal"/>
      <w:start w:val="10"/>
    </w:lvl>
  </w:abstractNum>
  <w:abstractNum w:abstractNumId="206">
    <w:nsid w:val="56C28E34"/>
    <w:multiLevelType w:val="hybridMultilevel"/>
    <w:lvl w:ilvl="0">
      <w:lvlJc w:val="left"/>
      <w:lvlText w:val="%1."/>
      <w:numFmt w:val="decimal"/>
      <w:start w:val="11"/>
    </w:lvl>
  </w:abstractNum>
  <w:abstractNum w:abstractNumId="207">
    <w:nsid w:val="13916F2D"/>
    <w:multiLevelType w:val="hybridMultilevel"/>
    <w:lvl w:ilvl="0">
      <w:lvlJc w:val="left"/>
      <w:lvlText w:val="(%1)"/>
      <w:numFmt w:val="upperLetter"/>
      <w:start w:val="1"/>
    </w:lvl>
  </w:abstractNum>
  <w:abstractNum w:abstractNumId="208">
    <w:nsid w:val="435D38D"/>
    <w:multiLevelType w:val="hybridMultilevel"/>
    <w:lvl w:ilvl="0">
      <w:lvlJc w:val="left"/>
      <w:lvlText w:val="%1."/>
      <w:numFmt w:val="decimal"/>
      <w:start w:val="12"/>
    </w:lvl>
  </w:abstractNum>
  <w:abstractNum w:abstractNumId="209">
    <w:nsid w:val="822C0EF"/>
    <w:multiLevelType w:val="hybridMultilevel"/>
    <w:lvl w:ilvl="0">
      <w:lvlJc w:val="left"/>
      <w:lvlText w:val="%1."/>
      <w:numFmt w:val="decimal"/>
      <w:start w:val="13"/>
    </w:lvl>
  </w:abstractNum>
  <w:abstractNum w:abstractNumId="210">
    <w:nsid w:val="57C5BB4F"/>
    <w:multiLevelType w:val="hybridMultilevel"/>
    <w:lvl w:ilvl="0">
      <w:lvlJc w:val="left"/>
      <w:lvlText w:val="%1."/>
      <w:numFmt w:val="decimal"/>
      <w:start w:val="14"/>
    </w:lvl>
  </w:abstractNum>
  <w:abstractNum w:abstractNumId="211">
    <w:nsid w:val="1803D089"/>
    <w:multiLevelType w:val="hybridMultilevel"/>
    <w:lvl w:ilvl="0">
      <w:lvlJc w:val="left"/>
      <w:lvlText w:val="%1."/>
      <w:numFmt w:val="decimal"/>
      <w:start w:val="15"/>
    </w:lvl>
  </w:abstractNum>
  <w:abstractNum w:abstractNumId="212">
    <w:nsid w:val="4F3A06D4"/>
    <w:multiLevelType w:val="hybridMultilevel"/>
    <w:lvl w:ilvl="0">
      <w:lvlJc w:val="left"/>
      <w:lvlText w:val="(%1)"/>
      <w:numFmt w:val="upperLetter"/>
      <w:start w:val="1"/>
    </w:lvl>
  </w:abstractNum>
  <w:abstractNum w:abstractNumId="213">
    <w:nsid w:val="59A377B6"/>
    <w:multiLevelType w:val="hybridMultilevel"/>
    <w:lvl w:ilvl="0">
      <w:lvlJc w:val="left"/>
      <w:lvlText w:val="%1."/>
      <w:numFmt w:val="decimal"/>
      <w:start w:val="16"/>
    </w:lvl>
  </w:abstractNum>
  <w:abstractNum w:abstractNumId="214">
    <w:nsid w:val="48AEB063"/>
    <w:multiLevelType w:val="hybridMultilevel"/>
    <w:lvl w:ilvl="0">
      <w:lvlJc w:val="left"/>
      <w:lvlText w:val="(%1)"/>
      <w:numFmt w:val="upperLetter"/>
      <w:start w:val="1"/>
    </w:lvl>
  </w:abstractNum>
  <w:abstractNum w:abstractNumId="215">
    <w:nsid w:val="24E135"/>
    <w:multiLevelType w:val="hybridMultilevel"/>
    <w:lvl w:ilvl="0">
      <w:lvlJc w:val="left"/>
      <w:lvlText w:val="%1"/>
      <w:numFmt w:val="decimal"/>
      <w:start w:val="1"/>
    </w:lvl>
    <w:lvl w:ilvl="1">
      <w:lvlJc w:val="left"/>
      <w:lvlText w:val="(%2)"/>
      <w:numFmt w:val="upperLetter"/>
      <w:start w:val="4"/>
    </w:lvl>
  </w:abstractNum>
  <w:abstractNum w:abstractNumId="216">
    <w:nsid w:val="BB13C1"/>
    <w:multiLevelType w:val="hybridMultilevel"/>
    <w:lvl w:ilvl="0">
      <w:lvlJc w:val="left"/>
      <w:lvlText w:val="%1."/>
      <w:numFmt w:val="decimal"/>
      <w:start w:val="17"/>
    </w:lvl>
    <w:lvl w:ilvl="1">
      <w:lvlJc w:val="left"/>
      <w:lvlText w:val="%2"/>
      <w:numFmt w:val="upperLetter"/>
      <w:start w:val="1"/>
    </w:lvl>
  </w:abstractNum>
  <w:abstractNum w:abstractNumId="217">
    <w:nsid w:val="271210C7"/>
    <w:multiLevelType w:val="hybridMultilevel"/>
    <w:lvl w:ilvl="0">
      <w:lvlJc w:val="left"/>
      <w:lvlText w:val="%1."/>
      <w:numFmt w:val="decimal"/>
      <w:start w:val="18"/>
    </w:lvl>
  </w:abstractNum>
  <w:abstractNum w:abstractNumId="218">
    <w:nsid w:val="217B22E4"/>
    <w:multiLevelType w:val="hybridMultilevel"/>
    <w:lvl w:ilvl="0">
      <w:lvlJc w:val="left"/>
      <w:lvlText w:val="%1."/>
      <w:numFmt w:val="decimal"/>
      <w:start w:val="19"/>
    </w:lvl>
  </w:abstractNum>
  <w:abstractNum w:abstractNumId="219">
    <w:nsid w:val="53E31A24"/>
    <w:multiLevelType w:val="hybridMultilevel"/>
    <w:lvl w:ilvl="0">
      <w:lvlJc w:val="left"/>
      <w:lvlText w:val="%1."/>
      <w:numFmt w:val="decimal"/>
      <w:start w:val="20"/>
    </w:lvl>
  </w:abstractNum>
  <w:abstractNum w:abstractNumId="220">
    <w:nsid w:val="6DC45E83"/>
    <w:multiLevelType w:val="hybridMultilevel"/>
    <w:lvl w:ilvl="0">
      <w:lvlJc w:val="left"/>
      <w:lvlText w:val="(%1)"/>
      <w:numFmt w:val="upperLetter"/>
      <w:start w:val="1"/>
    </w:lvl>
  </w:abstractNum>
  <w:abstractNum w:abstractNumId="221">
    <w:nsid w:val="17304A67"/>
    <w:multiLevelType w:val="hybridMultilevel"/>
    <w:lvl w:ilvl="0">
      <w:lvlJc w:val="left"/>
      <w:lvlText w:val="%1"/>
      <w:numFmt w:val="decimal"/>
      <w:start w:val="1"/>
    </w:lvl>
    <w:lvl w:ilvl="1">
      <w:lvlJc w:val="left"/>
      <w:lvlText w:val="(%2)"/>
      <w:numFmt w:val="upperLetter"/>
      <w:start w:val="2"/>
    </w:lvl>
  </w:abstractNum>
  <w:abstractNum w:abstractNumId="222">
    <w:nsid w:val="2BB180D8"/>
    <w:multiLevelType w:val="hybridMultilevel"/>
    <w:lvl w:ilvl="0">
      <w:lvlJc w:val="left"/>
      <w:lvlText w:val="%1."/>
      <w:numFmt w:val="decimal"/>
      <w:start w:val="21"/>
    </w:lvl>
    <w:lvl w:ilvl="1">
      <w:lvlJc w:val="left"/>
      <w:lvlText w:val="%2"/>
      <w:numFmt w:val="upperLetter"/>
      <w:start w:val="1"/>
    </w:lvl>
  </w:abstractNum>
  <w:abstractNum w:abstractNumId="223">
    <w:nsid w:val="556B69ED"/>
    <w:multiLevelType w:val="hybridMultilevel"/>
    <w:lvl w:ilvl="0">
      <w:lvlJc w:val="left"/>
      <w:lvlText w:val="%1."/>
      <w:numFmt w:val="decimal"/>
      <w:start w:val="22"/>
    </w:lvl>
  </w:abstractNum>
  <w:abstractNum w:abstractNumId="224">
    <w:nsid w:val="70836196"/>
    <w:multiLevelType w:val="hybridMultilevel"/>
    <w:lvl w:ilvl="0">
      <w:lvlJc w:val="left"/>
      <w:lvlText w:val="%1."/>
      <w:numFmt w:val="decimal"/>
      <w:start w:val="23"/>
    </w:lvl>
  </w:abstractNum>
  <w:abstractNum w:abstractNumId="225">
    <w:nsid w:val="539F7F12"/>
    <w:multiLevelType w:val="hybridMultilevel"/>
    <w:lvl w:ilvl="0">
      <w:lvlJc w:val="left"/>
      <w:lvlText w:val="%1."/>
      <w:numFmt w:val="decimal"/>
      <w:start w:val="24"/>
    </w:lvl>
  </w:abstractNum>
  <w:abstractNum w:abstractNumId="226">
    <w:nsid w:val="2817E7EC"/>
    <w:multiLevelType w:val="hybridMultilevel"/>
    <w:lvl w:ilvl="0">
      <w:lvlJc w:val="left"/>
      <w:lvlText w:val="%1."/>
      <w:numFmt w:val="decimal"/>
      <w:start w:val="25"/>
    </w:lvl>
  </w:abstractNum>
  <w:abstractNum w:abstractNumId="227">
    <w:nsid w:val="71482545"/>
    <w:multiLevelType w:val="hybridMultilevel"/>
    <w:lvl w:ilvl="0">
      <w:lvlJc w:val="left"/>
      <w:lvlText w:val="%1."/>
      <w:numFmt w:val="decimal"/>
      <w:start w:val="26"/>
    </w:lvl>
  </w:abstractNum>
  <w:abstractNum w:abstractNumId="228">
    <w:nsid w:val="17D78639"/>
    <w:multiLevelType w:val="hybridMultilevel"/>
    <w:lvl w:ilvl="0">
      <w:lvlJc w:val="left"/>
      <w:lvlText w:val="%1."/>
      <w:numFmt w:val="decimal"/>
      <w:start w:val="27"/>
    </w:lvl>
  </w:abstractNum>
  <w:abstractNum w:abstractNumId="229">
    <w:nsid w:val="141D2302"/>
    <w:multiLevelType w:val="hybridMultilevel"/>
    <w:lvl w:ilvl="0">
      <w:lvlJc w:val="left"/>
      <w:lvlText w:val="%1."/>
      <w:numFmt w:val="decimal"/>
      <w:start w:val="1"/>
    </w:lvl>
  </w:abstractNum>
  <w:abstractNum w:abstractNumId="230">
    <w:nsid w:val="407168D8"/>
    <w:multiLevelType w:val="hybridMultilevel"/>
    <w:lvl w:ilvl="0">
      <w:lvlJc w:val="left"/>
      <w:lvlText w:val="(%1)"/>
      <w:numFmt w:val="lowerRoman"/>
      <w:start w:val="1"/>
    </w:lvl>
  </w:abstractNum>
  <w:abstractNum w:abstractNumId="231">
    <w:nsid w:val="6A1B45E5"/>
    <w:multiLevelType w:val="hybridMultilevel"/>
    <w:lvl w:ilvl="0">
      <w:lvlJc w:val="left"/>
      <w:lvlText w:val="%1."/>
      <w:numFmt w:val="decimal"/>
      <w:start w:val="2"/>
    </w:lvl>
  </w:abstractNum>
  <w:abstractNum w:abstractNumId="232">
    <w:nsid w:val="567BD50A"/>
    <w:multiLevelType w:val="hybridMultilevel"/>
    <w:lvl w:ilvl="0">
      <w:lvlJc w:val="left"/>
      <w:lvlText w:val="(%1)"/>
      <w:numFmt w:val="lowerRoman"/>
      <w:start w:val="2"/>
    </w:lvl>
  </w:abstractNum>
  <w:abstractNum w:abstractNumId="233">
    <w:nsid w:val="73BBD7F8"/>
    <w:multiLevelType w:val="hybridMultilevel"/>
    <w:lvl w:ilvl="0">
      <w:lvlJc w:val="left"/>
      <w:lvlText w:val="%1."/>
      <w:numFmt w:val="decimal"/>
      <w:start w:val="3"/>
    </w:lvl>
  </w:abstractNum>
  <w:abstractNum w:abstractNumId="234">
    <w:nsid w:val="1876589D"/>
    <w:multiLevelType w:val="hybridMultilevel"/>
    <w:lvl w:ilvl="0">
      <w:lvlJc w:val="left"/>
      <w:lvlText w:val="(%1)"/>
      <w:numFmt w:val="lowerRoman"/>
      <w:start w:val="1"/>
    </w:lvl>
  </w:abstractNum>
  <w:abstractNum w:abstractNumId="235">
    <w:nsid w:val="327FAC77"/>
    <w:multiLevelType w:val="hybridMultilevel"/>
    <w:lvl w:ilvl="0">
      <w:lvlJc w:val="left"/>
      <w:lvlText w:val="(%1)"/>
      <w:numFmt w:val="lowerRoman"/>
      <w:start w:val="2"/>
    </w:lvl>
  </w:abstractNum>
  <w:abstractNum w:abstractNumId="236">
    <w:nsid w:val="5A606509"/>
    <w:multiLevelType w:val="hybridMultilevel"/>
    <w:lvl w:ilvl="0">
      <w:lvlJc w:val="left"/>
      <w:lvlText w:val="%1."/>
      <w:numFmt w:val="decimal"/>
      <w:start w:val="4"/>
    </w:lvl>
  </w:abstractNum>
  <w:abstractNum w:abstractNumId="237">
    <w:nsid w:val="6F38E6D1"/>
    <w:multiLevelType w:val="hybridMultilevel"/>
    <w:lvl w:ilvl="0">
      <w:lvlJc w:val="left"/>
      <w:lvlText w:val="%1."/>
      <w:numFmt w:val="decimal"/>
      <w:start w:val="5"/>
    </w:lvl>
  </w:abstractNum>
  <w:abstractNum w:abstractNumId="238">
    <w:nsid w:val="46111BA5"/>
    <w:multiLevelType w:val="hybridMultilevel"/>
    <w:lvl w:ilvl="0">
      <w:lvlJc w:val="left"/>
      <w:lvlText w:val="%1."/>
      <w:numFmt w:val="decimal"/>
      <w:start w:val="6"/>
    </w:lvl>
  </w:abstractNum>
  <w:abstractNum w:abstractNumId="239">
    <w:nsid w:val="5E963896"/>
    <w:multiLevelType w:val="hybridMultilevel"/>
    <w:lvl w:ilvl="0">
      <w:lvlJc w:val="left"/>
      <w:lvlText w:val="(%1)"/>
      <w:numFmt w:val="lowerLetter"/>
      <w:start w:val="4"/>
    </w:lvl>
  </w:abstractNum>
  <w:abstractNum w:abstractNumId="240">
    <w:nsid w:val="775BA7C1"/>
    <w:multiLevelType w:val="hybridMultilevel"/>
    <w:lvl w:ilvl="0">
      <w:lvlJc w:val="left"/>
      <w:lvlText w:val="%1."/>
      <w:numFmt w:val="decimal"/>
      <w:start w:val="7"/>
    </w:lvl>
  </w:abstractNum>
  <w:abstractNum w:abstractNumId="241">
    <w:nsid w:val="1DD6D6F4"/>
    <w:multiLevelType w:val="hybridMultilevel"/>
    <w:lvl w:ilvl="0">
      <w:lvlJc w:val="left"/>
      <w:lvlText w:val="%1."/>
      <w:numFmt w:val="decimal"/>
      <w:start w:val="8"/>
    </w:lvl>
  </w:abstractNum>
  <w:abstractNum w:abstractNumId="242">
    <w:nsid w:val="769A091F"/>
    <w:multiLevelType w:val="hybridMultilevel"/>
    <w:lvl w:ilvl="0">
      <w:lvlJc w:val="left"/>
      <w:lvlText w:val="%1."/>
      <w:numFmt w:val="decimal"/>
      <w:start w:val="9"/>
    </w:lvl>
  </w:abstractNum>
  <w:abstractNum w:abstractNumId="243">
    <w:nsid w:val="4695AE95"/>
    <w:multiLevelType w:val="hybridMultilevel"/>
    <w:lvl w:ilvl="0">
      <w:lvlJc w:val="left"/>
      <w:lvlText w:val="%1."/>
      <w:numFmt w:val="decimal"/>
      <w:start w:val="10"/>
    </w:lvl>
  </w:abstractNum>
  <w:abstractNum w:abstractNumId="244">
    <w:nsid w:val="777A4EAA"/>
    <w:multiLevelType w:val="hybridMultilevel"/>
    <w:lvl w:ilvl="0">
      <w:lvlJc w:val="left"/>
      <w:lvlText w:val="%1."/>
      <w:numFmt w:val="decimal"/>
      <w:start w:val="11"/>
    </w:lvl>
  </w:abstractNum>
  <w:abstractNum w:abstractNumId="245">
    <w:nsid w:val="3F48B982"/>
    <w:multiLevelType w:val="hybridMultilevel"/>
    <w:lvl w:ilvl="0">
      <w:lvlJc w:val="left"/>
      <w:lvlText w:val="%1."/>
      <w:numFmt w:val="decimal"/>
      <w:start w:val="12"/>
    </w:lvl>
  </w:abstractNum>
  <w:abstractNum w:abstractNumId="246">
    <w:nsid w:val="46BA8FCA"/>
    <w:multiLevelType w:val="hybridMultilevel"/>
    <w:lvl w:ilvl="0">
      <w:lvlJc w:val="left"/>
      <w:lvlText w:val="%1."/>
      <w:numFmt w:val="decimal"/>
      <w:start w:val="13"/>
    </w:lvl>
  </w:abstractNum>
  <w:abstractNum w:abstractNumId="247">
    <w:nsid w:val="7835626C"/>
    <w:multiLevelType w:val="hybridMultilevel"/>
    <w:lvl w:ilvl="0">
      <w:lvlJc w:val="left"/>
      <w:lvlText w:val="%1."/>
      <w:numFmt w:val="decimal"/>
      <w:start w:val="14"/>
    </w:lvl>
  </w:abstractNum>
  <w:abstractNum w:abstractNumId="248">
    <w:nsid w:val="665ACA49"/>
    <w:multiLevelType w:val="hybridMultilevel"/>
    <w:lvl w:ilvl="0">
      <w:lvlJc w:val="left"/>
      <w:lvlText w:val="(%1)"/>
      <w:numFmt w:val="lowerRoman"/>
      <w:start w:val="4"/>
    </w:lvl>
  </w:abstractNum>
  <w:abstractNum w:abstractNumId="249">
    <w:nsid w:val="6835B2AE"/>
    <w:multiLevelType w:val="hybridMultilevel"/>
    <w:lvl w:ilvl="0">
      <w:lvlJc w:val="left"/>
      <w:lvlText w:val="%1."/>
      <w:numFmt w:val="decimal"/>
      <w:start w:val="15"/>
    </w:lvl>
  </w:abstractNum>
  <w:abstractNum w:abstractNumId="250">
    <w:nsid w:val="4C187C90"/>
    <w:multiLevelType w:val="hybridMultilevel"/>
    <w:lvl w:ilvl="0">
      <w:lvlJc w:val="left"/>
      <w:lvlText w:val="%1."/>
      <w:numFmt w:val="decimal"/>
      <w:start w:val="16"/>
    </w:lvl>
  </w:abstractNum>
  <w:abstractNum w:abstractNumId="251">
    <w:nsid w:val="541F28CD"/>
    <w:multiLevelType w:val="hybridMultilevel"/>
    <w:lvl w:ilvl="0">
      <w:lvlJc w:val="left"/>
      <w:lvlText w:val="%1."/>
      <w:numFmt w:val="decimal"/>
      <w:start w:val="17"/>
    </w:lvl>
  </w:abstractNum>
  <w:abstractNum w:abstractNumId="252">
    <w:nsid w:val="7F65FD16"/>
    <w:multiLevelType w:val="hybridMultilevel"/>
    <w:lvl w:ilvl="0">
      <w:lvlJc w:val="left"/>
      <w:lvlText w:val="%1."/>
      <w:numFmt w:val="decimal"/>
      <w:start w:val="18"/>
    </w:lvl>
  </w:abstractNum>
  <w:abstractNum w:abstractNumId="253">
    <w:nsid w:val="77C9FD68"/>
    <w:multiLevelType w:val="hybridMultilevel"/>
    <w:lvl w:ilvl="0">
      <w:lvlJc w:val="left"/>
      <w:lvlText w:val="%1."/>
      <w:numFmt w:val="decimal"/>
      <w:start w:val="19"/>
    </w:lvl>
  </w:abstractNum>
  <w:abstractNum w:abstractNumId="254">
    <w:nsid w:val="298A92BA"/>
    <w:multiLevelType w:val="hybridMultilevel"/>
    <w:lvl w:ilvl="0">
      <w:lvlJc w:val="left"/>
      <w:lvlText w:val="%1."/>
      <w:numFmt w:val="decimal"/>
      <w:start w:val="20"/>
    </w:lvl>
  </w:abstractNum>
  <w:abstractNum w:abstractNumId="255">
    <w:nsid w:val="6FE95EAC"/>
    <w:multiLevelType w:val="hybridMultilevel"/>
    <w:lvl w:ilvl="0">
      <w:lvlJc w:val="left"/>
      <w:lvlText w:val="%1."/>
      <w:numFmt w:val="decimal"/>
      <w:start w:val="21"/>
    </w:lvl>
  </w:abstractNum>
  <w:abstractNum w:abstractNumId="256">
    <w:nsid w:val="4B697C7A"/>
    <w:multiLevelType w:val="hybridMultilevel"/>
    <w:lvl w:ilvl="0">
      <w:lvlJc w:val="left"/>
      <w:lvlText w:val="%1."/>
      <w:numFmt w:val="decimal"/>
      <w:start w:val="22"/>
    </w:lvl>
  </w:abstractNum>
  <w:abstractNum w:abstractNumId="257">
    <w:nsid w:val="51A27AA6"/>
    <w:multiLevelType w:val="hybridMultilevel"/>
    <w:lvl w:ilvl="0">
      <w:lvlJc w:val="left"/>
      <w:lvlText w:val="%1."/>
      <w:numFmt w:val="decimal"/>
      <w:start w:val="23"/>
    </w:lvl>
  </w:abstractNum>
  <w:abstractNum w:abstractNumId="258">
    <w:nsid w:val="613183F2"/>
    <w:multiLevelType w:val="hybridMultilevel"/>
    <w:lvl w:ilvl="0">
      <w:lvlJc w:val="left"/>
      <w:lvlText w:val="%1."/>
      <w:numFmt w:val="decimal"/>
      <w:start w:val="24"/>
    </w:lvl>
  </w:abstractNum>
  <w:abstractNum w:abstractNumId="259">
    <w:nsid w:val="634102B4"/>
    <w:multiLevelType w:val="hybridMultilevel"/>
    <w:lvl w:ilvl="0">
      <w:lvlJc w:val="left"/>
      <w:lvlText w:val="%1."/>
      <w:numFmt w:val="decimal"/>
      <w:start w:val="25"/>
    </w:lvl>
  </w:abstractNum>
  <w:abstractNum w:abstractNumId="260">
    <w:nsid w:val="65BF9DA8"/>
    <w:multiLevelType w:val="hybridMultilevel"/>
    <w:lvl w:ilvl="0">
      <w:lvlJc w:val="left"/>
      <w:lvlText w:val="%1."/>
      <w:numFmt w:val="decimal"/>
      <w:start w:val="26"/>
    </w:lvl>
  </w:abstractNum>
  <w:abstractNum w:abstractNumId="261">
    <w:nsid w:val="21A2ECCA"/>
    <w:multiLevelType w:val="hybridMultilevel"/>
    <w:lvl w:ilvl="0">
      <w:lvlJc w:val="left"/>
      <w:lvlText w:val="%1."/>
      <w:numFmt w:val="decimal"/>
      <w:start w:val="27"/>
    </w:lvl>
  </w:abstractNum>
  <w:abstractNum w:abstractNumId="262">
    <w:nsid w:val="4D5C4899"/>
    <w:multiLevelType w:val="hybridMultilevel"/>
    <w:lvl w:ilvl="0">
      <w:lvlJc w:val="left"/>
      <w:lvlText w:val="%1."/>
      <w:numFmt w:val="decimal"/>
      <w:start w:val="28"/>
    </w:lvl>
  </w:abstractNum>
  <w:abstractNum w:abstractNumId="263">
    <w:nsid w:val="3C3B72B2"/>
    <w:multiLevelType w:val="hybridMultilevel"/>
    <w:lvl w:ilvl="0">
      <w:lvlJc w:val="left"/>
      <w:lvlText w:val="%1."/>
      <w:numFmt w:val="decimal"/>
      <w:start w:val="29"/>
    </w:lvl>
  </w:abstractNum>
  <w:abstractNum w:abstractNumId="264">
    <w:nsid w:val="155EC4C2"/>
    <w:multiLevelType w:val="hybridMultilevel"/>
    <w:lvl w:ilvl="0">
      <w:lvlJc w:val="left"/>
      <w:lvlText w:val="%1."/>
      <w:numFmt w:val="decimal"/>
      <w:start w:val="1"/>
    </w:lvl>
  </w:abstractNum>
  <w:abstractNum w:abstractNumId="265">
    <w:nsid w:val="65D2A137"/>
    <w:multiLevelType w:val="hybridMultilevel"/>
    <w:lvl w:ilvl="0">
      <w:lvlJc w:val="left"/>
      <w:lvlText w:val="%1."/>
      <w:numFmt w:val="decimal"/>
      <w:start w:val="2"/>
    </w:lvl>
  </w:abstractNum>
  <w:abstractNum w:abstractNumId="266">
    <w:nsid w:val="6EBB1F2A"/>
    <w:multiLevelType w:val="hybridMultilevel"/>
    <w:lvl w:ilvl="0">
      <w:lvlJc w:val="left"/>
      <w:lvlText w:val="%1."/>
      <w:numFmt w:val="decimal"/>
      <w:start w:val="3"/>
    </w:lvl>
  </w:abstractNum>
  <w:abstractNum w:abstractNumId="267">
    <w:nsid w:val="6FBF29CB"/>
    <w:multiLevelType w:val="hybridMultilevel"/>
    <w:lvl w:ilvl="0">
      <w:lvlJc w:val="left"/>
      <w:lvlText w:val="%1."/>
      <w:numFmt w:val="decimal"/>
      <w:start w:val="4"/>
    </w:lvl>
  </w:abstractNum>
  <w:abstractNum w:abstractNumId="268">
    <w:nsid w:val="550B880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2019-12-09T04:58:22Z</dcterms:created>
  <dcterms:modified xsi:type="dcterms:W3CDTF">2019-12-09T04:58:22Z</dcterms:modified>
</cp:coreProperties>
</file>