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17145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8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rFonts w:ascii="MS PGothic" w:cs="MS PGothic" w:eastAsia="MS PGothic" w:hAnsi="MS PGothic"/>
          <w:sz w:val="22"/>
          <w:szCs w:val="22"/>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w:t>
      </w:r>
      <w:r>
        <w:rPr>
          <w:rFonts w:ascii="Arial" w:cs="Arial" w:eastAsia="Arial" w:hAnsi="Arial"/>
          <w:sz w:val="22"/>
          <w:szCs w:val="22"/>
          <w:b w:val="1"/>
          <w:bCs w:val="1"/>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6457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30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7" w:lineRule="auto"/>
        <w:tabs>
          <w:tab w:leader="none" w:pos="1431" w:val="left"/>
        </w:tabs>
        <w:numPr>
          <w:ilvl w:val="0"/>
          <w:numId w:val="3"/>
        </w:numPr>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IDB Development Corporation Ltd.</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tbl>
      <w:tblPr>
        <w:tblLayout w:type="fixed"/>
        <w:tblInd w:w="0" w:type="dxa"/>
        <w:tblCellMar>
          <w:top w:w="0" w:type="dxa"/>
          <w:left w:w="0" w:type="dxa"/>
          <w:bottom w:w="0" w:type="dxa"/>
          <w:right w:w="0" w:type="dxa"/>
        </w:tblCellMar>
      </w:tblPr>
      <w:tr>
        <w:trPr>
          <w:trHeight w:val="59"/>
        </w:trPr>
        <w:tc>
          <w:tcPr>
            <w:tcW w:w="2060" w:type="dxa"/>
            <w:vAlign w:val="bottom"/>
            <w:vMerge w:val="restart"/>
          </w:tcPr>
          <w:p>
            <w:pPr>
              <w:jc w:val="right"/>
              <w:ind w:right="1174"/>
              <w:spacing w:after="0" w:line="329" w:lineRule="exact"/>
              <w:rPr>
                <w:sz w:val="20"/>
                <w:szCs w:val="20"/>
                <w:color w:val="auto"/>
              </w:rPr>
            </w:pPr>
            <w:r>
              <w:rPr>
                <w:rFonts w:ascii="Arial" w:cs="Arial" w:eastAsia="Arial" w:hAnsi="Arial"/>
                <w:sz w:val="32"/>
                <w:szCs w:val="32"/>
                <w:b w:val="1"/>
                <w:bCs w:val="1"/>
                <w:color w:val="auto"/>
              </w:rPr>
              <w:t>3</w:t>
            </w:r>
          </w:p>
        </w:tc>
        <w:tc>
          <w:tcPr>
            <w:tcW w:w="680" w:type="dxa"/>
            <w:vAlign w:val="bottom"/>
          </w:tcPr>
          <w:p>
            <w:pPr>
              <w:spacing w:after="0"/>
              <w:rPr>
                <w:sz w:val="5"/>
                <w:szCs w:val="5"/>
                <w:color w:val="auto"/>
              </w:rPr>
            </w:pPr>
          </w:p>
        </w:tc>
        <w:tc>
          <w:tcPr>
            <w:tcW w:w="8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420" w:type="dxa"/>
            <w:vAlign w:val="bottom"/>
            <w:gridSpan w:val="6"/>
          </w:tcPr>
          <w:p>
            <w:pPr>
              <w:ind w:left="1420"/>
              <w:spacing w:after="0" w:line="182"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60" w:type="dxa"/>
            <w:vAlign w:val="bottom"/>
          </w:tcPr>
          <w:p>
            <w:pPr>
              <w:jc w:val="right"/>
              <w:ind w:right="1174"/>
              <w:spacing w:after="0" w:line="336" w:lineRule="exact"/>
              <w:rPr>
                <w:sz w:val="20"/>
                <w:szCs w:val="20"/>
                <w:color w:val="auto"/>
              </w:rPr>
            </w:pPr>
            <w:r>
              <w:rPr>
                <w:rFonts w:ascii="Arial" w:cs="Arial" w:eastAsia="Arial" w:hAnsi="Arial"/>
                <w:sz w:val="32"/>
                <w:szCs w:val="32"/>
                <w:b w:val="1"/>
                <w:bCs w:val="1"/>
                <w:color w:val="auto"/>
              </w:rPr>
              <w:t>4</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Pr>
          <w:p>
            <w:pPr>
              <w:jc w:val="right"/>
              <w:ind w:right="114"/>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1"/>
                <w:szCs w:val="21"/>
                <w:color w:val="auto"/>
              </w:rPr>
            </w:pPr>
          </w:p>
        </w:tc>
        <w:tc>
          <w:tcPr>
            <w:tcW w:w="8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6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620"/>
        <w:spacing w:after="0" w:line="215" w:lineRule="auto"/>
        <w:rPr>
          <w:sz w:val="20"/>
          <w:szCs w:val="20"/>
          <w:color w:val="auto"/>
        </w:rPr>
      </w:pPr>
      <w:r>
        <w:rPr>
          <w:rFonts w:ascii="Arial" w:cs="Arial" w:eastAsia="Arial" w:hAnsi="Arial"/>
          <w:sz w:val="32"/>
          <w:szCs w:val="32"/>
          <w:b w:val="1"/>
          <w:bCs w:val="1"/>
          <w:color w:val="auto"/>
        </w:rPr>
        <w:t>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0</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211" w:lineRule="auto"/>
        <w:rPr>
          <w:sz w:val="20"/>
          <w:szCs w:val="20"/>
          <w:color w:val="auto"/>
        </w:rPr>
      </w:pPr>
      <w:r>
        <w:rPr>
          <w:rFonts w:ascii="Arial" w:cs="Arial" w:eastAsia="Arial" w:hAnsi="Arial"/>
          <w:sz w:val="32"/>
          <w:szCs w:val="32"/>
          <w:b w:val="1"/>
          <w:bCs w:val="1"/>
          <w:color w:val="auto"/>
        </w:rPr>
        <w:t>10</w:t>
      </w:r>
    </w:p>
    <w:p>
      <w:pPr>
        <w:spacing w:after="0" w:line="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1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rPr>
          <w:sz w:val="20"/>
          <w:szCs w:val="20"/>
          <w:color w:val="auto"/>
        </w:rPr>
      </w:pPr>
      <w:r>
        <w:rPr>
          <w:rFonts w:ascii="Arial" w:cs="Arial" w:eastAsia="Arial" w:hAnsi="Arial"/>
          <w:sz w:val="32"/>
          <w:szCs w:val="32"/>
          <w:b w:val="1"/>
          <w:bCs w:val="1"/>
          <w:color w:val="auto"/>
        </w:rPr>
        <w:t>11</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215"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6457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30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7" w:lineRule="auto"/>
        <w:tabs>
          <w:tab w:leader="none" w:pos="1431" w:val="left"/>
        </w:tabs>
        <w:numPr>
          <w:ilvl w:val="0"/>
          <w:numId w:val="5"/>
        </w:numPr>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 xml:space="preserve">I.R.S. IDENTIFICATION NOS. OF ABOVE PERSONS (ENTITIES ONLY) </w:t>
      </w:r>
      <w:r>
        <w:rPr>
          <w:rFonts w:ascii="Arial" w:cs="Arial" w:eastAsia="Arial" w:hAnsi="Arial"/>
          <w:sz w:val="18"/>
          <w:szCs w:val="18"/>
          <w:color w:val="auto"/>
        </w:rPr>
        <w:t>Eduardo Sergio Elsztain</w:t>
      </w:r>
    </w:p>
    <w:p>
      <w:pPr>
        <w:spacing w:after="0" w:line="7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tbl>
      <w:tblPr>
        <w:tblLayout w:type="fixed"/>
        <w:tblInd w:w="0" w:type="dxa"/>
        <w:tblCellMar>
          <w:top w:w="0" w:type="dxa"/>
          <w:left w:w="0" w:type="dxa"/>
          <w:bottom w:w="0" w:type="dxa"/>
          <w:right w:w="0" w:type="dxa"/>
        </w:tblCellMar>
      </w:tblPr>
      <w:tr>
        <w:trPr>
          <w:trHeight w:val="59"/>
        </w:trPr>
        <w:tc>
          <w:tcPr>
            <w:tcW w:w="2060" w:type="dxa"/>
            <w:vAlign w:val="bottom"/>
            <w:vMerge w:val="restart"/>
          </w:tcPr>
          <w:p>
            <w:pPr>
              <w:jc w:val="right"/>
              <w:ind w:right="1174"/>
              <w:spacing w:after="0" w:line="329" w:lineRule="exact"/>
              <w:rPr>
                <w:sz w:val="20"/>
                <w:szCs w:val="20"/>
                <w:color w:val="auto"/>
              </w:rPr>
            </w:pPr>
            <w:r>
              <w:rPr>
                <w:rFonts w:ascii="Arial" w:cs="Arial" w:eastAsia="Arial" w:hAnsi="Arial"/>
                <w:sz w:val="32"/>
                <w:szCs w:val="32"/>
                <w:b w:val="1"/>
                <w:bCs w:val="1"/>
                <w:color w:val="auto"/>
              </w:rPr>
              <w:t>3</w:t>
            </w:r>
          </w:p>
        </w:tc>
        <w:tc>
          <w:tcPr>
            <w:tcW w:w="680" w:type="dxa"/>
            <w:vAlign w:val="bottom"/>
          </w:tcPr>
          <w:p>
            <w:pPr>
              <w:spacing w:after="0"/>
              <w:rPr>
                <w:sz w:val="5"/>
                <w:szCs w:val="5"/>
                <w:color w:val="auto"/>
              </w:rPr>
            </w:pPr>
          </w:p>
        </w:tc>
        <w:tc>
          <w:tcPr>
            <w:tcW w:w="8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6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420" w:type="dxa"/>
            <w:vAlign w:val="bottom"/>
            <w:gridSpan w:val="6"/>
          </w:tcPr>
          <w:p>
            <w:pPr>
              <w:ind w:left="1420"/>
              <w:spacing w:after="0" w:line="182" w:lineRule="exact"/>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7"/>
        </w:trPr>
        <w:tc>
          <w:tcPr>
            <w:tcW w:w="2060" w:type="dxa"/>
            <w:vAlign w:val="bottom"/>
          </w:tcPr>
          <w:p>
            <w:pPr>
              <w:jc w:val="right"/>
              <w:ind w:right="1174"/>
              <w:spacing w:after="0" w:line="336" w:lineRule="exact"/>
              <w:rPr>
                <w:sz w:val="20"/>
                <w:szCs w:val="20"/>
                <w:color w:val="auto"/>
              </w:rPr>
            </w:pPr>
            <w:r>
              <w:rPr>
                <w:rFonts w:ascii="Arial" w:cs="Arial" w:eastAsia="Arial" w:hAnsi="Arial"/>
                <w:sz w:val="32"/>
                <w:szCs w:val="32"/>
                <w:b w:val="1"/>
                <w:bCs w:val="1"/>
                <w:color w:val="auto"/>
              </w:rPr>
              <w:t>4</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Pr>
          <w:p>
            <w:pPr>
              <w:jc w:val="right"/>
              <w:ind w:right="114"/>
              <w:spacing w:after="0"/>
              <w:rPr>
                <w:sz w:val="20"/>
                <w:szCs w:val="20"/>
                <w:color w:val="auto"/>
              </w:rPr>
            </w:pPr>
            <w:r>
              <w:rPr>
                <w:rFonts w:ascii="Arial" w:cs="Arial" w:eastAsia="Arial" w:hAnsi="Arial"/>
                <w:sz w:val="18"/>
                <w:szCs w:val="18"/>
                <w:color w:val="auto"/>
              </w:rPr>
              <w:t>Israel</w:t>
            </w:r>
          </w:p>
        </w:tc>
        <w:tc>
          <w:tcPr>
            <w:tcW w:w="68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21"/>
                <w:szCs w:val="21"/>
                <w:color w:val="auto"/>
              </w:rPr>
            </w:pPr>
          </w:p>
        </w:tc>
        <w:tc>
          <w:tcPr>
            <w:tcW w:w="8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24,225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6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gridSpan w:val="4"/>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53"/>
        </w:trPr>
        <w:tc>
          <w:tcPr>
            <w:tcW w:w="20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24,225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620"/>
        <w:spacing w:after="0" w:line="215" w:lineRule="auto"/>
        <w:rPr>
          <w:sz w:val="20"/>
          <w:szCs w:val="20"/>
          <w:color w:val="auto"/>
        </w:rPr>
      </w:pPr>
      <w:r>
        <w:rPr>
          <w:rFonts w:ascii="Arial" w:cs="Arial" w:eastAsia="Arial" w:hAnsi="Arial"/>
          <w:sz w:val="32"/>
          <w:szCs w:val="32"/>
          <w:b w:val="1"/>
          <w:bCs w:val="1"/>
          <w:color w:val="auto"/>
        </w:rPr>
        <w:t>9</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24,225 *</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211" w:lineRule="auto"/>
        <w:rPr>
          <w:sz w:val="20"/>
          <w:szCs w:val="20"/>
          <w:color w:val="auto"/>
        </w:rPr>
      </w:pPr>
      <w:r>
        <w:rPr>
          <w:rFonts w:ascii="Arial" w:cs="Arial" w:eastAsia="Arial" w:hAnsi="Arial"/>
          <w:sz w:val="32"/>
          <w:szCs w:val="32"/>
          <w:b w:val="1"/>
          <w:bCs w:val="1"/>
          <w:color w:val="auto"/>
        </w:rPr>
        <w:t>10</w:t>
      </w:r>
    </w:p>
    <w:p>
      <w:pPr>
        <w:spacing w:after="0" w:line="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1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215"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0.06% **</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215"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w:t>
      </w:r>
    </w:p>
    <w:p>
      <w:pPr>
        <w:spacing w:after="0" w:line="331" w:lineRule="exact"/>
        <w:rPr>
          <w:sz w:val="20"/>
          <w:szCs w:val="20"/>
          <w:color w:val="auto"/>
        </w:rPr>
      </w:pPr>
    </w:p>
    <w:p>
      <w:pPr>
        <w:jc w:val="both"/>
        <w:ind w:right="20"/>
        <w:spacing w:after="0" w:line="307" w:lineRule="auto"/>
        <w:rPr>
          <w:sz w:val="20"/>
          <w:szCs w:val="20"/>
          <w:color w:val="auto"/>
        </w:rPr>
      </w:pPr>
      <w:r>
        <w:rPr>
          <w:rFonts w:ascii="Arial" w:cs="Arial" w:eastAsia="Arial" w:hAnsi="Arial"/>
          <w:sz w:val="21"/>
          <w:szCs w:val="21"/>
          <w:color w:val="auto"/>
        </w:rPr>
        <w:t>*See Item 4. The 24,225 Ordinary Shares are held directly by Epsilon Investment House Ltd. ("</w:t>
      </w:r>
      <w:r>
        <w:rPr>
          <w:rFonts w:ascii="Arial" w:cs="Arial" w:eastAsia="Arial" w:hAnsi="Arial"/>
          <w:sz w:val="21"/>
          <w:szCs w:val="21"/>
          <w:b w:val="1"/>
          <w:bCs w:val="1"/>
          <w:color w:val="auto"/>
        </w:rPr>
        <w:t>Epsilon</w:t>
      </w:r>
      <w:r>
        <w:rPr>
          <w:rFonts w:ascii="Arial" w:cs="Arial" w:eastAsia="Arial" w:hAnsi="Arial"/>
          <w:sz w:val="21"/>
          <w:szCs w:val="21"/>
          <w:color w:val="auto"/>
        </w:rPr>
        <w:t>" and the “</w:t>
      </w:r>
      <w:r>
        <w:rPr>
          <w:rFonts w:ascii="Arial" w:cs="Arial" w:eastAsia="Arial" w:hAnsi="Arial"/>
          <w:sz w:val="21"/>
          <w:szCs w:val="21"/>
          <w:b w:val="1"/>
          <w:bCs w:val="1"/>
          <w:color w:val="auto"/>
        </w:rPr>
        <w:t>Epsilon</w:t>
      </w:r>
      <w:r>
        <w:rPr>
          <w:rFonts w:ascii="Arial" w:cs="Arial" w:eastAsia="Arial" w:hAnsi="Arial"/>
          <w:sz w:val="21"/>
          <w:szCs w:val="21"/>
          <w:color w:val="auto"/>
        </w:rPr>
        <w:t xml:space="preserve"> </w:t>
      </w:r>
      <w:r>
        <w:rPr>
          <w:rFonts w:ascii="Arial" w:cs="Arial" w:eastAsia="Arial" w:hAnsi="Arial"/>
          <w:sz w:val="21"/>
          <w:szCs w:val="21"/>
          <w:b w:val="1"/>
          <w:bCs w:val="1"/>
          <w:color w:val="auto"/>
        </w:rPr>
        <w:t>Shares</w:t>
      </w:r>
      <w:r>
        <w:rPr>
          <w:rFonts w:ascii="Arial" w:cs="Arial" w:eastAsia="Arial" w:hAnsi="Arial"/>
          <w:sz w:val="21"/>
          <w:szCs w:val="21"/>
          <w:color w:val="auto"/>
        </w:rPr>
        <w:t>”), a subsidiary of Discount Investment Corporation Ltd., an Israeli public corporation (“</w:t>
      </w:r>
      <w:r>
        <w:rPr>
          <w:rFonts w:ascii="Arial" w:cs="Arial" w:eastAsia="Arial" w:hAnsi="Arial"/>
          <w:sz w:val="21"/>
          <w:szCs w:val="21"/>
          <w:b w:val="1"/>
          <w:bCs w:val="1"/>
          <w:color w:val="auto"/>
        </w:rPr>
        <w:t>Discount Investment</w:t>
      </w:r>
      <w:r>
        <w:rPr>
          <w:rFonts w:ascii="Arial" w:cs="Arial" w:eastAsia="Arial" w:hAnsi="Arial"/>
          <w:sz w:val="21"/>
          <w:szCs w:val="21"/>
          <w:color w:val="auto"/>
        </w:rPr>
        <w:t>”).</w:t>
      </w:r>
    </w:p>
    <w:p>
      <w:pPr>
        <w:spacing w:after="0" w:line="199" w:lineRule="exact"/>
        <w:rPr>
          <w:sz w:val="20"/>
          <w:szCs w:val="20"/>
          <w:color w:val="auto"/>
        </w:rPr>
      </w:pPr>
    </w:p>
    <w:p>
      <w:pPr>
        <w:ind w:left="4960" w:right="2280" w:hanging="4952"/>
        <w:spacing w:after="0" w:line="686" w:lineRule="auto"/>
        <w:tabs>
          <w:tab w:leader="none" w:pos="286"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40,722,459 Ordinary Shares outstanding as of December 31, 2019, as provided by the issuer. 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1.</w:t>
      </w:r>
    </w:p>
    <w:p>
      <w:pPr>
        <w:spacing w:after="0" w:line="28"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 Kornit Digital Ltd. (the "Issuer").</w:t>
      </w:r>
    </w:p>
    <w:p>
      <w:pPr>
        <w:spacing w:after="0" w:line="268"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8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12 Ha’Amal Street, Park Afek, Rosh Ha’Ayin 4824096, Israel</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80" w:lineRule="exact"/>
        <w:rPr>
          <w:sz w:val="20"/>
          <w:szCs w:val="20"/>
          <w:color w:val="auto"/>
        </w:rPr>
      </w:pPr>
    </w:p>
    <w:p>
      <w:pPr>
        <w:ind w:left="780" w:hanging="772"/>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Name of Person Filings</w:t>
      </w:r>
      <w:r>
        <w:rPr>
          <w:rFonts w:ascii="Arial" w:cs="Arial" w:eastAsia="Arial" w:hAnsi="Arial"/>
          <w:sz w:val="22"/>
          <w:szCs w:val="22"/>
          <w:color w:val="auto"/>
        </w:rPr>
        <w: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Eduardo Sergio Elsztain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IDB Development Corporation Ltd.</w:t>
      </w:r>
    </w:p>
    <w:p>
      <w:pPr>
        <w:spacing w:after="0" w:line="276"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Offices or, if none, Residence</w:t>
      </w:r>
      <w:r>
        <w:rPr>
          <w:rFonts w:ascii="Arial" w:cs="Arial" w:eastAsia="Arial" w:hAnsi="Arial"/>
          <w:sz w:val="18"/>
          <w:szCs w:val="18"/>
          <w:color w:val="auto"/>
        </w:rPr>
        <w:t>:</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Eduardo Sergio Elsztain - 108 Bolivar St. (C1006AAD) Ciudad Autónoma de Buenos Aires, Argentina.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IDB Development Corporation Ltd. – ToHa Building, 114 Igal Alon St., Tel Aviv 6744320, Israel</w:t>
      </w:r>
    </w:p>
    <w:p>
      <w:pPr>
        <w:spacing w:after="0" w:line="281"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Citizenship or Place of Incorporation:</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Elsztain - Argentina</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IDB Development Corporation Ltd. – Israel</w:t>
      </w:r>
    </w:p>
    <w:p>
      <w:pPr>
        <w:spacing w:after="0" w:line="281"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Ordinary Shares, NIS 0.01 par value per share (the “Ordinary Shares”).</w:t>
      </w:r>
    </w:p>
    <w:p>
      <w:pPr>
        <w:spacing w:after="0" w:line="281"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M6372Q113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Rules 13d-1(b), or 13d-2(b) or (c), check whether the person filing is a:</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9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Mr. Elsztain holds indirectly, through companies in his control (i) 100% of the shares of IDB Development, and (ii) 83.77% of the shares of Discount Investment. Discount Investment holds 68.75% of the shares of Epsilon.</w:t>
      </w:r>
    </w:p>
    <w:p>
      <w:pPr>
        <w:spacing w:after="0" w:line="22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1"/>
          <w:szCs w:val="21"/>
          <w:color w:val="auto"/>
        </w:rPr>
        <w:t>All of the Epsilon Shares are held by portfolio management and/or mutual funds, which are managed by Epsilon Investment House Ltd. and/or Epsilon Mutual Funds Management (1991) Ltd. for the accounts of third-party clients. Epsilon Investment House Ltd. and Epsilon Mutual Funds Management (1991) Ltd. each operates under independent management and makes independent investment decisions and has no voting power in the securities held in such client accounts. Consequently, this Statement shall not be construed as an admission by Mr. Elsztain that he is the beneficial owner of Ordinary Shares held by Epsilon covered by this Statement and disclaims beneficial ownership of such shares.</w:t>
      </w:r>
    </w:p>
    <w:p>
      <w:pPr>
        <w:spacing w:after="0" w:line="225" w:lineRule="exact"/>
        <w:rPr>
          <w:sz w:val="20"/>
          <w:szCs w:val="20"/>
          <w:color w:val="auto"/>
        </w:rPr>
      </w:pPr>
    </w:p>
    <w:p>
      <w:pPr>
        <w:ind w:left="1660" w:hanging="788"/>
        <w:spacing w:after="0"/>
        <w:tabs>
          <w:tab w:leader="none" w:pos="1660" w:val="left"/>
        </w:tabs>
        <w:numPr>
          <w:ilvl w:val="1"/>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Amount beneficially owned: see row 9 of cover page of the reporting persons.</w:t>
      </w:r>
    </w:p>
    <w:p>
      <w:pPr>
        <w:spacing w:after="0" w:line="286" w:lineRule="exact"/>
        <w:rPr>
          <w:rFonts w:ascii="Arial" w:cs="Arial" w:eastAsia="Arial" w:hAnsi="Arial"/>
          <w:sz w:val="22"/>
          <w:szCs w:val="22"/>
          <w:b w:val="1"/>
          <w:bCs w:val="1"/>
          <w:color w:val="auto"/>
        </w:rPr>
      </w:pPr>
    </w:p>
    <w:p>
      <w:pPr>
        <w:ind w:left="1400" w:hanging="636"/>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see row 11 of cover page of the reporting persons</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4" w:name="page5"/>
    <w:bookmarkEnd w:id="4"/>
    <w:p>
      <w:pPr>
        <w:ind w:left="1400" w:hanging="636"/>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20" w:hanging="521"/>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see row 5 of cover page of the reporting persons</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see row 6 of cover page of the reporting persons and note in Item 4 above.</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7 of cover page of the reporting persons</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cover page of the reporting persons and note in Item 4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right="2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Eduardo Elsztain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IDB Development Corporation Ltd.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660" w:right="40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 Discount Investment Corporation Ltd.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 Epsilon Investment House Ltd.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Certifications</w:t>
      </w:r>
    </w:p>
    <w:p>
      <w:pPr>
        <w:spacing w:after="0" w:line="293" w:lineRule="exact"/>
        <w:rPr>
          <w:sz w:val="20"/>
          <w:szCs w:val="20"/>
          <w:color w:val="auto"/>
        </w:rPr>
      </w:pPr>
    </w:p>
    <w:p>
      <w:pPr>
        <w:ind w:left="660"/>
        <w:spacing w:after="0" w:line="32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324"/>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2020</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IDB DEVELOPMENT CORPORATION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 itself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on behalf of EDUARDO SERGIO ELSZTAIN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Eran Saar /s/ Aaron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1697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Eran Saar and Aaron Kaufman, authorized</w:t>
      </w:r>
    </w:p>
    <w:p>
      <w:pPr>
        <w:spacing w:after="0" w:line="23" w:lineRule="exact"/>
        <w:rPr>
          <w:sz w:val="20"/>
          <w:szCs w:val="20"/>
          <w:color w:val="auto"/>
        </w:rPr>
      </w:pPr>
    </w:p>
    <w:p>
      <w:pPr>
        <w:ind w:left="6080"/>
        <w:spacing w:after="0"/>
        <w:tabs>
          <w:tab w:leader="none" w:pos="7040" w:val="left"/>
          <w:tab w:leader="none" w:pos="7620" w:val="left"/>
          <w:tab w:leader="none" w:pos="8140" w:val="left"/>
        </w:tabs>
        <w:rPr>
          <w:sz w:val="20"/>
          <w:szCs w:val="20"/>
          <w:color w:val="auto"/>
        </w:rPr>
      </w:pPr>
      <w:r>
        <w:rPr>
          <w:rFonts w:ascii="Arial" w:cs="Arial" w:eastAsia="Arial" w:hAnsi="Arial"/>
          <w:sz w:val="18"/>
          <w:szCs w:val="18"/>
          <w:color w:val="auto"/>
        </w:rPr>
        <w:t>signatories</w:t>
        <w:tab/>
        <w:t>of</w:t>
      </w:r>
      <w:r>
        <w:rPr>
          <w:sz w:val="20"/>
          <w:szCs w:val="20"/>
          <w:color w:val="auto"/>
        </w:rPr>
        <w:tab/>
      </w:r>
      <w:r>
        <w:rPr>
          <w:rFonts w:ascii="Arial" w:cs="Arial" w:eastAsia="Arial" w:hAnsi="Arial"/>
          <w:sz w:val="18"/>
          <w:szCs w:val="18"/>
          <w:color w:val="auto"/>
        </w:rPr>
        <w:t>IDB</w:t>
      </w:r>
      <w:r>
        <w:rPr>
          <w:sz w:val="20"/>
          <w:szCs w:val="20"/>
          <w:color w:val="auto"/>
        </w:rPr>
        <w:tab/>
      </w:r>
      <w:r>
        <w:rPr>
          <w:rFonts w:ascii="Arial" w:cs="Arial" w:eastAsia="Arial" w:hAnsi="Arial"/>
          <w:sz w:val="17"/>
          <w:szCs w:val="17"/>
          <w:color w:val="auto"/>
        </w:rPr>
        <w:t>DEVELOPMENT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CORPORATION LTD., on behalf of Eduardo</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Sergio  Elsztain,  pursuant  to  an  agreement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annexed to the schedule 13G filed on February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14, 2019.</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6" w:name="page7"/>
    <w:bookmarkEnd w:id="6"/>
    <w:p>
      <w:pPr>
        <w:spacing w:after="0"/>
        <w:tabs>
          <w:tab w:leader="none" w:pos="1560" w:val="left"/>
        </w:tabs>
        <w:rPr>
          <w:sz w:val="20"/>
          <w:szCs w:val="20"/>
          <w:color w:val="auto"/>
        </w:rPr>
      </w:pPr>
      <w:r>
        <w:rPr>
          <w:rFonts w:ascii="Arial" w:cs="Arial" w:eastAsia="Arial" w:hAnsi="Arial"/>
          <w:sz w:val="22"/>
          <w:szCs w:val="22"/>
          <w:b w:val="1"/>
          <w:bCs w:val="1"/>
          <w:color w:val="auto"/>
        </w:rPr>
        <w:t>EXHIBIT NO.</w:t>
      </w:r>
      <w:r>
        <w:rPr>
          <w:sz w:val="20"/>
          <w:szCs w:val="20"/>
          <w:color w:val="auto"/>
        </w:rPr>
        <w:tab/>
      </w:r>
      <w:r>
        <w:rPr>
          <w:rFonts w:ascii="Arial" w:cs="Arial" w:eastAsia="Arial" w:hAnsi="Arial"/>
          <w:sz w:val="21"/>
          <w:szCs w:val="21"/>
          <w:b w:val="1"/>
          <w:bCs w:val="1"/>
          <w:color w:val="auto"/>
        </w:rPr>
        <w:t>DESCRIPTION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Exhibit 1</w:t>
              </w:r>
            </w:hyperlink>
          </w:p>
        </w:tc>
        <w:tc>
          <w:tcPr>
            <w:tcW w:w="620" w:type="dxa"/>
            <w:vAlign w:val="bottom"/>
          </w:tcPr>
          <w:p>
            <w:pPr>
              <w:spacing w:after="0"/>
              <w:rPr>
                <w:sz w:val="17"/>
                <w:szCs w:val="17"/>
                <w:color w:val="auto"/>
              </w:rPr>
            </w:pPr>
          </w:p>
        </w:tc>
        <w:tc>
          <w:tcPr>
            <w:tcW w:w="10120" w:type="dxa"/>
            <w:vAlign w:val="bottom"/>
            <w:gridSpan w:val="4"/>
          </w:tcPr>
          <w:p>
            <w:pP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Authorization letter dated February 14, 2019 authorizing IDB Development Corporation Ltd. to file this Statement on Schedule 13G on</w:t>
              </w:r>
            </w:hyperlink>
          </w:p>
        </w:tc>
      </w:tr>
      <w:tr>
        <w:trPr>
          <w:trHeight w:val="196"/>
        </w:trPr>
        <w:tc>
          <w:tcPr>
            <w:tcW w:w="68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976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behalf of the Reporting Person (incorporated by reference to Exhibit 1 of schedule 13G filed by the reporting persons on February 14,</w:t>
              </w:r>
            </w:hyperlink>
          </w:p>
        </w:tc>
        <w:tc>
          <w:tcPr>
            <w:tcW w:w="36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3">
              <w:r>
                <w:rPr>
                  <w:rFonts w:ascii="Arial" w:cs="Arial" w:eastAsia="Arial" w:hAnsi="Arial"/>
                  <w:sz w:val="18"/>
                  <w:szCs w:val="18"/>
                  <w:color w:val="0000EE"/>
                  <w:w w:val="86"/>
                </w:rPr>
                <w:t>2019.</w:t>
              </w:r>
              <w:r>
                <w:rPr>
                  <w:rFonts w:ascii="Arial" w:cs="Arial" w:eastAsia="Arial" w:hAnsi="Arial"/>
                  <w:sz w:val="18"/>
                  <w:szCs w:val="18"/>
                  <w:u w:val="single" w:color="auto"/>
                  <w:color w:val="0000EE"/>
                  <w:w w:val="86"/>
                </w:rPr>
                <w:t>)</w:t>
              </w:r>
            </w:hyperlink>
          </w:p>
        </w:tc>
        <w:tc>
          <w:tcPr>
            <w:tcW w:w="9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557"/>
        </w:trPr>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60" w:type="dxa"/>
            <w:vAlign w:val="bottom"/>
            <w:gridSpan w:val="3"/>
          </w:tcPr>
          <w:p>
            <w:pPr>
              <w:ind w:left="3200"/>
              <w:spacing w:after="0"/>
              <w:rPr>
                <w:sz w:val="20"/>
                <w:szCs w:val="20"/>
                <w:color w:val="auto"/>
              </w:rPr>
            </w:pPr>
            <w:r>
              <w:rPr>
                <w:rFonts w:ascii="Arial" w:cs="Arial" w:eastAsia="Arial" w:hAnsi="Arial"/>
                <w:sz w:val="22"/>
                <w:szCs w:val="22"/>
                <w:color w:val="auto"/>
              </w:rPr>
              <w:t>Page 7 of 7 pages</w:t>
            </w:r>
          </w:p>
        </w:tc>
      </w:tr>
      <w:tr>
        <w:trPr>
          <w:trHeight w:val="112"/>
        </w:trPr>
        <w:tc>
          <w:tcPr>
            <w:tcW w:w="6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163"/>
        </w:trPr>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3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lowerLetter"/>
      <w:start w:val="4"/>
    </w:lvl>
  </w:abstractNum>
  <w:abstractNum w:abstractNumId="12">
    <w:nsid w:val="7FDCC233"/>
    <w:multiLevelType w:val="hybridMultilevel"/>
    <w:lvl w:ilvl="0">
      <w:lvlJc w:val="left"/>
      <w:lvlText w:val="(%1)"/>
      <w:numFmt w:val="lowerLetter"/>
      <w:start w:val="5"/>
    </w:lvl>
  </w:abstractNum>
  <w:abstractNum w:abstractNumId="13">
    <w:nsid w:val="1BEFD79F"/>
    <w:multiLevelType w:val="hybridMultilevel"/>
    <w:lvl w:ilvl="0">
      <w:lvlJc w:val="left"/>
      <w:lvlText w:val="%1"/>
      <w:numFmt w:val="lowerLetter"/>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2"/>
    </w:lvl>
    <w:lvl w:ilvl="1">
      <w:lvlJc w:val="left"/>
      <w:lvlText w:val="%2"/>
      <w:numFmt w:val="lowerLetter"/>
      <w:start w:val="1"/>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hyperlink" Target="http://www.sec.gov/Archives/edgar/data/885740/000117891319000593/exhibit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2020-02-18T05:26:40Z</dcterms:created>
  <dcterms:modified xsi:type="dcterms:W3CDTF">2020-02-18T05:26:40Z</dcterms:modified>
</cp:coreProperties>
</file>