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For the month of January 2017</w:t>
      </w:r>
    </w:p>
    <w:p>
      <w:pPr>
        <w:spacing w:after="0" w:line="225"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3900"/>
        <w:spacing w:after="0" w:line="207" w:lineRule="exact"/>
        <w:tabs>
          <w:tab w:leader="none" w:pos="52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641985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On January 25, 2017, Kornit Digital Ltd. (the “Company”) entered into an underwriting agreement (the “Underwriting Agreement”), with Barclays Capital Inc. and Citigroup Global Markets Inc., as representatives of the several underwriters named therein (the “Underwriters”), and Fortissimo Capital Fund II (Israel), L.P. and Gabi Seligsohn (together, the “Selling Shareholders”), relating to an underwritten public offering (the “Offering”), of 7,500,000 shares of the Company. Of the 7,500,000 offered shares, 2,000,000 are being sold by the Company and 5,500,000 are being sold by the Selling Shareholders, consisting of 5,410,000 by Fortissimo Capital Fund II (Israel), L.P. and 90,000 by Gabi Seligsohn, the Company’s Chief Executive Officer. The offering price to the public is $16.50 per share. The Company and one of the Selling Shareholders have granted the Underwriters a 30-day option to purchase up to an aggregate of 1,125,000 shares at the public offering price. The Offering is expected to close on or about January 31, 2017.</w:t>
      </w:r>
    </w:p>
    <w:p>
      <w:pPr>
        <w:spacing w:after="0" w:line="167"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The foregoing description of the Underwriting Agreement is only a summary and is qualified in its entirety by reference to the Underwriting Agreement, a copy of which is attached as Exhibit 1.1 to this Form 6-K.</w:t>
      </w:r>
    </w:p>
    <w:p>
      <w:pPr>
        <w:spacing w:after="0" w:line="170" w:lineRule="exact"/>
        <w:rPr>
          <w:sz w:val="20"/>
          <w:szCs w:val="20"/>
          <w:color w:val="auto"/>
        </w:rPr>
      </w:pPr>
    </w:p>
    <w:p>
      <w:pPr>
        <w:ind w:right="80" w:firstLine="510"/>
        <w:spacing w:after="0" w:line="264" w:lineRule="auto"/>
        <w:rPr>
          <w:sz w:val="20"/>
          <w:szCs w:val="20"/>
          <w:color w:val="auto"/>
        </w:rPr>
      </w:pPr>
      <w:r>
        <w:rPr>
          <w:rFonts w:ascii="Arial" w:cs="Arial" w:eastAsia="Arial" w:hAnsi="Arial"/>
          <w:sz w:val="18"/>
          <w:szCs w:val="18"/>
          <w:color w:val="auto"/>
        </w:rPr>
        <w:t>The Offering is being made pursuant to the Company’s effective registration statement on Form F-3 (File No. 333- 215404), previously filed with the Securities and Exchange Commission (the “SEC”). The Company has filed a final prospectus supplement dated January 25, 2017, relating to the Offering, with the SEC.</w:t>
      </w:r>
    </w:p>
    <w:p>
      <w:pPr>
        <w:spacing w:after="0" w:line="18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On January 23, 2017, the Company issued a press release titled, “Kornit Announces Launch of Public Offering of Ordinary Shares.” A copy of this press release is attached as Exhibit 99.1 to this Form 6-K.</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On January 25, 2017, the Company issued a press release titled, “Kornit Announces Pricing of Upsized Public Offering of Ordinary Shares.” A copy of this press release is attached as Exhibit 99.2 to this Form 6-K.</w:t>
      </w:r>
    </w:p>
    <w:p>
      <w:pPr>
        <w:spacing w:after="0" w:line="170"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This Report of Foreign Private Issuer is incorporated by reference in the Company’s registration statements on Form F-3, SEC file number 333-215404, filed with the SEC on January 3, 2017, and on Form S-8, SEC file numbers 333-214015 and 333-203970, filed with the SEC on October 6, 2016 and May 7, 2015, respectively.</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January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904" w:right="7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1.1</w:t>
            </w:r>
          </w:p>
        </w:tc>
        <w:tc>
          <w:tcPr>
            <w:tcW w:w="102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Underwriting Agreement, dated as of January 25, 2017, by and among the Company, Barclays Capital Inc. and Citigroup Global Markets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Inc., as representatives of the several underwriters named therein, and Fortissimo Capital Fund II (Israel), L.P. and Gabi Seligsohn.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Opinion of Meitar Liquornik Geva Leshem Tal, Israeli counsel to the Company, as to the validity of the ordinary shares (including consent).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Consent of Meitar Liquornik Geva Leshem Tal (included in Exhibit 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Press release dated January 23, 2017 and titled, “Kornit Announces Launch of Public Offering of Ordinary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99.2</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Press release dated January 25, 2017 and titled, “Kornit Announces Pricing of Upsized Public Offering of Ordinary Shares.”</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January 25,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Kornit Digital Ltd., a company incorporated under the laws of the State of Israel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certain shareholders of the Company named in Schedule II attached hereto (the “</w:t>
      </w:r>
      <w:r>
        <w:rPr>
          <w:rFonts w:ascii="Arial" w:cs="Arial" w:eastAsia="Arial" w:hAnsi="Arial"/>
          <w:sz w:val="16"/>
          <w:szCs w:val="16"/>
          <w:b w:val="1"/>
          <w:bCs w:val="1"/>
          <w:i w:val="1"/>
          <w:iCs w:val="1"/>
          <w:color w:val="auto"/>
        </w:rPr>
        <w:t>Selling Shareholders</w:t>
      </w:r>
      <w:r>
        <w:rPr>
          <w:rFonts w:ascii="Arial" w:cs="Arial" w:eastAsia="Arial" w:hAnsi="Arial"/>
          <w:sz w:val="16"/>
          <w:szCs w:val="16"/>
          <w:color w:val="auto"/>
        </w:rPr>
        <w:t>”), acting severally and not jointly, propose to sell an aggregate of 7,500,000 of the Company’s ordinary shares (the “</w:t>
      </w:r>
      <w:r>
        <w:rPr>
          <w:rFonts w:ascii="Arial" w:cs="Arial" w:eastAsia="Arial" w:hAnsi="Arial"/>
          <w:sz w:val="16"/>
          <w:szCs w:val="16"/>
          <w:b w:val="1"/>
          <w:bCs w:val="1"/>
          <w:i w:val="1"/>
          <w:iCs w:val="1"/>
          <w:color w:val="auto"/>
        </w:rPr>
        <w:t>Firm Shares</w:t>
      </w:r>
      <w:r>
        <w:rPr>
          <w:rFonts w:ascii="Arial" w:cs="Arial" w:eastAsia="Arial" w:hAnsi="Arial"/>
          <w:sz w:val="16"/>
          <w:szCs w:val="16"/>
          <w:color w:val="auto"/>
        </w:rPr>
        <w:t>”), par value NIS 0.01 per share (the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Of the 7,500,000 Firm Shares, 2,000,000 are being sold by the Company and 5,500,000 are being sold by the Selling Shareholders, acting severally and not jointly. In addition, each of the Company and the Selling Shareholders, acting severally and not jointly, propose to grant to the underwriters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named in Schedule I attached to this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 option to purchase up to an aggregate of 1,125,000 additional Ordinary Shares on the terms set forth in Section 3 (the “</w:t>
      </w:r>
      <w:r>
        <w:rPr>
          <w:rFonts w:ascii="Arial" w:cs="Arial" w:eastAsia="Arial" w:hAnsi="Arial"/>
          <w:sz w:val="16"/>
          <w:szCs w:val="16"/>
          <w:b w:val="1"/>
          <w:bCs w:val="1"/>
          <w:i w:val="1"/>
          <w:iCs w:val="1"/>
          <w:color w:val="auto"/>
        </w:rPr>
        <w:t>Option Shares</w:t>
      </w:r>
      <w:r>
        <w:rPr>
          <w:rFonts w:ascii="Arial" w:cs="Arial" w:eastAsia="Arial" w:hAnsi="Arial"/>
          <w:sz w:val="16"/>
          <w:szCs w:val="16"/>
          <w:color w:val="auto"/>
        </w:rPr>
        <w:t>”). The Firm Shares and the Option Shares, if purchased, are hereinafter collectively called the “Shares.” This Agreement is to confirm the agreement concerning the purchase of the Shares from the Company and the Selling Shareholders by the Underwriters.</w:t>
      </w:r>
    </w:p>
    <w:p>
      <w:pPr>
        <w:spacing w:after="0" w:line="166" w:lineRule="exact"/>
        <w:rPr>
          <w:sz w:val="20"/>
          <w:szCs w:val="20"/>
          <w:color w:val="auto"/>
        </w:rPr>
      </w:pPr>
    </w:p>
    <w:p>
      <w:pPr>
        <w:ind w:left="1100" w:hanging="4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Agreements of the Company</w:t>
      </w:r>
      <w:r>
        <w:rPr>
          <w:rFonts w:ascii="Arial" w:cs="Arial" w:eastAsia="Arial" w:hAnsi="Arial"/>
          <w:sz w:val="18"/>
          <w:szCs w:val="18"/>
          <w:color w:val="auto"/>
        </w:rPr>
        <w:t>. The Company represents, warrants and agrees that:</w:t>
      </w:r>
    </w:p>
    <w:p>
      <w:pPr>
        <w:spacing w:after="0" w:line="225" w:lineRule="exact"/>
        <w:rPr>
          <w:rFonts w:ascii="Arial" w:cs="Arial" w:eastAsia="Arial" w:hAnsi="Arial"/>
          <w:sz w:val="18"/>
          <w:szCs w:val="18"/>
          <w:color w:val="auto"/>
        </w:rPr>
      </w:pPr>
    </w:p>
    <w:p>
      <w:pPr>
        <w:jc w:val="both"/>
        <w:ind w:left="660" w:firstLine="489"/>
        <w:spacing w:after="0" w:line="257" w:lineRule="auto"/>
        <w:tabs>
          <w:tab w:leader="none" w:pos="1664" w:val="left"/>
        </w:tabs>
        <w:numPr>
          <w:ilvl w:val="1"/>
          <w:numId w:val="1"/>
        </w:numPr>
        <w:rPr>
          <w:rFonts w:ascii="Arial" w:cs="Arial" w:eastAsia="Arial" w:hAnsi="Arial"/>
          <w:sz w:val="18"/>
          <w:szCs w:val="18"/>
          <w:color w:val="auto"/>
        </w:rPr>
      </w:pPr>
      <w:r>
        <w:rPr>
          <w:rFonts w:ascii="Arial" w:cs="Arial" w:eastAsia="Arial" w:hAnsi="Arial"/>
          <w:sz w:val="18"/>
          <w:szCs w:val="18"/>
          <w:color w:val="auto"/>
        </w:rPr>
        <w:t>A registration statement on Form F-3 (File No. 333-215404) relating to the Shares has (i) been prepared by the Company in conformity with the requirements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the rules and regulations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thereunder; (ii) been filed with the Commission under the Securities Act; and (iii) become effective under the Securities Act. Copies of such registration statement and any amendment thereto have been delivered by the Company to you as the representatives (the “</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of the Underwriters. As used in this Agreement:</w:t>
      </w:r>
    </w:p>
    <w:p>
      <w:pPr>
        <w:spacing w:after="0" w:line="188" w:lineRule="exact"/>
        <w:rPr>
          <w:rFonts w:ascii="Arial" w:cs="Arial" w:eastAsia="Arial" w:hAnsi="Arial"/>
          <w:sz w:val="18"/>
          <w:szCs w:val="18"/>
          <w:color w:val="auto"/>
        </w:rPr>
      </w:pPr>
    </w:p>
    <w:p>
      <w:pPr>
        <w:ind w:left="2120" w:hanging="479"/>
        <w:spacing w:after="0"/>
        <w:tabs>
          <w:tab w:leader="none" w:pos="2120" w:val="left"/>
        </w:tabs>
        <w:numPr>
          <w:ilvl w:val="2"/>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means 5:30 p.m. (New York City time) January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1040" w:hanging="539"/>
        <w:spacing w:after="0"/>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date and time as of which such registration statement was declared effective by the Commission;</w:t>
      </w:r>
    </w:p>
    <w:p>
      <w:pPr>
        <w:spacing w:after="0" w:line="248" w:lineRule="exact"/>
        <w:rPr>
          <w:rFonts w:ascii="Arial" w:cs="Arial" w:eastAsia="Arial" w:hAnsi="Arial"/>
          <w:sz w:val="16"/>
          <w:szCs w:val="16"/>
          <w:color w:val="auto"/>
        </w:rPr>
      </w:pPr>
    </w:p>
    <w:p>
      <w:pPr>
        <w:ind w:left="1120" w:hanging="619"/>
        <w:spacing w:after="0"/>
        <w:tabs>
          <w:tab w:leader="none" w:pos="1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Issuer Free Writing Prospectus</w:t>
      </w:r>
      <w:r>
        <w:rPr>
          <w:rFonts w:ascii="Arial" w:cs="Arial" w:eastAsia="Arial" w:hAnsi="Arial"/>
          <w:sz w:val="16"/>
          <w:szCs w:val="16"/>
          <w:color w:val="auto"/>
        </w:rPr>
        <w:t>” means each “issuer free writing prospectus” (as defined in Rule 433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firstLine="501"/>
        <w:spacing w:after="0" w:line="277" w:lineRule="auto"/>
        <w:tabs>
          <w:tab w:leader="none" w:pos="109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Preliminary Prospectus</w:t>
      </w:r>
      <w:r>
        <w:rPr>
          <w:rFonts w:ascii="Arial" w:cs="Arial" w:eastAsia="Arial" w:hAnsi="Arial"/>
          <w:sz w:val="18"/>
          <w:szCs w:val="18"/>
          <w:color w:val="auto"/>
        </w:rPr>
        <w:t>” means any preliminary prospectus relating to the Shares included in such registration statement or filed with the Commission pursuant to Rule 424(b) under the Securities Act;</w:t>
      </w:r>
    </w:p>
    <w:p>
      <w:pPr>
        <w:spacing w:after="0" w:line="170" w:lineRule="exact"/>
        <w:rPr>
          <w:rFonts w:ascii="Arial" w:cs="Arial" w:eastAsia="Arial" w:hAnsi="Arial"/>
          <w:sz w:val="18"/>
          <w:szCs w:val="18"/>
          <w:color w:val="auto"/>
        </w:rPr>
      </w:pPr>
    </w:p>
    <w:p>
      <w:pPr>
        <w:jc w:val="both"/>
        <w:ind w:firstLine="501"/>
        <w:spacing w:after="0" w:line="312" w:lineRule="auto"/>
        <w:tabs>
          <w:tab w:leader="none" w:pos="1125"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Pricing Disclosure Package</w:t>
      </w:r>
      <w:r>
        <w:rPr>
          <w:rFonts w:ascii="Arial" w:cs="Arial" w:eastAsia="Arial" w:hAnsi="Arial"/>
          <w:sz w:val="16"/>
          <w:szCs w:val="16"/>
          <w:color w:val="auto"/>
        </w:rPr>
        <w:t>” means, as of the Applicable Time, the most recent Preliminary Prospectus, together with the information included in Schedule IV hereto and each Issuer Free Writing Prospectus filed or used by the Company on or before the Applicable Time, other than a road show that is an Issuer Free Writing Prospectus but is not required to be filed under Rule 433 under the Securities Act;</w:t>
      </w:r>
    </w:p>
    <w:p>
      <w:pPr>
        <w:spacing w:after="0" w:line="146" w:lineRule="exact"/>
        <w:rPr>
          <w:rFonts w:ascii="Arial" w:cs="Arial" w:eastAsia="Arial" w:hAnsi="Arial"/>
          <w:sz w:val="16"/>
          <w:szCs w:val="16"/>
          <w:color w:val="auto"/>
        </w:rPr>
      </w:pPr>
    </w:p>
    <w:p>
      <w:pPr>
        <w:ind w:left="1080" w:hanging="579"/>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means the final prospectus relating to the Shares, as filed with the Commission pursuant to Rule 424(b)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6"/>
          <w:szCs w:val="16"/>
          <w:color w:val="auto"/>
        </w:rPr>
      </w:pPr>
    </w:p>
    <w:p>
      <w:pPr>
        <w:jc w:val="both"/>
        <w:ind w:firstLine="501"/>
        <w:spacing w:after="0" w:line="312" w:lineRule="auto"/>
        <w:tabs>
          <w:tab w:leader="none" w:pos="1126"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such registration statement, as amended as of the Effective Date, including any Preliminary Prospectus or the Prospectus, all exhibits to such registration statement, the documents incorporated by reference therein and including the information deemed by virtue of Rule 430A under the Securities Act to be part of such registration statement as of the Effective Date;</w:t>
      </w:r>
    </w:p>
    <w:p>
      <w:pPr>
        <w:spacing w:after="0" w:line="146" w:lineRule="exact"/>
        <w:rPr>
          <w:rFonts w:ascii="Arial" w:cs="Arial" w:eastAsia="Arial" w:hAnsi="Arial"/>
          <w:sz w:val="16"/>
          <w:szCs w:val="16"/>
          <w:color w:val="auto"/>
        </w:rPr>
      </w:pPr>
    </w:p>
    <w:p>
      <w:pPr>
        <w:ind w:firstLine="501"/>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 and</w:t>
      </w:r>
    </w:p>
    <w:p>
      <w:pPr>
        <w:spacing w:after="0" w:line="170" w:lineRule="exact"/>
        <w:rPr>
          <w:rFonts w:ascii="Arial" w:cs="Arial" w:eastAsia="Arial" w:hAnsi="Arial"/>
          <w:sz w:val="18"/>
          <w:szCs w:val="18"/>
          <w:color w:val="auto"/>
        </w:rPr>
      </w:pPr>
    </w:p>
    <w:p>
      <w:pPr>
        <w:ind w:firstLine="501"/>
        <w:spacing w:after="0" w:line="277" w:lineRule="auto"/>
        <w:tabs>
          <w:tab w:leader="none" w:pos="1094"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1380" w:top="908" w:right="239" w:bottom="1440" w:gutter="0" w:footer="0" w:header="0"/>
        </w:sectPr>
      </w:pPr>
    </w:p>
    <w:bookmarkStart w:id="6" w:name="page7"/>
    <w:bookmarkEnd w:id="6"/>
    <w:p>
      <w:pPr>
        <w:jc w:val="both"/>
        <w:spacing w:after="0" w:line="268" w:lineRule="auto"/>
        <w:rPr>
          <w:sz w:val="20"/>
          <w:szCs w:val="20"/>
          <w:color w:val="auto"/>
        </w:rPr>
      </w:pPr>
      <w:r>
        <w:rPr>
          <w:rFonts w:ascii="Arial" w:cs="Arial" w:eastAsia="Arial" w:hAnsi="Arial"/>
          <w:sz w:val="17"/>
          <w:szCs w:val="17"/>
          <w:color w:val="auto"/>
        </w:rPr>
        <w:t>Any reference to any Preliminary Prospectus or the Prospectus shall be deemed to refer to and include any documents incorporated by reference therein pursuant to Form F-3 under the Securities Act as of the date of such Preliminary Prospectus or the Prospectus, as the case may be. Any reference to the “most recent Preliminary Prospectus” shall be deemed to refer to the latest Preliminary Prospectus included in the Registration Statement or filed pursuant to Rule 424(b) under the Securities Act prior to or on the date hereof. Any reference to any amendment or supplement to any Preliminary Prospectus or the Prospectus shall be deemed to refer to and include any document filed under the Securities Exchange Act of 1934, as amended (the “Exchange Act”), after the date of such Preliminary Prospectus or the Prospectus, as the case may be, and before the date of such amendment or supplement and incorporated by reference in such Preliminary Prospectus or the Prospectus, as the case may be; and any reference to any amendment to the Registration Statement shall be deemed to include any document filed with the Commission pursuant to Section 13(a) or 15(d) of the Exchange Act after the Effective Date and before the date of such amendment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has been instituted or threatened by the Commission. The Commission has not notified the Company of any objection to the use of the form of the Registration Statement or any post-effective amendment thereto.</w:t>
      </w:r>
    </w:p>
    <w:p>
      <w:pPr>
        <w:spacing w:after="0" w:line="188" w:lineRule="exact"/>
        <w:rPr>
          <w:sz w:val="20"/>
          <w:szCs w:val="20"/>
          <w:color w:val="auto"/>
        </w:rPr>
      </w:pPr>
    </w:p>
    <w:p>
      <w:pPr>
        <w:jc w:val="both"/>
        <w:ind w:firstLine="489"/>
        <w:spacing w:after="0" w:line="312" w:lineRule="auto"/>
        <w:tabs>
          <w:tab w:leader="none" w:pos="1073" w:val="left"/>
        </w:tabs>
        <w:numPr>
          <w:ilvl w:val="0"/>
          <w:numId w:val="4"/>
        </w:numPr>
        <w:rPr>
          <w:rFonts w:ascii="Arial" w:cs="Arial" w:eastAsia="Arial" w:hAnsi="Arial"/>
          <w:sz w:val="16"/>
          <w:szCs w:val="16"/>
          <w:color w:val="auto"/>
        </w:rPr>
      </w:pPr>
      <w:r>
        <w:rPr>
          <w:rFonts w:ascii="Arial" w:cs="Arial" w:eastAsia="Arial" w:hAnsi="Arial"/>
          <w:sz w:val="16"/>
          <w:szCs w:val="16"/>
          <w:color w:val="auto"/>
        </w:rPr>
        <w:t>From the time of initial filing of the Registration Statement with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6"/>
          <w:szCs w:val="16"/>
          <w:b w:val="1"/>
          <w:bCs w:val="1"/>
          <w:i w:val="1"/>
          <w:iCs w:val="1"/>
          <w:color w:val="auto"/>
        </w:rPr>
        <w:t>Emerging Growth Company</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firstLine="489"/>
        <w:spacing w:after="0" w:line="277" w:lineRule="auto"/>
        <w:tabs>
          <w:tab w:leader="none" w:pos="119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 has not engaged in any Testing-the-Waters Communication and (ii) has not authorized anyone other than the Representatives to engage in Testing-the-Waters Communications.</w:t>
      </w:r>
    </w:p>
    <w:p>
      <w:pPr>
        <w:spacing w:after="0" w:line="170" w:lineRule="exact"/>
        <w:rPr>
          <w:rFonts w:ascii="Arial" w:cs="Arial" w:eastAsia="Arial" w:hAnsi="Arial"/>
          <w:sz w:val="18"/>
          <w:szCs w:val="18"/>
          <w:color w:val="auto"/>
        </w:rPr>
      </w:pPr>
    </w:p>
    <w:p>
      <w:pPr>
        <w:jc w:val="both"/>
        <w:ind w:firstLine="489"/>
        <w:spacing w:after="0" w:line="312" w:lineRule="auto"/>
        <w:tabs>
          <w:tab w:leader="none" w:pos="1046"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Company was not at the time of initial filing of the Registration Statement and at the earliest time thereafter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Shares and is not on the date hereof and will not be on the applicable Delivery Date, an “ineligible issuer” (as defined in Rule 405 under the Securities Act).</w:t>
      </w:r>
    </w:p>
    <w:p>
      <w:pPr>
        <w:spacing w:after="0" w:line="146" w:lineRule="exact"/>
        <w:rPr>
          <w:rFonts w:ascii="Arial" w:cs="Arial" w:eastAsia="Arial" w:hAnsi="Arial"/>
          <w:sz w:val="16"/>
          <w:szCs w:val="16"/>
          <w:color w:val="auto"/>
        </w:rPr>
      </w:pPr>
    </w:p>
    <w:p>
      <w:pPr>
        <w:jc w:val="both"/>
        <w:ind w:firstLine="489"/>
        <w:spacing w:after="0" w:line="254" w:lineRule="auto"/>
        <w:tabs>
          <w:tab w:leader="none" w:pos="105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 The documents incorporated by reference in any Preliminary Prospectus or the Prospectus conformed, and any further documents so incorporated will conform, when filed with the Commission, in all material respects to the requirements of the Exchange Act or the Securities Act, as applicable, and the rules and regulations of the Commission thereunder.</w:t>
      </w:r>
    </w:p>
    <w:p>
      <w:pPr>
        <w:spacing w:after="0" w:line="200" w:lineRule="exact"/>
        <w:rPr>
          <w:sz w:val="20"/>
          <w:szCs w:val="20"/>
          <w:color w:val="auto"/>
        </w:rPr>
      </w:pPr>
    </w:p>
    <w:p>
      <w:pPr>
        <w:spacing w:after="0" w:line="20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7" w:name="page8"/>
    <w:bookmarkEnd w:id="7"/>
    <w:p>
      <w:pPr>
        <w:jc w:val="both"/>
        <w:ind w:left="-489" w:firstLine="489"/>
        <w:spacing w:after="0" w:line="257" w:lineRule="auto"/>
        <w:tabs>
          <w:tab w:leader="none" w:pos="54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10(f).</w:t>
      </w:r>
    </w:p>
    <w:p>
      <w:pPr>
        <w:spacing w:after="0" w:line="188" w:lineRule="exact"/>
        <w:rPr>
          <w:rFonts w:ascii="Arial" w:cs="Arial" w:eastAsia="Arial" w:hAnsi="Arial"/>
          <w:sz w:val="18"/>
          <w:szCs w:val="18"/>
          <w:color w:val="auto"/>
        </w:rPr>
      </w:pPr>
    </w:p>
    <w:p>
      <w:pPr>
        <w:jc w:val="both"/>
        <w:ind w:left="-489" w:firstLine="489"/>
        <w:spacing w:after="0" w:line="257" w:lineRule="auto"/>
        <w:tabs>
          <w:tab w:leader="none" w:pos="58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Prospectus will not, as of its date or as of the applicable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10(f).</w:t>
      </w:r>
    </w:p>
    <w:p>
      <w:pPr>
        <w:spacing w:after="0" w:line="188" w:lineRule="exact"/>
        <w:rPr>
          <w:rFonts w:ascii="Arial" w:cs="Arial" w:eastAsia="Arial" w:hAnsi="Arial"/>
          <w:sz w:val="18"/>
          <w:szCs w:val="18"/>
          <w:color w:val="auto"/>
        </w:rPr>
      </w:pPr>
    </w:p>
    <w:p>
      <w:pPr>
        <w:jc w:val="both"/>
        <w:ind w:left="-489" w:firstLine="489"/>
        <w:spacing w:after="0" w:line="286" w:lineRule="auto"/>
        <w:tabs>
          <w:tab w:leader="none" w:pos="52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documents incorporated by reference in any Preliminary Prospectus or the Prospectus did not, and any further documents filed and incorporated by reference therein will not, when filed with the Commission, contain an untrue statement of a material fact or omit to state a material fact necessary to make the statements therein, in the light of the circumstances under which they were made, not misleading.</w:t>
      </w:r>
    </w:p>
    <w:p>
      <w:pPr>
        <w:spacing w:after="0" w:line="165" w:lineRule="exact"/>
        <w:rPr>
          <w:rFonts w:ascii="Arial" w:cs="Arial" w:eastAsia="Arial" w:hAnsi="Arial"/>
          <w:sz w:val="17"/>
          <w:szCs w:val="17"/>
          <w:color w:val="auto"/>
        </w:rPr>
      </w:pPr>
    </w:p>
    <w:p>
      <w:pPr>
        <w:jc w:val="both"/>
        <w:ind w:left="-489" w:firstLine="489"/>
        <w:spacing w:after="0" w:line="257" w:lineRule="auto"/>
        <w:tabs>
          <w:tab w:leader="none" w:pos="57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in reliance upon and in conformity with written information furnished to the Company through the Representatives by or on behalf of any Underwriter specifically for inclusion therein, which information is specified in Section 10(f).</w:t>
      </w:r>
    </w:p>
    <w:p>
      <w:pPr>
        <w:spacing w:after="0" w:line="188" w:lineRule="exact"/>
        <w:rPr>
          <w:rFonts w:ascii="Arial" w:cs="Arial" w:eastAsia="Arial" w:hAnsi="Arial"/>
          <w:sz w:val="18"/>
          <w:szCs w:val="18"/>
          <w:color w:val="auto"/>
        </w:rPr>
      </w:pPr>
    </w:p>
    <w:p>
      <w:pPr>
        <w:jc w:val="both"/>
        <w:ind w:left="-489" w:firstLine="489"/>
        <w:spacing w:after="0" w:line="255"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listed in Schedule 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such Issuer Free Writing Prospectus listed in Schedule V hereto in reliance upon and in conformity with written information furnished to the Company through the Representatives by or on behalf of any Underwriter specifically for inclusion therein, which information is specified in Section 10(f).</w:t>
      </w:r>
    </w:p>
    <w:p>
      <w:pPr>
        <w:spacing w:after="0" w:line="193" w:lineRule="exact"/>
        <w:rPr>
          <w:rFonts w:ascii="Arial" w:cs="Arial" w:eastAsia="Arial" w:hAnsi="Arial"/>
          <w:sz w:val="18"/>
          <w:szCs w:val="18"/>
          <w:color w:val="auto"/>
        </w:rPr>
      </w:pPr>
    </w:p>
    <w:p>
      <w:pPr>
        <w:ind w:left="531" w:hanging="531"/>
        <w:spacing w:after="0"/>
        <w:tabs>
          <w:tab w:leader="none" w:pos="531"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ind w:left="45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8" w:name="page9"/>
    <w:bookmarkEnd w:id="8"/>
    <w:p>
      <w:pPr>
        <w:jc w:val="both"/>
        <w:ind w:left="-489" w:firstLine="489"/>
        <w:spacing w:after="0" w:line="273" w:lineRule="auto"/>
        <w:tabs>
          <w:tab w:leader="none" w:pos="548"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Shares that would constitute an Issuer Free Writing Prospectus without the prior written consent of the Representatives. The Company has retained in accordance with the Securities Act and the rules and regulations thereunder all Issuer Free Writing Prospectuses that were not required to be filed pursuant to the Securities Act and the rules and regulations thereunder.</w:t>
      </w:r>
    </w:p>
    <w:p>
      <w:pPr>
        <w:spacing w:after="0" w:line="178" w:lineRule="exact"/>
        <w:rPr>
          <w:rFonts w:ascii="Arial" w:cs="Arial" w:eastAsia="Arial" w:hAnsi="Arial"/>
          <w:sz w:val="17"/>
          <w:szCs w:val="17"/>
          <w:color w:val="auto"/>
        </w:rPr>
      </w:pPr>
    </w:p>
    <w:p>
      <w:pPr>
        <w:jc w:val="both"/>
        <w:ind w:left="-489" w:firstLine="489"/>
        <w:spacing w:after="0" w:line="268" w:lineRule="auto"/>
        <w:tabs>
          <w:tab w:leader="none" w:pos="59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and each of its subsidiaries have been duly organized, are validly existing and, to the extent such concept is applicable,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condition (financial or otherwise), results of operations, shareholders’ equity, properties, business or prospects of the Company and its subsidiaries taken as a whole (a “</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The Company and each of its subsidiaries have all power and authority necessary to own or hold their properties and to conduct the businesses in which they are engaged. The Company does not own or control, directly or indirectly, any corporation, association or other entity other than the subsidiaries listed in Exhibit 8.1 to the Company’s Annual Report on Form 20-F for the year ended December 31, 2015. None of the subsidiaries of the Company (other than Kornit Digital Technologies Ltd., Kornit Digital Europe GmbH and Kornit Digital North America Inc. (collectively, the “</w:t>
      </w:r>
      <w:r>
        <w:rPr>
          <w:rFonts w:ascii="Arial" w:cs="Arial" w:eastAsia="Arial" w:hAnsi="Arial"/>
          <w:sz w:val="17"/>
          <w:szCs w:val="17"/>
          <w:b w:val="1"/>
          <w:bCs w:val="1"/>
          <w:i w:val="1"/>
          <w:iCs w:val="1"/>
          <w:color w:val="auto"/>
        </w:rPr>
        <w:t>Significant Subsidiaries</w:t>
      </w:r>
      <w:r>
        <w:rPr>
          <w:rFonts w:ascii="Arial" w:cs="Arial" w:eastAsia="Arial" w:hAnsi="Arial"/>
          <w:sz w:val="17"/>
          <w:szCs w:val="17"/>
          <w:color w:val="auto"/>
        </w:rPr>
        <w:t>”)) is a “significant subsidiary” (as defined in Rule 405 under the Securities Act). The Company and its sole Israeli subsidiary, Kornit Digital Technologies Ltd., are not currently designated as a “breaching company” (within the meaning of the Israeli Companies Law 5759-1999) by the Registrar of Companies of the State of Israel, nor has a proceeding been instituted by the Registrar of Companies in Israel for the dissolution of the Company or Kornit Digital Technologies Ltd.</w:t>
      </w:r>
    </w:p>
    <w:p>
      <w:pPr>
        <w:spacing w:after="0" w:line="185" w:lineRule="exact"/>
        <w:rPr>
          <w:rFonts w:ascii="Arial" w:cs="Arial" w:eastAsia="Arial" w:hAnsi="Arial"/>
          <w:sz w:val="17"/>
          <w:szCs w:val="17"/>
          <w:color w:val="auto"/>
        </w:rPr>
      </w:pPr>
    </w:p>
    <w:p>
      <w:pPr>
        <w:jc w:val="both"/>
        <w:ind w:left="-489" w:firstLine="489"/>
        <w:spacing w:after="0" w:line="269" w:lineRule="auto"/>
        <w:tabs>
          <w:tab w:leader="none" w:pos="57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each of the most recent Preliminary Prospectus and the Prospectus, and all of the issued share capital of the Company (including the Shares to be sold by the Selling Shareholders) has been duly authorized and validly issued, is fully paid and non-assessable, conforms to the description thereof contained in the most recent Preliminary Prospectus and was issued in compliance with Israeli securities laws and, to the extent applicable, other foreign and U.S. federal and state securities laws and not in violation of any preemptive right, resale right, right of first refusal or similar right. All of the Company’s options, warrants and other rights to purchase or exchange any securities for shares of the Company have been duly authorized and validly issued, conform to the description thereof contained in the most recent Preliminary Prospectus and were issued in compliance with Israeli securities laws and, to the extent applicable, other foreign or U.S. federal and state securities laws. All of the issued share capital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could not, individually or in the aggregate, reasonably be expected to have a Material Adverse Effect.</w:t>
      </w:r>
    </w:p>
    <w:p>
      <w:pPr>
        <w:spacing w:after="0" w:line="399" w:lineRule="exact"/>
        <w:rPr>
          <w:sz w:val="20"/>
          <w:szCs w:val="20"/>
          <w:color w:val="auto"/>
        </w:rPr>
      </w:pPr>
    </w:p>
    <w:p>
      <w:pPr>
        <w:ind w:left="45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9" w:name="page10"/>
    <w:bookmarkEnd w:id="9"/>
    <w:p>
      <w:pPr>
        <w:jc w:val="both"/>
        <w:ind w:left="-489" w:firstLine="489"/>
        <w:spacing w:after="0" w:line="259" w:lineRule="auto"/>
        <w:tabs>
          <w:tab w:leader="none" w:pos="59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Underwriters hereunder have been duly authorized and, upon payment and delivery in accordance with this Agreement, will be validly issued, fully paid and non-assessable, will conform in all material respects to the description thereof contained in the most recent Preliminary Prospectus, will be issued in compliance with federal and state securities laws and will be free of statutory and contractual preemptive rights, rights of first refusal and similar rights.</w:t>
      </w:r>
    </w:p>
    <w:p>
      <w:pPr>
        <w:spacing w:after="0" w:line="186" w:lineRule="exact"/>
        <w:rPr>
          <w:rFonts w:ascii="Arial" w:cs="Arial" w:eastAsia="Arial" w:hAnsi="Arial"/>
          <w:sz w:val="18"/>
          <w:szCs w:val="18"/>
          <w:color w:val="auto"/>
        </w:rPr>
      </w:pPr>
    </w:p>
    <w:p>
      <w:pPr>
        <w:jc w:val="both"/>
        <w:ind w:left="-489" w:firstLine="489"/>
        <w:spacing w:after="0" w:line="270" w:lineRule="auto"/>
        <w:tabs>
          <w:tab w:leader="none" w:pos="606"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grants and issuances of the Company’s shares to its, or its subsidiaries’, employees were made pursuant to an employee benefit plan, qualified share option plan or other equity compensation plan. With respect to any share options granted (the “</w:t>
      </w:r>
      <w:r>
        <w:rPr>
          <w:rFonts w:ascii="Arial" w:cs="Arial" w:eastAsia="Arial" w:hAnsi="Arial"/>
          <w:sz w:val="17"/>
          <w:szCs w:val="17"/>
          <w:b w:val="1"/>
          <w:bCs w:val="1"/>
          <w:i w:val="1"/>
          <w:iCs w:val="1"/>
          <w:color w:val="auto"/>
        </w:rPr>
        <w:t>Share Options</w:t>
      </w:r>
      <w:r>
        <w:rPr>
          <w:rFonts w:ascii="Arial" w:cs="Arial" w:eastAsia="Arial" w:hAnsi="Arial"/>
          <w:sz w:val="17"/>
          <w:szCs w:val="17"/>
          <w:color w:val="auto"/>
        </w:rPr>
        <w:t>”) (i) each Share Option purported to be issued under Section 102 of the Israel Tax Ordinance qualifies for treatment under that section and for treatment under the capital gains track, (ii) each Share Option intended to qualify as an “incentive stock option” under Section 422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so qualifies in all material respects, and (iii) each grant of a Share Option was duly authorized no later than the date on which the grant of such Share Option was by its terms to be effective by all necessary corporate action, in each case, in all material respects,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w:t>
      </w:r>
    </w:p>
    <w:p>
      <w:pPr>
        <w:spacing w:after="0" w:line="181" w:lineRule="exact"/>
        <w:rPr>
          <w:rFonts w:ascii="Arial" w:cs="Arial" w:eastAsia="Arial" w:hAnsi="Arial"/>
          <w:sz w:val="17"/>
          <w:szCs w:val="17"/>
          <w:color w:val="auto"/>
        </w:rPr>
      </w:pPr>
    </w:p>
    <w:p>
      <w:pPr>
        <w:ind w:left="-489" w:firstLine="489"/>
        <w:spacing w:after="0" w:line="342"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and obtained all requisite corporate approvals to execute, deliver and perform its obligations under this Agreement. This Agreement has been duly and validly authorized, executed and delivered by the Company.</w:t>
      </w:r>
    </w:p>
    <w:p>
      <w:pPr>
        <w:spacing w:after="0" w:line="123" w:lineRule="exact"/>
        <w:rPr>
          <w:rFonts w:ascii="Arial" w:cs="Arial" w:eastAsia="Arial" w:hAnsi="Arial"/>
          <w:sz w:val="16"/>
          <w:szCs w:val="16"/>
          <w:color w:val="auto"/>
        </w:rPr>
      </w:pPr>
    </w:p>
    <w:p>
      <w:pPr>
        <w:jc w:val="both"/>
        <w:ind w:left="-489" w:firstLine="489"/>
        <w:spacing w:after="0" w:line="287" w:lineRule="auto"/>
        <w:tabs>
          <w:tab w:leader="none" w:pos="50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issue and sale of the Shares, the execution, delivery and performance of this Agreement by the Company, the consummation of the transactions contemplated hereby and the application of the proceeds from the sale of the Shares as described under “Use of Proceeds” in the most recent Preliminary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for purposes of clauses (i) and (iii) above, any such conflict, breach, violation, default, lien, charge or encumbrance that would not, individually or in the aggregate, reasonably be expected to have a Material Adverse Effect and could not, individually or in the aggregate, reasonably be expected to have a material adverse effect on the Underwriters’ ability to consummate the transactions contemplated hereby.</w:t>
      </w:r>
    </w:p>
    <w:p>
      <w:pPr>
        <w:spacing w:after="0" w:line="385" w:lineRule="exact"/>
        <w:rPr>
          <w:sz w:val="20"/>
          <w:szCs w:val="20"/>
          <w:color w:val="auto"/>
        </w:rPr>
      </w:pPr>
    </w:p>
    <w:p>
      <w:pPr>
        <w:ind w:left="45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10" w:name="page11"/>
    <w:bookmarkEnd w:id="10"/>
    <w:p>
      <w:pPr>
        <w:jc w:val="both"/>
        <w:ind w:firstLine="489"/>
        <w:spacing w:after="0" w:line="255" w:lineRule="auto"/>
        <w:tabs>
          <w:tab w:leader="none" w:pos="1183"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any of its subsidiaries (i) has any outstanding obligations to the National Authority of Technological Innovation (formerly the Office of the Chief Scientist) of the Ministry of Economy and Industry of the State of Israel (“</w:t>
      </w:r>
      <w:r>
        <w:rPr>
          <w:rFonts w:ascii="Arial" w:cs="Arial" w:eastAsia="Arial" w:hAnsi="Arial"/>
          <w:sz w:val="18"/>
          <w:szCs w:val="18"/>
          <w:b w:val="1"/>
          <w:bCs w:val="1"/>
          <w:i w:val="1"/>
          <w:iCs w:val="1"/>
          <w:color w:val="auto"/>
        </w:rPr>
        <w:t>NATI</w:t>
      </w:r>
      <w:r>
        <w:rPr>
          <w:rFonts w:ascii="Arial" w:cs="Arial" w:eastAsia="Arial" w:hAnsi="Arial"/>
          <w:sz w:val="18"/>
          <w:szCs w:val="18"/>
          <w:color w:val="auto"/>
        </w:rPr>
        <w:t>”) except as set forth in each of the most recent Preliminary Prospectus and Prospectus nor (ii) is in violation with respect to any instrument of approval granted to it by the Investment Center of the Ministry of Economy of the State of Israel (the “</w:t>
      </w:r>
      <w:r>
        <w:rPr>
          <w:rFonts w:ascii="Arial" w:cs="Arial" w:eastAsia="Arial" w:hAnsi="Arial"/>
          <w:sz w:val="18"/>
          <w:szCs w:val="18"/>
          <w:b w:val="1"/>
          <w:bCs w:val="1"/>
          <w:i w:val="1"/>
          <w:iCs w:val="1"/>
          <w:color w:val="auto"/>
        </w:rPr>
        <w:t>Investment Center</w:t>
      </w:r>
      <w:r>
        <w:rPr>
          <w:rFonts w:ascii="Arial" w:cs="Arial" w:eastAsia="Arial" w:hAnsi="Arial"/>
          <w:sz w:val="18"/>
          <w:szCs w:val="18"/>
          <w:color w:val="auto"/>
        </w:rPr>
        <w:t>”) or by NATI. The Company has not received from the Investment Center any notice denying, revoking or adversely modifying any “approved enterprise” or “benefited enterprise” or “preferred enterprise” status with respect to any of the Company’s facilities or operations (including, in all such cases, notice of proceedings or investigations related thereto).</w:t>
      </w:r>
    </w:p>
    <w:p>
      <w:pPr>
        <w:spacing w:after="0" w:line="189" w:lineRule="exact"/>
        <w:rPr>
          <w:rFonts w:ascii="Arial" w:cs="Arial" w:eastAsia="Arial" w:hAnsi="Arial"/>
          <w:sz w:val="18"/>
          <w:szCs w:val="18"/>
          <w:color w:val="auto"/>
        </w:rPr>
      </w:pPr>
    </w:p>
    <w:p>
      <w:pPr>
        <w:jc w:val="both"/>
        <w:ind w:firstLine="489"/>
        <w:spacing w:after="0" w:line="284" w:lineRule="auto"/>
        <w:tabs>
          <w:tab w:leader="none" w:pos="1017"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most recent Preliminary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in connection with the purchase and sale of the Shares by the Underwriters; (iii) the filing of certain information with the Registrar of Companies in the State of Israel, following the Closing, regarding the transfer of the Shares; and (iv) the transaction notification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210" w:lineRule="exact"/>
        <w:rPr>
          <w:rFonts w:ascii="Arial" w:cs="Arial" w:eastAsia="Arial" w:hAnsi="Arial"/>
          <w:sz w:val="16"/>
          <w:szCs w:val="16"/>
          <w:color w:val="auto"/>
        </w:rPr>
      </w:pPr>
    </w:p>
    <w:p>
      <w:pPr>
        <w:jc w:val="both"/>
        <w:ind w:firstLine="489"/>
        <w:spacing w:after="0" w:line="257" w:lineRule="auto"/>
        <w:tabs>
          <w:tab w:leader="none" w:pos="105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historical financial statements (including the related notes and supporting schedules) included or incorporated by reference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w:t>
      </w:r>
    </w:p>
    <w:p>
      <w:pPr>
        <w:spacing w:after="0" w:line="188" w:lineRule="exact"/>
        <w:rPr>
          <w:rFonts w:ascii="Arial" w:cs="Arial" w:eastAsia="Arial" w:hAnsi="Arial"/>
          <w:sz w:val="18"/>
          <w:szCs w:val="18"/>
          <w:color w:val="auto"/>
        </w:rPr>
      </w:pPr>
    </w:p>
    <w:p>
      <w:pPr>
        <w:jc w:val="both"/>
        <w:ind w:firstLine="489"/>
        <w:spacing w:after="0" w:line="259" w:lineRule="auto"/>
        <w:tabs>
          <w:tab w:leader="none" w:pos="1074" w:val="left"/>
        </w:tabs>
        <w:numPr>
          <w:ilvl w:val="0"/>
          <w:numId w:val="8"/>
        </w:numPr>
        <w:rPr>
          <w:rFonts w:ascii="Arial" w:cs="Arial" w:eastAsia="Arial" w:hAnsi="Arial"/>
          <w:sz w:val="18"/>
          <w:szCs w:val="18"/>
          <w:color w:val="auto"/>
        </w:rPr>
      </w:pPr>
      <w:r>
        <w:rPr>
          <w:rFonts w:ascii="Arial" w:cs="Arial" w:eastAsia="Arial" w:hAnsi="Arial"/>
          <w:sz w:val="18"/>
          <w:szCs w:val="18"/>
          <w:color w:val="auto"/>
        </w:rPr>
        <w:t>Kost Forer Gabbay &amp; Kasierer, a member of Ernst &amp; Young Global, who have certified certain financial statements of the Company and its consolidated subsidiaries, whose report appears in the most recent Preliminary Prospectus, or is incorporated therein, and who have delivered the initial letter referred to in Section 9(i) hereof, are independent public accountants as required by the Securities Act and the rules and regulations thereunder.</w:t>
      </w:r>
    </w:p>
    <w:p>
      <w:pPr>
        <w:spacing w:after="0" w:line="200" w:lineRule="exact"/>
        <w:rPr>
          <w:sz w:val="20"/>
          <w:szCs w:val="20"/>
          <w:color w:val="auto"/>
        </w:rPr>
      </w:pPr>
    </w:p>
    <w:p>
      <w:pPr>
        <w:spacing w:after="0" w:line="20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1" w:name="page12"/>
    <w:bookmarkEnd w:id="11"/>
    <w:p>
      <w:pPr>
        <w:jc w:val="both"/>
        <w:ind w:left="4" w:firstLine="489"/>
        <w:spacing w:after="0" w:line="285" w:lineRule="auto"/>
        <w:tabs>
          <w:tab w:leader="none" w:pos="1139"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in the United States. The Company and each of its subsidiaries maintain internal accounting controls sufficient to provide reasonable assurance that</w:t>
      </w:r>
    </w:p>
    <w:p>
      <w:pPr>
        <w:spacing w:after="0" w:line="2" w:lineRule="exact"/>
        <w:rPr>
          <w:rFonts w:ascii="Arial" w:cs="Arial" w:eastAsia="Arial" w:hAnsi="Arial"/>
          <w:sz w:val="16"/>
          <w:szCs w:val="16"/>
          <w:color w:val="auto"/>
        </w:rPr>
      </w:pPr>
    </w:p>
    <w:p>
      <w:pPr>
        <w:jc w:val="both"/>
        <w:ind w:left="4" w:hanging="4"/>
        <w:spacing w:after="0" w:line="268" w:lineRule="auto"/>
        <w:tabs>
          <w:tab w:leader="none" w:pos="2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Prospectus fairly present the information called for in all material respects and are prepared in accordance with the Commission's rules and guidelines applicable thereto. As of the date of the most recent balance sheet of the Company and its consolidated subsidiaries reviewed or audited by Kost Forer Gabbay &amp; Kasierer, a member of Ernst &amp; Young Global and the audit committee of the board of directors of the Company, there were no material weaknesses in the Company’s internal controls.</w:t>
      </w:r>
    </w:p>
    <w:p>
      <w:pPr>
        <w:spacing w:after="0" w:line="182" w:lineRule="exact"/>
        <w:rPr>
          <w:rFonts w:ascii="Arial" w:cs="Arial" w:eastAsia="Arial" w:hAnsi="Arial"/>
          <w:sz w:val="17"/>
          <w:szCs w:val="17"/>
          <w:color w:val="auto"/>
        </w:rPr>
      </w:pPr>
    </w:p>
    <w:p>
      <w:pPr>
        <w:jc w:val="both"/>
        <w:ind w:left="4" w:firstLine="489"/>
        <w:spacing w:after="0" w:line="255" w:lineRule="auto"/>
        <w:tabs>
          <w:tab w:leader="none" w:pos="1042"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The Company and its subsidiaries maintain disclosure controls and procedures (as such term is defined in Rule 13a-15(e) under the Exchange Act), (ii) such disclosure controls and procedures are designed to ensure that the information required to be disclosed by the Company in reports that it files or submits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 (iii) such disclosure controls and procedures are effective in all material respects to perform the functions for which they were established.</w:t>
      </w:r>
    </w:p>
    <w:p>
      <w:pPr>
        <w:spacing w:after="0" w:line="193" w:lineRule="exact"/>
        <w:rPr>
          <w:rFonts w:ascii="Arial" w:cs="Arial" w:eastAsia="Arial" w:hAnsi="Arial"/>
          <w:sz w:val="18"/>
          <w:szCs w:val="18"/>
          <w:color w:val="auto"/>
        </w:rPr>
      </w:pPr>
    </w:p>
    <w:p>
      <w:pPr>
        <w:jc w:val="both"/>
        <w:ind w:left="4" w:firstLine="489"/>
        <w:spacing w:after="0" w:line="255" w:lineRule="auto"/>
        <w:tabs>
          <w:tab w:leader="none" w:pos="10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Since the date of the most recent balance sheet of the Company and its consolidated subsidiaries reviewed or audited by Kost Forer Gabbay &amp; Kasierer, a member of Ernst &amp; Young Global, (i) the Company has not been advised of or become aware of (A) any material weakness or significant deficiency in internal controls of the Company or its subsidiaries, and (B) any fraud, whether or not material, that involves management or other employees who have a significant role in the internal controls of the Company and each of its subsidiaries; and (ii) there have been no significant adverse changes in internal controls or in other factors that could significantly affect internal controls, including any corrective actions with regard to significant deficiencies and material weaknesses.</w:t>
      </w:r>
    </w:p>
    <w:p>
      <w:pPr>
        <w:spacing w:after="0" w:line="200" w:lineRule="exact"/>
        <w:rPr>
          <w:sz w:val="20"/>
          <w:szCs w:val="20"/>
          <w:color w:val="auto"/>
        </w:rPr>
      </w:pPr>
    </w:p>
    <w:p>
      <w:pPr>
        <w:spacing w:after="0" w:line="209"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2" w:name="page13"/>
    <w:bookmarkEnd w:id="12"/>
    <w:p>
      <w:pPr>
        <w:ind w:left="-489" w:firstLine="489"/>
        <w:spacing w:after="0" w:line="342" w:lineRule="auto"/>
        <w:tabs>
          <w:tab w:leader="none" w:pos="53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applicable provision of the Sarbanes-Oxley Act of 2002 and the rules and regulations promulgated in connection therewith.</w:t>
      </w:r>
    </w:p>
    <w:p>
      <w:pPr>
        <w:spacing w:after="0" w:line="124" w:lineRule="exact"/>
        <w:rPr>
          <w:sz w:val="20"/>
          <w:szCs w:val="20"/>
          <w:color w:val="auto"/>
        </w:rPr>
      </w:pPr>
    </w:p>
    <w:p>
      <w:pPr>
        <w:jc w:val="both"/>
        <w:ind w:left="-489" w:firstLine="489"/>
        <w:spacing w:after="0" w:line="269" w:lineRule="auto"/>
        <w:tabs>
          <w:tab w:leader="none" w:pos="749"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Since the date of the latest audited financial statements included or incorporated by reference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except as set forth in the most recent Preliminary Prospectus, (iii) incurred any material liability or obligation, direct or contingent, other than liabilities and obligations that were incurred in the ordinary course of business or otherwise set forth in the most recent Preliminary Prospectus, (iv) entered into any material transaction not in the ordinary course of business, except as set forth in the most recent Preliminary Prospectus or (v) declared or paid any dividend on its share capital, and since such date, there has not been any change in the share capital (other than the issuance of ordinary shares, if any, pursuant to share option plans or other equity compensation plans or arrangements described in the most recent Preliminary Prospectus) or long-term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 in each case except as would not, in the aggregate, reasonably be expected to have a Material Adverse Effect.</w:t>
      </w:r>
    </w:p>
    <w:p>
      <w:pPr>
        <w:spacing w:after="0" w:line="179" w:lineRule="exact"/>
        <w:rPr>
          <w:rFonts w:ascii="Arial" w:cs="Arial" w:eastAsia="Arial" w:hAnsi="Arial"/>
          <w:sz w:val="17"/>
          <w:szCs w:val="17"/>
          <w:color w:val="auto"/>
        </w:rPr>
      </w:pPr>
    </w:p>
    <w:p>
      <w:pPr>
        <w:jc w:val="both"/>
        <w:ind w:left="-489" w:firstLine="489"/>
        <w:spacing w:after="0" w:line="273" w:lineRule="auto"/>
        <w:tabs>
          <w:tab w:leader="none" w:pos="61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are described in the most recent Preliminary Prospectus or such as do not materially affect the value of such property and do not materially interfere with the use made and proposed to be made of such property by the Company and its subsidiaries. All assets held under lease by the Company and its subsidiaries are held by them under valid, subsisting and enforceable leases, with such exceptions as do not materially interfere with the use made and proposed to be made of such assets by the Company and its subsidiaries.</w:t>
      </w:r>
    </w:p>
    <w:p>
      <w:pPr>
        <w:spacing w:after="0" w:line="178" w:lineRule="exact"/>
        <w:rPr>
          <w:rFonts w:ascii="Arial" w:cs="Arial" w:eastAsia="Arial" w:hAnsi="Arial"/>
          <w:sz w:val="17"/>
          <w:szCs w:val="17"/>
          <w:color w:val="auto"/>
        </w:rPr>
      </w:pPr>
    </w:p>
    <w:p>
      <w:pPr>
        <w:jc w:val="both"/>
        <w:ind w:left="-489" w:firstLine="489"/>
        <w:spacing w:after="0" w:line="290" w:lineRule="auto"/>
        <w:tabs>
          <w:tab w:leader="none" w:pos="5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each of its subsidiaries have such permits, licenses, patents, franchises, certificates of need and other approvals or authorizations of governmental or regulatory authorities (“</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as are necessary under applicable law to own their properties and conduct their businesses in the manner described in the most recent Preliminary Prospectus, except for any of the foregoing that would not, in the aggregate, reasonably be expected to have a Material Adverse Effect. The Company and each of its subsidiaries have fulfilled and performed all of its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382" w:lineRule="exact"/>
        <w:rPr>
          <w:sz w:val="20"/>
          <w:szCs w:val="20"/>
          <w:color w:val="auto"/>
        </w:rPr>
      </w:pPr>
    </w:p>
    <w:p>
      <w:pPr>
        <w:ind w:left="45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13" w:name="page14"/>
    <w:bookmarkEnd w:id="13"/>
    <w:p>
      <w:pPr>
        <w:jc w:val="both"/>
        <w:ind w:left="-489" w:firstLine="489"/>
        <w:spacing w:after="0" w:line="273" w:lineRule="auto"/>
        <w:tabs>
          <w:tab w:leader="none" w:pos="6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(i) the Company and each of its subsidiaries owns or possesses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and (ii) the Company and each of its subsidiaries has no reason to believe that the conduct of their respective businesses will conflict with, and has not received any notice of any claim of conflict with, any such rights of others.</w:t>
      </w:r>
    </w:p>
    <w:p>
      <w:pPr>
        <w:spacing w:after="0" w:line="178" w:lineRule="exact"/>
        <w:rPr>
          <w:rFonts w:ascii="Arial" w:cs="Arial" w:eastAsia="Arial" w:hAnsi="Arial"/>
          <w:sz w:val="17"/>
          <w:szCs w:val="17"/>
          <w:color w:val="auto"/>
        </w:rPr>
      </w:pPr>
    </w:p>
    <w:p>
      <w:pPr>
        <w:jc w:val="both"/>
        <w:ind w:left="-489" w:firstLine="489"/>
        <w:spacing w:after="0" w:line="257" w:lineRule="auto"/>
        <w:tabs>
          <w:tab w:leader="none" w:pos="6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or assets of the Company or any of its subsidiaries is the subject that could,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188" w:lineRule="exact"/>
        <w:rPr>
          <w:rFonts w:ascii="Arial" w:cs="Arial" w:eastAsia="Arial" w:hAnsi="Arial"/>
          <w:sz w:val="18"/>
          <w:szCs w:val="18"/>
          <w:color w:val="auto"/>
        </w:rPr>
      </w:pPr>
    </w:p>
    <w:p>
      <w:pPr>
        <w:jc w:val="both"/>
        <w:ind w:left="-489" w:firstLine="489"/>
        <w:spacing w:after="0" w:line="293" w:lineRule="auto"/>
        <w:tabs>
          <w:tab w:leader="none" w:pos="6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 except as would not, individually or in the aggregate, reasonably be expected to have a Material Adverse Effect.</w:t>
      </w:r>
    </w:p>
    <w:p>
      <w:pPr>
        <w:spacing w:after="0" w:line="164" w:lineRule="exact"/>
        <w:rPr>
          <w:rFonts w:ascii="Arial" w:cs="Arial" w:eastAsia="Arial" w:hAnsi="Arial"/>
          <w:sz w:val="16"/>
          <w:szCs w:val="16"/>
          <w:color w:val="auto"/>
        </w:rPr>
      </w:pPr>
    </w:p>
    <w:p>
      <w:pPr>
        <w:jc w:val="both"/>
        <w:ind w:left="-489" w:firstLine="489"/>
        <w:spacing w:after="0" w:line="272" w:lineRule="auto"/>
        <w:tabs>
          <w:tab w:leader="none" w:pos="7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statements made, or incorporated by reference, in the most recent Preliminary Prospectus under the captions “Item 4 – Information on the Company – Business Overview - Regulatory Matters”, “Item 6 – Directors and Senior Management”, “Underwriting”, “Description of Ordinary Shares”, “Item 5 - Operating and Financial Review and Prospects - Taxation and Israeli Government Programs Applicable to our Company—Law for the Encouragement of Capital Investments, 5719-1959.”, “U.S. and Israeli Tax Consequences for our Shareholders” and “Enforceability of Civil Liabilities”, insofar as they purport to constitute summaries of the terms of statutes, rules or regulations, legal or governmental proceedings or contracts and other documents described therein, constitute accurate summaries of the terms of such statutes, rules and regulations, legal and governmental proceedings and contracts and other documents in all material respects.</w:t>
      </w:r>
    </w:p>
    <w:p>
      <w:pPr>
        <w:spacing w:after="0" w:line="394"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14" w:name="page15"/>
    <w:bookmarkEnd w:id="14"/>
    <w:p>
      <w:pPr>
        <w:jc w:val="both"/>
        <w:ind w:left="-489" w:firstLine="489"/>
        <w:spacing w:after="0" w:line="288" w:lineRule="auto"/>
        <w:tabs>
          <w:tab w:leader="none" w:pos="6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its subsidiaries carry, or are covered by, insurance from insurers of recognized financial responsibility in such amounts and covering such risks as is reasonably believed by the Company to be adequate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69" w:lineRule="exact"/>
        <w:rPr>
          <w:rFonts w:ascii="Arial" w:cs="Arial" w:eastAsia="Arial" w:hAnsi="Arial"/>
          <w:sz w:val="16"/>
          <w:szCs w:val="16"/>
          <w:color w:val="auto"/>
        </w:rPr>
      </w:pPr>
    </w:p>
    <w:p>
      <w:pPr>
        <w:jc w:val="both"/>
        <w:ind w:left="-489" w:firstLine="489"/>
        <w:spacing w:after="0" w:line="264" w:lineRule="auto"/>
        <w:tabs>
          <w:tab w:leader="none" w:pos="6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on the one hand, and the directors, officers, shareholders, customers or suppliers of the Company, on the other hand, that is required to be described in the most recent Preliminary Prospectus which is not so described.</w:t>
      </w:r>
    </w:p>
    <w:p>
      <w:pPr>
        <w:spacing w:after="0" w:line="181" w:lineRule="exact"/>
        <w:rPr>
          <w:rFonts w:ascii="Arial" w:cs="Arial" w:eastAsia="Arial" w:hAnsi="Arial"/>
          <w:sz w:val="18"/>
          <w:szCs w:val="18"/>
          <w:color w:val="auto"/>
        </w:rPr>
      </w:pPr>
    </w:p>
    <w:p>
      <w:pPr>
        <w:jc w:val="both"/>
        <w:ind w:left="-489" w:firstLine="489"/>
        <w:spacing w:after="0" w:line="259" w:lineRule="auto"/>
        <w:tabs>
          <w:tab w:leader="none" w:pos="5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labor disturbance by or dispute with the employees of the Company or any of its subsidiaries exists or, to the knowledge of the Company, is imminent that would reasonably be expected to have a Material Adverse Effect. The Company and its subsidiaries are in compliance in all material respects with the labor and employment laws and collective bargaining agreements and extension orders applicable to their employees in the State of Israel.</w:t>
      </w:r>
    </w:p>
    <w:p>
      <w:pPr>
        <w:spacing w:after="0" w:line="186" w:lineRule="exact"/>
        <w:rPr>
          <w:rFonts w:ascii="Arial" w:cs="Arial" w:eastAsia="Arial" w:hAnsi="Arial"/>
          <w:sz w:val="18"/>
          <w:szCs w:val="18"/>
          <w:color w:val="auto"/>
        </w:rPr>
      </w:pPr>
    </w:p>
    <w:p>
      <w:pPr>
        <w:jc w:val="both"/>
        <w:ind w:left="-489" w:firstLine="489"/>
        <w:spacing w:after="0" w:line="290" w:lineRule="auto"/>
        <w:tabs>
          <w:tab w:leader="none" w:pos="6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could not, individually or in the aggregate, reasonably be expected to have a Material Adverse Effect.</w:t>
      </w:r>
    </w:p>
    <w:p>
      <w:pPr>
        <w:spacing w:after="0" w:line="382"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15" w:name="page16"/>
    <w:bookmarkEnd w:id="15"/>
    <w:p>
      <w:pPr>
        <w:jc w:val="both"/>
        <w:ind w:left="-489" w:firstLine="489"/>
        <w:spacing w:after="0" w:line="267" w:lineRule="auto"/>
        <w:tabs>
          <w:tab w:leader="none" w:pos="50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and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except, for purposes of clauses (i) and (ii) above, where such non-compliance, violation, liability, or other obligation would not, in the aggregate, reasonably be expected to have a Material Adverse Effect. Except as described in the most recent Preliminary Prospectus, (x)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subsidiaries, and (z) none of the Company and its subsidiaries anticipates material capital expenditures relating to Environmental Laws.</w:t>
      </w:r>
    </w:p>
    <w:p>
      <w:pPr>
        <w:spacing w:after="0" w:line="192" w:lineRule="exact"/>
        <w:rPr>
          <w:rFonts w:ascii="Arial" w:cs="Arial" w:eastAsia="Arial" w:hAnsi="Arial"/>
          <w:sz w:val="17"/>
          <w:szCs w:val="17"/>
          <w:color w:val="auto"/>
        </w:rPr>
      </w:pPr>
    </w:p>
    <w:p>
      <w:pPr>
        <w:jc w:val="both"/>
        <w:ind w:left="-489" w:firstLine="489"/>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and each of its subsidiaries have: (i) timely filed all federal, state, local and foreign income and all other material tax returns required to be filed through the date hereof, subject to permitted extensions, and such returns are true, correct and complete in all material respects, and (ii) timely paid all material taxes due, except as may be being contested in good faith and by appropriate proceedings and for which adequate reserves have been made under GAAP. The Company does not have any knowledge of any tax deficiencies that have been, or would reasonably be expected to be asserted against the Company or any of its subsidiaries, that could, in the aggregate, reasonably be expected to have a Material Adverse Effect.</w:t>
      </w:r>
    </w:p>
    <w:p>
      <w:pPr>
        <w:spacing w:after="0" w:line="200" w:lineRule="exact"/>
        <w:rPr>
          <w:sz w:val="20"/>
          <w:szCs w:val="20"/>
          <w:color w:val="auto"/>
        </w:rPr>
      </w:pPr>
    </w:p>
    <w:p>
      <w:pPr>
        <w:spacing w:after="0" w:line="209"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16" w:name="page17"/>
    <w:bookmarkEnd w:id="16"/>
    <w:p>
      <w:pPr>
        <w:jc w:val="both"/>
        <w:ind w:left="-489" w:firstLine="489"/>
        <w:spacing w:after="0" w:line="259" w:lineRule="auto"/>
        <w:tabs>
          <w:tab w:leader="none" w:pos="7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is no pending, or threatened in writing, audit, examination, investigation, assessment, claim or other proceeding by any governmental authority with respect to the qualification of the Company or any of its subsidiaries as an Industrial Company or an Industrial Enterprise, as the case may be, pursuant to the Law for the Encouragement of Industry (Taxes), 5729-1969 or the Law for the Encouragement of Capital Investments, 5719-1959, respectively.</w:t>
      </w:r>
    </w:p>
    <w:p>
      <w:pPr>
        <w:spacing w:after="0" w:line="186" w:lineRule="exact"/>
        <w:rPr>
          <w:rFonts w:ascii="Arial" w:cs="Arial" w:eastAsia="Arial" w:hAnsi="Arial"/>
          <w:sz w:val="18"/>
          <w:szCs w:val="18"/>
          <w:color w:val="auto"/>
        </w:rPr>
      </w:pPr>
    </w:p>
    <w:p>
      <w:pPr>
        <w:jc w:val="both"/>
        <w:ind w:left="-489" w:firstLine="489"/>
        <w:spacing w:after="0" w:line="286" w:lineRule="auto"/>
        <w:tabs>
          <w:tab w:leader="none" w:pos="6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Each “employee benefit plan” (within the meaning of Section 3(3) of the Employee Retirement 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Code) would have any liability (each a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171" w:lineRule="exact"/>
        <w:rPr>
          <w:rFonts w:ascii="Arial" w:cs="Arial" w:eastAsia="Arial" w:hAnsi="Arial"/>
          <w:sz w:val="16"/>
          <w:szCs w:val="16"/>
          <w:color w:val="auto"/>
        </w:rPr>
      </w:pPr>
    </w:p>
    <w:p>
      <w:pPr>
        <w:ind w:left="-489" w:firstLine="489"/>
        <w:spacing w:after="0" w:line="277" w:lineRule="auto"/>
        <w:tabs>
          <w:tab w:leader="none" w:pos="5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most recent Preliminary Prospectus or incorporated by reference are based on or derived from sources that the Company believes to be reliable in all material respects.</w:t>
      </w:r>
    </w:p>
    <w:p>
      <w:pPr>
        <w:spacing w:after="0" w:line="170" w:lineRule="exact"/>
        <w:rPr>
          <w:rFonts w:ascii="Arial" w:cs="Arial" w:eastAsia="Arial" w:hAnsi="Arial"/>
          <w:sz w:val="18"/>
          <w:szCs w:val="18"/>
          <w:color w:val="auto"/>
        </w:rPr>
      </w:pPr>
    </w:p>
    <w:p>
      <w:pPr>
        <w:jc w:val="both"/>
        <w:ind w:left="-489" w:firstLine="489"/>
        <w:spacing w:after="0" w:line="276" w:lineRule="auto"/>
        <w:tabs>
          <w:tab w:leader="none" w:pos="59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and as of the applicable Delivery Date and, after giving effect to the offer and sale of the Shares and the application of the proceeds therefrom as described under “Use of Proceeds” in the most recent Preliminary Prospectus and the Prospectus, none of them will be, (i) an “investment company” or a company “controlled” by an “investment company” within the meaning of the Investment Company Act of 1940, as amended (the “</w:t>
      </w:r>
      <w:r>
        <w:rPr>
          <w:rFonts w:ascii="Arial" w:cs="Arial" w:eastAsia="Arial" w:hAnsi="Arial"/>
          <w:sz w:val="17"/>
          <w:szCs w:val="17"/>
          <w:b w:val="1"/>
          <w:bCs w:val="1"/>
          <w:i w:val="1"/>
          <w:iCs w:val="1"/>
          <w:color w:val="auto"/>
        </w:rPr>
        <w:t>Investment Company Act</w:t>
      </w:r>
      <w:r>
        <w:rPr>
          <w:rFonts w:ascii="Arial" w:cs="Arial" w:eastAsia="Arial" w:hAnsi="Arial"/>
          <w:sz w:val="17"/>
          <w:szCs w:val="17"/>
          <w:color w:val="auto"/>
        </w:rPr>
        <w:t>”), and the rules and regulations of the Commission thereunder, or (ii) a “business development company” (as defined in Section 2(a)(48) of the Investment Company Act).</w:t>
      </w:r>
    </w:p>
    <w:p>
      <w:pPr>
        <w:spacing w:after="0" w:line="389"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17" w:name="page18"/>
    <w:bookmarkEnd w:id="17"/>
    <w:p>
      <w:pPr>
        <w:jc w:val="both"/>
        <w:ind w:left="-489" w:firstLine="489"/>
        <w:spacing w:after="0" w:line="276" w:lineRule="auto"/>
        <w:tabs>
          <w:tab w:leader="none" w:pos="6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Except as described in the most recent Preliminary Prospectus, there are no contracts, agreements or understandings between the Company and any person granting such person the right (other than rights that have been waived in writing or otherwise satisfied)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72" w:lineRule="exact"/>
        <w:rPr>
          <w:rFonts w:ascii="Arial" w:cs="Arial" w:eastAsia="Arial" w:hAnsi="Arial"/>
          <w:sz w:val="17"/>
          <w:szCs w:val="17"/>
          <w:color w:val="auto"/>
        </w:rPr>
      </w:pPr>
    </w:p>
    <w:p>
      <w:pPr>
        <w:jc w:val="both"/>
        <w:ind w:left="-489" w:firstLine="489"/>
        <w:spacing w:after="0" w:line="264" w:lineRule="auto"/>
        <w:tabs>
          <w:tab w:leader="none" w:pos="5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Shares.</w:t>
      </w:r>
    </w:p>
    <w:p>
      <w:pPr>
        <w:spacing w:after="0" w:line="181" w:lineRule="exact"/>
        <w:rPr>
          <w:rFonts w:ascii="Arial" w:cs="Arial" w:eastAsia="Arial" w:hAnsi="Arial"/>
          <w:sz w:val="18"/>
          <w:szCs w:val="18"/>
          <w:color w:val="auto"/>
        </w:rPr>
      </w:pPr>
    </w:p>
    <w:p>
      <w:pPr>
        <w:ind w:left="-489" w:right="20" w:firstLine="489"/>
        <w:spacing w:after="0" w:line="308" w:lineRule="auto"/>
        <w:tabs>
          <w:tab w:leader="none" w:pos="6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has not sold or issued any securities that would be integrated with the offering of the Shares contemplated by this Agreement pursuant to the Securities Act, the rules and regulations thereunder or the interpretations thereof by the Commission.</w:t>
      </w:r>
    </w:p>
    <w:p>
      <w:pPr>
        <w:spacing w:after="0" w:line="146" w:lineRule="exact"/>
        <w:rPr>
          <w:rFonts w:ascii="Arial" w:cs="Arial" w:eastAsia="Arial" w:hAnsi="Arial"/>
          <w:sz w:val="17"/>
          <w:szCs w:val="17"/>
          <w:color w:val="auto"/>
        </w:rPr>
      </w:pPr>
    </w:p>
    <w:p>
      <w:pPr>
        <w:jc w:val="both"/>
        <w:ind w:left="-489" w:firstLine="489"/>
        <w:spacing w:after="0" w:line="264" w:lineRule="auto"/>
        <w:tabs>
          <w:tab w:leader="none" w:pos="6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181" w:lineRule="exact"/>
        <w:rPr>
          <w:rFonts w:ascii="Arial" w:cs="Arial" w:eastAsia="Arial" w:hAnsi="Arial"/>
          <w:sz w:val="18"/>
          <w:szCs w:val="18"/>
          <w:color w:val="auto"/>
        </w:rPr>
      </w:pPr>
    </w:p>
    <w:p>
      <w:pPr>
        <w:jc w:val="both"/>
        <w:ind w:left="-489" w:firstLine="489"/>
        <w:spacing w:after="0" w:line="297" w:lineRule="auto"/>
        <w:tabs>
          <w:tab w:leader="none" w:pos="5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Assuming the Underwriters have not offered the Shares other than in accordance with their obligations under Section 6(c) or otherwise engaged in solicitation, advertising or any other action constituting an offer to the public under the Israeli Securities Law 5728-1968, as amended, (the “</w:t>
      </w:r>
      <w:r>
        <w:rPr>
          <w:rFonts w:ascii="Arial" w:cs="Arial" w:eastAsia="Arial" w:hAnsi="Arial"/>
          <w:sz w:val="16"/>
          <w:szCs w:val="16"/>
          <w:b w:val="1"/>
          <w:bCs w:val="1"/>
          <w:i w:val="1"/>
          <w:iCs w:val="1"/>
          <w:color w:val="auto"/>
        </w:rPr>
        <w:t>Israeli Securities Law</w:t>
      </w:r>
      <w:r>
        <w:rPr>
          <w:rFonts w:ascii="Arial" w:cs="Arial" w:eastAsia="Arial" w:hAnsi="Arial"/>
          <w:sz w:val="16"/>
          <w:szCs w:val="16"/>
          <w:color w:val="auto"/>
        </w:rPr>
        <w:t>”) in Israel, the Company has not engaged in any form of solicitation, advertising or any other action constituting an offer under the under the Israeli Securities Law, and the regulations promulgated thereunder, in connection with the transactions contemplated hereby which would require the Company to publish a prospectus in the State of Israel under the laws of the State of Israel.</w:t>
      </w:r>
    </w:p>
    <w:p>
      <w:pPr>
        <w:spacing w:after="0" w:line="158" w:lineRule="exact"/>
        <w:rPr>
          <w:rFonts w:ascii="Arial" w:cs="Arial" w:eastAsia="Arial" w:hAnsi="Arial"/>
          <w:sz w:val="16"/>
          <w:szCs w:val="16"/>
          <w:color w:val="auto"/>
        </w:rPr>
      </w:pPr>
    </w:p>
    <w:p>
      <w:pPr>
        <w:ind w:left="-489" w:firstLine="489"/>
        <w:spacing w:after="0" w:line="277" w:lineRule="auto"/>
        <w:tabs>
          <w:tab w:leader="none" w:pos="6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have been approved for listing, subject to official notice of issuance and evidence of satisfactory distribution on, The NASDAQ Global Select Market.</w:t>
      </w:r>
    </w:p>
    <w:p>
      <w:pPr>
        <w:spacing w:after="0" w:line="170" w:lineRule="exact"/>
        <w:rPr>
          <w:rFonts w:ascii="Arial" w:cs="Arial" w:eastAsia="Arial" w:hAnsi="Arial"/>
          <w:sz w:val="18"/>
          <w:szCs w:val="18"/>
          <w:color w:val="auto"/>
        </w:rPr>
      </w:pPr>
    </w:p>
    <w:p>
      <w:pPr>
        <w:jc w:val="both"/>
        <w:ind w:left="-489" w:firstLine="489"/>
        <w:spacing w:after="0" w:line="259" w:lineRule="auto"/>
        <w:tabs>
          <w:tab w:leader="none" w:pos="7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not distributed and, prior to the later to occur of any Delivery Date and completion of the distribution of the Shares, will not distribute any offering material in connection with the offering and sale of the Shares other than any Preliminary Prospectus, the Prospectus, any Issuer Free Writing Prospectus to which the Representatives have consented in accordance with Section 1(k) or 6(a)(vi) and any Issuer Free Writing Prospectus set forth on Schedule VI hereto.</w:t>
      </w:r>
    </w:p>
    <w:p>
      <w:pPr>
        <w:spacing w:after="0" w:line="200" w:lineRule="exact"/>
        <w:rPr>
          <w:sz w:val="20"/>
          <w:szCs w:val="20"/>
          <w:color w:val="auto"/>
        </w:rPr>
      </w:pPr>
    </w:p>
    <w:p>
      <w:pPr>
        <w:spacing w:after="0" w:line="203"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18" w:name="page19"/>
    <w:bookmarkEnd w:id="18"/>
    <w:p>
      <w:pPr>
        <w:jc w:val="both"/>
        <w:ind w:left="4" w:firstLine="489"/>
        <w:spacing w:after="0" w:line="259" w:lineRule="auto"/>
        <w:tabs>
          <w:tab w:leader="none" w:pos="1077"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of or has received notice of any violation with respect to any Israeli, federal or state law relating to discrimination in the hiring, promotion or pay of employees, nor any applicable Israeli, federal or state wage and hour laws, nor any state law precluding the denial of credit due to the neighborhood in which a property is situated, the violation of any of which could reasonably be expected to have a Material Adverse Effect.</w:t>
      </w:r>
    </w:p>
    <w:p>
      <w:pPr>
        <w:spacing w:after="0" w:line="186" w:lineRule="exact"/>
        <w:rPr>
          <w:rFonts w:ascii="Arial" w:cs="Arial" w:eastAsia="Arial" w:hAnsi="Arial"/>
          <w:sz w:val="18"/>
          <w:szCs w:val="18"/>
          <w:color w:val="auto"/>
        </w:rPr>
      </w:pPr>
    </w:p>
    <w:p>
      <w:pPr>
        <w:jc w:val="both"/>
        <w:ind w:left="4" w:firstLine="489"/>
        <w:spacing w:after="0" w:line="288" w:lineRule="auto"/>
        <w:tabs>
          <w:tab w:leader="none" w:pos="1055" w:val="left"/>
        </w:tabs>
        <w:numPr>
          <w:ilvl w:val="1"/>
          <w:numId w:val="1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other person acting on behalf of the Company or any of its subsidiaries, has in the course of its actions for, or on behalf of, the Company or any of its subsidiaries: (i) used any corporate funds for any unlawful contribution, gift, entertainment or other unlawful expense relating to political activity;</w:t>
      </w:r>
    </w:p>
    <w:p>
      <w:pPr>
        <w:jc w:val="both"/>
        <w:ind w:left="4" w:hanging="4"/>
        <w:spacing w:after="0" w:line="281" w:lineRule="auto"/>
        <w:tabs>
          <w:tab w:leader="none" w:pos="2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made any direct or indirect unlawful payment to any foreign or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i w:val="1"/>
          <w:iCs w:val="1"/>
          <w:color w:val="auto"/>
        </w:rPr>
        <w:t>FCPA</w:t>
      </w:r>
      <w:r>
        <w:rPr>
          <w:rFonts w:ascii="Arial" w:cs="Arial" w:eastAsia="Arial" w:hAnsi="Arial"/>
          <w:sz w:val="16"/>
          <w:szCs w:val="16"/>
          <w:color w:val="auto"/>
        </w:rPr>
        <w:t>”)) or employee from corporate funds;</w:t>
      </w:r>
    </w:p>
    <w:p>
      <w:pPr>
        <w:spacing w:after="0" w:line="1" w:lineRule="exact"/>
        <w:rPr>
          <w:rFonts w:ascii="Arial" w:cs="Arial" w:eastAsia="Arial" w:hAnsi="Arial"/>
          <w:sz w:val="16"/>
          <w:szCs w:val="16"/>
          <w:color w:val="auto"/>
        </w:rPr>
      </w:pPr>
    </w:p>
    <w:p>
      <w:pPr>
        <w:jc w:val="both"/>
        <w:ind w:left="4" w:hanging="4"/>
        <w:spacing w:after="0" w:line="252"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FCPA, Section 291 and 291A of the Israeli Penal Law 5733-1973, the U.K. Bribery Act 2010, as amended, or any other applicable anti-bribery statute or regulation; or (iv) made any bribe, rebate, payoff, influence payment, kickback or other unlawful payment to any domestic government official, foreign official or employee; and the Company and its subsidiaries and the Company’s controlled affiliates have conducted their respective businesses in compliance with the FCPA, Sections 291 and 291A of the Israeli Penal Law 5733-1973, U.K. Bribery Act 2010, and all other applicable anti-bribery statutes and regulations, and have instituted and maintain policies and procedures designed to promote continued compliance therewith.</w:t>
      </w:r>
    </w:p>
    <w:p>
      <w:pPr>
        <w:spacing w:after="0" w:line="194" w:lineRule="exact"/>
        <w:rPr>
          <w:rFonts w:ascii="Arial" w:cs="Arial" w:eastAsia="Arial" w:hAnsi="Arial"/>
          <w:sz w:val="18"/>
          <w:szCs w:val="18"/>
          <w:color w:val="auto"/>
        </w:rPr>
      </w:pPr>
    </w:p>
    <w:p>
      <w:pPr>
        <w:jc w:val="both"/>
        <w:ind w:left="4" w:firstLine="489"/>
        <w:spacing w:after="0" w:line="273" w:lineRule="auto"/>
        <w:tabs>
          <w:tab w:leader="none" w:pos="1107"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i w:val="1"/>
          <w:i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jc w:val="both"/>
        <w:ind w:left="4" w:firstLine="489"/>
        <w:spacing w:after="0" w:line="268" w:lineRule="auto"/>
        <w:tabs>
          <w:tab w:leader="none" w:pos="1198" w:val="left"/>
        </w:tabs>
        <w:numPr>
          <w:ilvl w:val="1"/>
          <w:numId w:val="19"/>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director, officer, agent, employee or controlled affiliate of the Company or any of its subsidiaries is (i) currently subject to any sanctions administered by the Office of Foreign Assets Control of the U.S. Treasury Department (“</w:t>
      </w:r>
      <w:r>
        <w:rPr>
          <w:rFonts w:ascii="Arial" w:cs="Arial" w:eastAsia="Arial" w:hAnsi="Arial"/>
          <w:sz w:val="17"/>
          <w:szCs w:val="17"/>
          <w:b w:val="1"/>
          <w:bCs w:val="1"/>
          <w:i w:val="1"/>
          <w:iCs w:val="1"/>
          <w:color w:val="auto"/>
        </w:rPr>
        <w:t>OFAC</w:t>
      </w:r>
      <w:r>
        <w:rPr>
          <w:rFonts w:ascii="Arial" w:cs="Arial" w:eastAsia="Arial" w:hAnsi="Arial"/>
          <w:sz w:val="17"/>
          <w:szCs w:val="17"/>
          <w:color w:val="auto"/>
        </w:rPr>
        <w:t>”), the U.S. Department of State, the United Nations Security Council (“</w:t>
      </w:r>
      <w:r>
        <w:rPr>
          <w:rFonts w:ascii="Arial" w:cs="Arial" w:eastAsia="Arial" w:hAnsi="Arial"/>
          <w:sz w:val="17"/>
          <w:szCs w:val="17"/>
          <w:b w:val="1"/>
          <w:bCs w:val="1"/>
          <w:i w:val="1"/>
          <w:iCs w:val="1"/>
          <w:color w:val="auto"/>
        </w:rPr>
        <w:t>UNSC</w:t>
      </w:r>
      <w:r>
        <w:rPr>
          <w:rFonts w:ascii="Arial" w:cs="Arial" w:eastAsia="Arial" w:hAnsi="Arial"/>
          <w:sz w:val="17"/>
          <w:szCs w:val="17"/>
          <w:color w:val="auto"/>
        </w:rPr>
        <w:t>”), the European Union (“</w:t>
      </w:r>
      <w:r>
        <w:rPr>
          <w:rFonts w:ascii="Arial" w:cs="Arial" w:eastAsia="Arial" w:hAnsi="Arial"/>
          <w:sz w:val="17"/>
          <w:szCs w:val="17"/>
          <w:b w:val="1"/>
          <w:bCs w:val="1"/>
          <w:i w:val="1"/>
          <w:iCs w:val="1"/>
          <w:color w:val="auto"/>
        </w:rPr>
        <w:t>EU</w:t>
      </w:r>
      <w:r>
        <w:rPr>
          <w:rFonts w:ascii="Arial" w:cs="Arial" w:eastAsia="Arial" w:hAnsi="Arial"/>
          <w:sz w:val="17"/>
          <w:szCs w:val="17"/>
          <w:color w:val="auto"/>
        </w:rPr>
        <w:t>”), Her Majesty’s Treasury (“</w:t>
      </w:r>
      <w:r>
        <w:rPr>
          <w:rFonts w:ascii="Arial" w:cs="Arial" w:eastAsia="Arial" w:hAnsi="Arial"/>
          <w:sz w:val="17"/>
          <w:szCs w:val="17"/>
          <w:b w:val="1"/>
          <w:bCs w:val="1"/>
          <w:i w:val="1"/>
          <w:i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i w:val="1"/>
          <w:iCs w:val="1"/>
          <w:color w:val="auto"/>
        </w:rPr>
        <w:t>Sanctions</w:t>
      </w:r>
      <w:r>
        <w:rPr>
          <w:rFonts w:ascii="Arial" w:cs="Arial" w:eastAsia="Arial" w:hAnsi="Arial"/>
          <w:sz w:val="17"/>
          <w:szCs w:val="17"/>
          <w:color w:val="auto"/>
        </w:rPr>
        <w:t>”); or (ii) located, organized or ordinarily resident in a country that is the subject of comprehensive country-wide Sanctions (including, without limitation, Cuba, Iran, North Korea, Sudan, and Syria); and the Company will not directly or indirectly use the proceeds of the offering, or lend, contribute or otherwise make available such proceeds to any subsidiary, joint venture partner or other person or entity, for the purpose of financing the activities of any person that is the target of Sanctions, or in any country or territory that currently is the subject or target of comprehensive country-wide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that at the time of the dealing or transaction is or was the subject or target of Sanctions or in any country or territory that at the time of the dealing or transaction is or was the subject or target of comprehensive Sanctions, in violation of applicable Sanctions.</w:t>
      </w:r>
    </w:p>
    <w:p>
      <w:pPr>
        <w:spacing w:after="0" w:line="200" w:lineRule="exact"/>
        <w:rPr>
          <w:sz w:val="20"/>
          <w:szCs w:val="20"/>
          <w:color w:val="auto"/>
        </w:rPr>
      </w:pPr>
    </w:p>
    <w:p>
      <w:pPr>
        <w:spacing w:after="0" w:line="204"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9" w:name="page20"/>
    <w:bookmarkEnd w:id="19"/>
    <w:p>
      <w:pPr>
        <w:ind w:firstLine="489"/>
        <w:spacing w:after="0" w:line="277" w:lineRule="auto"/>
        <w:tabs>
          <w:tab w:leader="none" w:pos="11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described in the most recent Preliminary Prospectus, no approvals are currently required in the State of Israel in order for the Company to pay dividends or other distributions declared by the Company to the holders of Underlying Securities.</w:t>
      </w:r>
    </w:p>
    <w:p>
      <w:pPr>
        <w:spacing w:after="0" w:line="170" w:lineRule="exact"/>
        <w:rPr>
          <w:rFonts w:ascii="Arial" w:cs="Arial" w:eastAsia="Arial" w:hAnsi="Arial"/>
          <w:sz w:val="18"/>
          <w:szCs w:val="18"/>
          <w:color w:val="auto"/>
        </w:rPr>
      </w:pPr>
    </w:p>
    <w:p>
      <w:pPr>
        <w:jc w:val="both"/>
        <w:ind w:firstLine="489"/>
        <w:spacing w:after="0" w:line="257" w:lineRule="auto"/>
        <w:tabs>
          <w:tab w:leader="none" w:pos="13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the qualifications and assumptions set forth in the Pricing Disclosure Package, the Registration Statement and the Prospectus, the Company does not believe it was, for its most recently completed taxable year, a “passive foreign investment company” (as defined in Section 1297 of the Code, and the regulations promulgated thereunder). Based on the Company’s current projected income, assets and activities, the Company does not expect to be classified as a “passive foreign investment company” for the taxable year starting on January 1, 2017 or for any foreseeable subsequent taxable year.</w:t>
      </w:r>
    </w:p>
    <w:p>
      <w:pPr>
        <w:spacing w:after="0" w:line="188" w:lineRule="exact"/>
        <w:rPr>
          <w:rFonts w:ascii="Arial" w:cs="Arial" w:eastAsia="Arial" w:hAnsi="Arial"/>
          <w:sz w:val="18"/>
          <w:szCs w:val="18"/>
          <w:color w:val="auto"/>
        </w:rPr>
      </w:pPr>
    </w:p>
    <w:p>
      <w:pPr>
        <w:jc w:val="both"/>
        <w:ind w:firstLine="489"/>
        <w:spacing w:after="0" w:line="286" w:lineRule="auto"/>
        <w:tabs>
          <w:tab w:leader="none" w:pos="114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Assuming that the Underwriters are not otherwise subject to taxation in the State of Israel, none of the issuance, delivery and sale of the Shares by the Company or the execution and delivery of this Agreement will be subject to any tax (including interest and penalties) imposed on the Underwriters by the State of Israel or any political subdivision thereof whether imposed directly or through withholding.</w:t>
      </w:r>
    </w:p>
    <w:p>
      <w:pPr>
        <w:spacing w:after="0" w:line="165" w:lineRule="exact"/>
        <w:rPr>
          <w:rFonts w:ascii="Arial" w:cs="Arial" w:eastAsia="Arial" w:hAnsi="Arial"/>
          <w:sz w:val="17"/>
          <w:szCs w:val="17"/>
          <w:color w:val="auto"/>
        </w:rPr>
      </w:pPr>
    </w:p>
    <w:p>
      <w:pPr>
        <w:jc w:val="both"/>
        <w:ind w:firstLine="489"/>
        <w:spacing w:after="0" w:line="264" w:lineRule="auto"/>
        <w:tabs>
          <w:tab w:leader="none" w:pos="10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the Company, any of its subsidiaries nor any of its properties or assets has any immunity from the jurisdiction of any court or from any legal process (whether through service or notice, attachment to prior judgment, attachment in aid of execution or otherwise) under the laws of the State of Israel.</w:t>
      </w:r>
    </w:p>
    <w:p>
      <w:pPr>
        <w:spacing w:after="0" w:line="181" w:lineRule="exact"/>
        <w:rPr>
          <w:rFonts w:ascii="Arial" w:cs="Arial" w:eastAsia="Arial" w:hAnsi="Arial"/>
          <w:sz w:val="18"/>
          <w:szCs w:val="18"/>
          <w:color w:val="auto"/>
        </w:rPr>
      </w:pPr>
    </w:p>
    <w:p>
      <w:pPr>
        <w:jc w:val="both"/>
        <w:ind w:firstLine="489"/>
        <w:spacing w:after="0" w:line="259" w:lineRule="auto"/>
        <w:tabs>
          <w:tab w:leader="none" w:pos="11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disclosed in the Pricing Disclosure Package and the Prospectus, for a period of twelve months prior to and including the date hereof, the Company has not offered or sold any of its securities in Israel except under the employee benefit plans, qualified share option plans or other equity compensation plans or arrangements existing on the date hereof, including the exercise of options granted under such plans, and disclosed in the Pricing Disclosure Package and the Prospectus.</w:t>
      </w:r>
    </w:p>
    <w:p>
      <w:pPr>
        <w:spacing w:after="0" w:line="186" w:lineRule="exact"/>
        <w:rPr>
          <w:rFonts w:ascii="Arial" w:cs="Arial" w:eastAsia="Arial" w:hAnsi="Arial"/>
          <w:sz w:val="18"/>
          <w:szCs w:val="18"/>
          <w:color w:val="auto"/>
        </w:rPr>
      </w:pPr>
    </w:p>
    <w:p>
      <w:pPr>
        <w:ind w:left="1100" w:hanging="611"/>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qualifies as a “foreign private issuer” within the meaning of Rule 405 under the Act.</w:t>
      </w:r>
    </w:p>
    <w:p>
      <w:pPr>
        <w:spacing w:after="0" w:line="225" w:lineRule="exact"/>
        <w:rPr>
          <w:rFonts w:ascii="Arial" w:cs="Arial" w:eastAsia="Arial" w:hAnsi="Arial"/>
          <w:sz w:val="18"/>
          <w:szCs w:val="18"/>
          <w:color w:val="auto"/>
        </w:rPr>
      </w:pPr>
    </w:p>
    <w:p>
      <w:pPr>
        <w:ind w:left="1120" w:hanging="631"/>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has duly designated Kornit Digital North America, Inc. as its authorized agent to receive service of process as set forth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Section 21.</w:t>
      </w:r>
    </w:p>
    <w:p>
      <w:pPr>
        <w:spacing w:after="0" w:line="200" w:lineRule="exact"/>
        <w:rPr>
          <w:sz w:val="20"/>
          <w:szCs w:val="20"/>
          <w:color w:val="auto"/>
        </w:rPr>
      </w:pP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0" w:name="page21"/>
    <w:bookmarkEnd w:id="20"/>
    <w:p>
      <w:pPr>
        <w:jc w:val="both"/>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pursuant to this Agreement in connection with the offering of the Shares shall be deemed a representation and warranty by the Company, as to matters covered thereby, to each Underwriter.</w:t>
      </w:r>
    </w:p>
    <w:p>
      <w:pPr>
        <w:spacing w:after="0" w:line="124" w:lineRule="exact"/>
        <w:rPr>
          <w:sz w:val="20"/>
          <w:szCs w:val="20"/>
          <w:color w:val="auto"/>
        </w:rPr>
      </w:pPr>
    </w:p>
    <w:p>
      <w:pPr>
        <w:ind w:firstLine="656"/>
        <w:spacing w:after="0" w:line="277" w:lineRule="auto"/>
        <w:tabs>
          <w:tab w:leader="none" w:pos="1247"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Warranties and Agreements of the Selling Shareholders. </w:t>
      </w:r>
      <w:r>
        <w:rPr>
          <w:rFonts w:ascii="Arial" w:cs="Arial" w:eastAsia="Arial" w:hAnsi="Arial"/>
          <w:sz w:val="18"/>
          <w:szCs w:val="18"/>
          <w:color w:val="auto"/>
        </w:rPr>
        <w:t>Each Selling Shareholder, severally and not jointly,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and agrees that:</w:t>
      </w:r>
    </w:p>
    <w:p>
      <w:pPr>
        <w:spacing w:after="0" w:line="170" w:lineRule="exact"/>
        <w:rPr>
          <w:rFonts w:ascii="Arial" w:cs="Arial" w:eastAsia="Arial" w:hAnsi="Arial"/>
          <w:sz w:val="18"/>
          <w:szCs w:val="18"/>
          <w:color w:val="auto"/>
        </w:rPr>
      </w:pPr>
    </w:p>
    <w:p>
      <w:pPr>
        <w:jc w:val="both"/>
        <w:ind w:left="660" w:firstLine="489"/>
        <w:spacing w:after="0" w:line="264" w:lineRule="auto"/>
        <w:tabs>
          <w:tab w:leader="none" w:pos="17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Neither such Selling Shareholder nor any person acting on behalf of such Selling Shareholder (other than, if applicable, the Company and the Underwriters) has made any offer relating to the Shares which would constitute a “free writing prospectus” (as defined in Rule 405 under the Securities Act).</w:t>
      </w:r>
    </w:p>
    <w:p>
      <w:pPr>
        <w:spacing w:after="0" w:line="181" w:lineRule="exact"/>
        <w:rPr>
          <w:rFonts w:ascii="Arial" w:cs="Arial" w:eastAsia="Arial" w:hAnsi="Arial"/>
          <w:sz w:val="18"/>
          <w:szCs w:val="18"/>
          <w:color w:val="auto"/>
        </w:rPr>
      </w:pPr>
    </w:p>
    <w:p>
      <w:pPr>
        <w:jc w:val="both"/>
        <w:ind w:left="660" w:firstLine="489"/>
        <w:spacing w:after="0" w:line="273" w:lineRule="auto"/>
        <w:tabs>
          <w:tab w:leader="none" w:pos="1739" w:val="left"/>
        </w:tabs>
        <w:numPr>
          <w:ilvl w:val="1"/>
          <w:numId w:val="21"/>
        </w:numPr>
        <w:rPr>
          <w:rFonts w:ascii="Arial" w:cs="Arial" w:eastAsia="Arial" w:hAnsi="Arial"/>
          <w:sz w:val="17"/>
          <w:szCs w:val="17"/>
          <w:color w:val="auto"/>
        </w:rPr>
      </w:pPr>
      <w:r>
        <w:rPr>
          <w:rFonts w:ascii="Arial" w:cs="Arial" w:eastAsia="Arial" w:hAnsi="Arial"/>
          <w:sz w:val="17"/>
          <w:szCs w:val="17"/>
          <w:color w:val="auto"/>
        </w:rPr>
        <w:t>Such Selling Shareholder has in the case of Shares that are not Future Shares, and immediately prior to any Delivery Date on which such Selling Shareholder is selling Shares hereunder, such Selling Shareholder will have, good and valid title to the Shares to be sold by such Selling Shareholder hereunder on such Delivery Date and any “security entitlement” within the meaning of Section 8-501 of the New York Uniform Commercial Code (the “</w:t>
      </w:r>
      <w:r>
        <w:rPr>
          <w:rFonts w:ascii="Arial" w:cs="Arial" w:eastAsia="Arial" w:hAnsi="Arial"/>
          <w:sz w:val="17"/>
          <w:szCs w:val="17"/>
          <w:b w:val="1"/>
          <w:bCs w:val="1"/>
          <w:i w:val="1"/>
          <w:iCs w:val="1"/>
          <w:color w:val="auto"/>
        </w:rPr>
        <w:t>UCC</w:t>
      </w:r>
      <w:r>
        <w:rPr>
          <w:rFonts w:ascii="Arial" w:cs="Arial" w:eastAsia="Arial" w:hAnsi="Arial"/>
          <w:sz w:val="17"/>
          <w:szCs w:val="17"/>
          <w:color w:val="auto"/>
        </w:rPr>
        <w:t>”) in respect thereof, free and clear of all liens, encumbrances, equities, community property rights, restrictions on transfer or claims. “Future Shares” shall be those Shares to be sold by such Selling Shareholder following the exercise of options to purchase such Shares from the Company immediately prior to the applicable Delivery Date.</w:t>
      </w:r>
    </w:p>
    <w:p>
      <w:pPr>
        <w:spacing w:after="0" w:line="178" w:lineRule="exact"/>
        <w:rPr>
          <w:rFonts w:ascii="Arial" w:cs="Arial" w:eastAsia="Arial" w:hAnsi="Arial"/>
          <w:sz w:val="17"/>
          <w:szCs w:val="17"/>
          <w:color w:val="auto"/>
        </w:rPr>
      </w:pPr>
    </w:p>
    <w:p>
      <w:pPr>
        <w:ind w:left="660" w:right="20" w:firstLine="489"/>
        <w:spacing w:after="0" w:line="277" w:lineRule="auto"/>
        <w:tabs>
          <w:tab w:leader="none" w:pos="16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obligations of such Selling Shareholder hereunder shall not be terminated by any act of such Selling Shareholder, by operation of law or the occurrence of any other event, except as otherwise provided hereunder.</w:t>
      </w:r>
    </w:p>
    <w:p>
      <w:pPr>
        <w:spacing w:after="0" w:line="170" w:lineRule="exact"/>
        <w:rPr>
          <w:rFonts w:ascii="Arial" w:cs="Arial" w:eastAsia="Arial" w:hAnsi="Arial"/>
          <w:sz w:val="18"/>
          <w:szCs w:val="18"/>
          <w:color w:val="auto"/>
        </w:rPr>
      </w:pPr>
    </w:p>
    <w:p>
      <w:pPr>
        <w:jc w:val="both"/>
        <w:ind w:left="660" w:firstLine="489"/>
        <w:spacing w:after="0" w:line="269" w:lineRule="auto"/>
        <w:tabs>
          <w:tab w:leader="none" w:pos="1726" w:val="left"/>
        </w:tabs>
        <w:numPr>
          <w:ilvl w:val="1"/>
          <w:numId w:val="21"/>
        </w:numPr>
        <w:rPr>
          <w:rFonts w:ascii="Arial" w:cs="Arial" w:eastAsia="Arial" w:hAnsi="Arial"/>
          <w:sz w:val="17"/>
          <w:szCs w:val="17"/>
          <w:color w:val="auto"/>
        </w:rPr>
      </w:pPr>
      <w:r>
        <w:rPr>
          <w:rFonts w:ascii="Arial" w:cs="Arial" w:eastAsia="Arial" w:hAnsi="Arial"/>
          <w:sz w:val="17"/>
          <w:szCs w:val="17"/>
          <w:color w:val="auto"/>
        </w:rPr>
        <w:t>Upon payment for the Shares to be sold by such Selling Shareholder, delivery of such Shares, as directed by the Underwriters, to Cede &amp; Co. (“</w:t>
      </w:r>
      <w:r>
        <w:rPr>
          <w:rFonts w:ascii="Arial" w:cs="Arial" w:eastAsia="Arial" w:hAnsi="Arial"/>
          <w:sz w:val="17"/>
          <w:szCs w:val="17"/>
          <w:b w:val="1"/>
          <w:bCs w:val="1"/>
          <w:i w:val="1"/>
          <w:iCs w:val="1"/>
          <w:color w:val="auto"/>
        </w:rPr>
        <w:t>Cede</w:t>
      </w:r>
      <w:r>
        <w:rPr>
          <w:rFonts w:ascii="Arial" w:cs="Arial" w:eastAsia="Arial" w:hAnsi="Arial"/>
          <w:sz w:val="17"/>
          <w:szCs w:val="17"/>
          <w:color w:val="auto"/>
        </w:rPr>
        <w:t>”) or such other nominee as may be designated by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registration of such Shares in the name of Cede or such other nominee and the crediting of such Shares on the books of DTC to securities accounts of the Underwriters (i) DTC will acquire good and valid title to such Shares free and clear of all liens, encumbrances, equities, community property rights, restrictions on transfer or claims, (ii) DTC shall be a “protected purchaser” of such Shares within the meaning of Section 8-303 of the UCC, (iii) under Section 8-501 of the UCC, the Underwriters will acquire a valid security entitlement in respect of such Shares, and (iv) an action based on an adverse claim to such securities entitlement, whether framed in conversion, replevin, constructive trust, equitable lien or other theory may not be asserted against the Underwriters with respect to such security entitlement. For purposes of this representation, the Selling Shareholders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left="511" w:hanging="511"/>
        <w:spacing w:after="0"/>
        <w:tabs>
          <w:tab w:leader="none" w:pos="5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91" w:hanging="491"/>
        <w:spacing w:after="0"/>
        <w:tabs>
          <w:tab w:leader="none" w:pos="4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Selling Shareholder has full right, power and authority, corporate or otherwise, to enter into this Agreement.</w:t>
      </w:r>
    </w:p>
    <w:p>
      <w:pPr>
        <w:spacing w:after="0" w:line="225" w:lineRule="exact"/>
        <w:rPr>
          <w:rFonts w:ascii="Arial" w:cs="Arial" w:eastAsia="Arial" w:hAnsi="Arial"/>
          <w:sz w:val="18"/>
          <w:szCs w:val="18"/>
          <w:color w:val="auto"/>
        </w:rPr>
      </w:pPr>
    </w:p>
    <w:p>
      <w:pPr>
        <w:ind w:left="531" w:hanging="531"/>
        <w:spacing w:after="0"/>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or on behalf of such Selling Shareholder.</w:t>
      </w:r>
    </w:p>
    <w:p>
      <w:pPr>
        <w:spacing w:after="0" w:line="225" w:lineRule="exact"/>
        <w:rPr>
          <w:rFonts w:ascii="Arial" w:cs="Arial" w:eastAsia="Arial" w:hAnsi="Arial"/>
          <w:sz w:val="18"/>
          <w:szCs w:val="18"/>
          <w:color w:val="auto"/>
        </w:rPr>
      </w:pPr>
    </w:p>
    <w:p>
      <w:pPr>
        <w:ind w:left="531" w:hanging="531"/>
        <w:spacing w:after="0"/>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89" w:firstLine="489"/>
        <w:spacing w:after="0" w:line="255" w:lineRule="auto"/>
        <w:tabs>
          <w:tab w:leader="none" w:pos="5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of the Shares to be sold by such Selling Shareholder, the execution, delivery and performance of this Agreement by such Selling Shareholder and the consummation by such Selling Shareholder of the transactions contemplated hereby do not and will not (i) conflict with or result in a breach or violation of any of the terms or provisions of, or constitute a default under, any indenture, mortgage, deed of trust, loan agreement, license, lease or other agreement or instrument to which such Selling Shareholder is a party or by which such Selling Shareholder is bound or to which any of the property or assets of such Selling Shareholder is subject, or (ii) result in any violation of any statute or any judgment, order, decree, rule or regulation of any court or governmental agency or body having jurisdiction over such Selling Shareholder or the property or assets of such Selling Shareholder.</w:t>
      </w:r>
    </w:p>
    <w:p>
      <w:pPr>
        <w:spacing w:after="0" w:line="189" w:lineRule="exact"/>
        <w:rPr>
          <w:rFonts w:ascii="Arial" w:cs="Arial" w:eastAsia="Arial" w:hAnsi="Arial"/>
          <w:sz w:val="18"/>
          <w:szCs w:val="18"/>
          <w:color w:val="auto"/>
        </w:rPr>
      </w:pPr>
    </w:p>
    <w:p>
      <w:pPr>
        <w:jc w:val="both"/>
        <w:ind w:left="-489" w:firstLine="489"/>
        <w:spacing w:after="0" w:line="254"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or registration with, any court or governmental agency or body having jurisdiction over such Selling Shareholder or the property or assets of such Selling Shareholder is required for the sale of the Shares by such Selling Shareholder, the execution, delivery and performance of this Agreement by such Selling Shareholder and the consummation by such Selling Shareholder of the transactions contemplated hereby, except for (i) the registration of the Shares under the Securities Act and such consents, approvals, authorizations, orders, filings, registrations or qualifications as may be required under the Exchange Act and applicable state or foreign securities laws in connection with the purchase and sale of the Shares by the Underwriters (including but not limited to, the approval by and rules of the FINRA and the rules of the NASDAQ Stock Market LLC) and (ii) such consents, approvals, authorizations and orders that have been already obtained.</w:t>
      </w:r>
    </w:p>
    <w:p>
      <w:pPr>
        <w:spacing w:after="0" w:line="192" w:lineRule="exact"/>
        <w:rPr>
          <w:rFonts w:ascii="Arial" w:cs="Arial" w:eastAsia="Arial" w:hAnsi="Arial"/>
          <w:sz w:val="18"/>
          <w:szCs w:val="18"/>
          <w:color w:val="auto"/>
        </w:rPr>
      </w:pPr>
    </w:p>
    <w:p>
      <w:pPr>
        <w:jc w:val="both"/>
        <w:ind w:left="-489" w:firstLine="489"/>
        <w:spacing w:after="0" w:line="273" w:lineRule="auto"/>
        <w:tabs>
          <w:tab w:leader="none" w:pos="529"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To the knowledge of such Selling Shareholder, 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representations and warranties set forth in this subsection (k) apply only to statements or omissions made in reliance upon and in conformity with information relating to such Selling Shareholder furnished in writing by or on behalf of such Selling Shareholder expressly for use in the Prospectus, it being understood that the only such information furnished by such Selling Shareholder consists of the statements contained with respect to such Selling Shareholder under the caption “Selling shareholders”.</w:t>
      </w:r>
    </w:p>
    <w:p>
      <w:pPr>
        <w:spacing w:after="0" w:line="395"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22" w:name="page23"/>
    <w:bookmarkEnd w:id="22"/>
    <w:p>
      <w:pPr>
        <w:jc w:val="both"/>
        <w:ind w:left="-489" w:firstLine="489"/>
        <w:spacing w:after="0" w:line="293" w:lineRule="auto"/>
        <w:tabs>
          <w:tab w:leader="none" w:pos="533"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To the knowledge of such Selling Shareholder, the Prospectus will not, as of its date or as of the applicable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representations and warranties set forth in this subsection (l) apply only to statements or omissions made in reliance upon and in conformity with information relating to such Selling Shareholder furnished in writing by or on behalf of such Selling Shareholder expressly for use in the Prospectus, it being understood that the only such information furnished by such Selling Shareholder consists of the statements contained with respect to such Selling Shareholder under the caption “Selling shareholders”.</w:t>
      </w:r>
    </w:p>
    <w:p>
      <w:pPr>
        <w:spacing w:after="0" w:line="164" w:lineRule="exact"/>
        <w:rPr>
          <w:rFonts w:ascii="Arial" w:cs="Arial" w:eastAsia="Arial" w:hAnsi="Arial"/>
          <w:sz w:val="16"/>
          <w:szCs w:val="16"/>
          <w:color w:val="auto"/>
        </w:rPr>
      </w:pPr>
    </w:p>
    <w:p>
      <w:pPr>
        <w:jc w:val="both"/>
        <w:ind w:left="-489" w:firstLine="489"/>
        <w:spacing w:after="0" w:line="293" w:lineRule="auto"/>
        <w:tabs>
          <w:tab w:leader="none" w:pos="6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To the knowledge of such Selling Shareholder,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representations and warranties set forth in this subsection (m) apply only to statements or omissions made in reliance upon and in conformity with information relating to such Selling Shareholder furnished in writing by or on behalf of such Selling Shareholder expressly for use in the Pricing Disclosure Package, it being understood that the only such information furnished by such Selling Shareholder consists of the statements contained with respect to such Selling Shareholder under the caption “Selling shareholders”.</w:t>
      </w:r>
    </w:p>
    <w:p>
      <w:pPr>
        <w:spacing w:after="0" w:line="164" w:lineRule="exact"/>
        <w:rPr>
          <w:rFonts w:ascii="Arial" w:cs="Arial" w:eastAsia="Arial" w:hAnsi="Arial"/>
          <w:sz w:val="16"/>
          <w:szCs w:val="16"/>
          <w:color w:val="auto"/>
        </w:rPr>
      </w:pPr>
    </w:p>
    <w:p>
      <w:pPr>
        <w:jc w:val="both"/>
        <w:ind w:left="-489" w:firstLine="489"/>
        <w:spacing w:after="0" w:line="291" w:lineRule="auto"/>
        <w:tabs>
          <w:tab w:leader="none" w:pos="6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To the knowledge of such Selling Shareholder, the Pricing Disclosure Package, when taken together with each Issuer Free Writing Prospectus listed in Schedule V hereto,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representations and warranties set forth in this subsection (n) apply only to statements or omissions made in reliance upon and in conformity with information relating to such Selling Shareholder furnished in writing by or on behalf of such Selling Shareholder expressly for use in the Pricing Disclosure Package (or any Issuer Free Writing Package), it being understood that the only such information furnished by such Selling Shareholder consists of the statements contained with respect to such Selling Shareholder under the caption “Selling shareholders”.</w:t>
      </w:r>
    </w:p>
    <w:p>
      <w:pPr>
        <w:spacing w:after="0" w:line="167" w:lineRule="exact"/>
        <w:rPr>
          <w:rFonts w:ascii="Arial" w:cs="Arial" w:eastAsia="Arial" w:hAnsi="Arial"/>
          <w:sz w:val="16"/>
          <w:szCs w:val="16"/>
          <w:color w:val="auto"/>
        </w:rPr>
      </w:pPr>
    </w:p>
    <w:p>
      <w:pPr>
        <w:ind w:left="-489" w:firstLine="489"/>
        <w:spacing w:after="0" w:line="277" w:lineRule="auto"/>
        <w:tabs>
          <w:tab w:leader="none" w:pos="5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Selling Shareholder is not prompted to sell Shares by any material non-public information concerning the Company that is not set forth in the Registration Statement, the Pricing Disclosure Package or the Prospectus.</w:t>
      </w:r>
    </w:p>
    <w:p>
      <w:pPr>
        <w:spacing w:after="0" w:line="387"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23" w:name="page24"/>
    <w:bookmarkEnd w:id="23"/>
    <w:p>
      <w:pPr>
        <w:jc w:val="both"/>
        <w:ind w:left="660" w:firstLine="489"/>
        <w:spacing w:after="0" w:line="272" w:lineRule="auto"/>
        <w:tabs>
          <w:tab w:leader="none" w:pos="16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Assuming that the Underwriters are not otherwise subject to taxation in the State of Israel, other than any withholding taxes which may be necessary pursuant to Israeli law on account of gains of the Selling Shareholders arising under clauses (1) and (2) below, no stamp or other issuance of transfer taxes or duties and no capital gains, income or other taxes are payable by or on behalf of the Underwriters, or otherwise imposed on any payments made to the Underwriters, to the State of Israel or to any political subdivision or taxing authority thereof in connection with (1) the execution, delivery or performance of this Agreement by such Selling Shareholder, or (2) the sale or delivery of the Shares to be sold by such Selling Shareholder to or for the respective accounts of the Underwriters as disclosed in the Registration Statement, the Pricing Disclosure Package and the Prospectus, and pursuant to the terms of this Agreement.</w:t>
      </w:r>
    </w:p>
    <w:p>
      <w:pPr>
        <w:spacing w:after="0" w:line="177" w:lineRule="exact"/>
        <w:rPr>
          <w:rFonts w:ascii="Arial" w:cs="Arial" w:eastAsia="Arial" w:hAnsi="Arial"/>
          <w:sz w:val="17"/>
          <w:szCs w:val="17"/>
          <w:color w:val="auto"/>
        </w:rPr>
      </w:pPr>
    </w:p>
    <w:p>
      <w:pPr>
        <w:jc w:val="both"/>
        <w:ind w:left="660" w:firstLine="489"/>
        <w:spacing w:after="0" w:line="257" w:lineRule="auto"/>
        <w:tabs>
          <w:tab w:leader="none" w:pos="18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Selling Shareholder has not taken, directly or indirectly, any action that is designed to or that has constituted or that could reasonably be expected to cause or result in the stabilization or manipulation of the price of any security of the Company in connection with the offering of the Shares. In addition, such Selling Shareholder has not engaged in any form of solicitation, advertising or any other action constituting an offer to the public under the Israeli Securities Law in connection with the transactions contemplated hereby which would require the publication of a prospectus in the State of Israel under the laws of the State of Israel.</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certificate signed by either of the Selling Shareholders and delivered to the Representatives or counsel for the Underwriters in connection with the offering of the Shares shall be deemed a representation and warranty by such Selling Shareholder, as to matters covered thereby, to each Underwriter.</w:t>
      </w:r>
    </w:p>
    <w:p>
      <w:pPr>
        <w:spacing w:after="0" w:line="147" w:lineRule="exact"/>
        <w:rPr>
          <w:sz w:val="20"/>
          <w:szCs w:val="20"/>
          <w:color w:val="auto"/>
        </w:rPr>
      </w:pPr>
    </w:p>
    <w:p>
      <w:pPr>
        <w:jc w:val="both"/>
        <w:ind w:firstLine="656"/>
        <w:spacing w:after="0" w:line="289" w:lineRule="auto"/>
        <w:tabs>
          <w:tab w:leader="none" w:pos="1193"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Purchase of the Shares by the Underwriters</w:t>
      </w:r>
      <w:r>
        <w:rPr>
          <w:rFonts w:ascii="Arial" w:cs="Arial" w:eastAsia="Arial" w:hAnsi="Arial"/>
          <w:sz w:val="16"/>
          <w:szCs w:val="16"/>
          <w:color w:val="auto"/>
        </w:rPr>
        <w:t>. On the basis of the representations, warranties and covenants contained in, and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and conditions of, this Agreement, the Company agrees to sell 2,000,000 Firm Shares to the several Underwriters and each Selling Shareholder, acting severally and not jointly, agrees to sell the number of shares of the Firm Shares set forth opposite its name in Schedule II hereto, severally and not jointly, to the several Underwriters, and each of the Underwriters, severally and not jointly, agrees to purchase the number of Firm Shares set forth opposite that Underwriter’s name in Schedule I hereto. Each Underwriter shall be obligated to purchase from the Company, and from the Selling Shareholders, acting severally and not jointly, that number of Firm Shares that represents the same proportion of the number of Firm Shares to be sold by the Company and by the Selling Shareholders as the number of Firm Shares set forth opposite the name of such Underwriter in Schedule I represents to the total number of Firm Shares to be purchased by all of the Underwriters pursuant to this Agreement. The respective purchase obligations of the Underwriters with respect to the Firm Shares shall be rounded among the Underwriters to avoid fractional shares, as the Representatives may determine.</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 Company grants to the Underwriters an option to purchase up to 300,000 additional Option Shares and the Selling Shareholders, acting severally and not jointly, grant to the Underwriters an option to purchase up to 825,000 additional Option Shares. Any such election to purchase Option Shares shall be made in proportion to the maximum number of Option Shares to be sold by the Company and the Selling Shareholders, acting severally and not jointly. Each Underwriter agrees, severally and not jointly, to purchase the number of Option Shares (subject to such adjustments to eliminate fractional shares as the Representatives may determine) that bears the same proportion to the total number of Option Shares to be sold on such Delivery Date as the number of Firm Shares set forth in Schedule I hereto opposite the name of such Underwriter bears to the total number of Firm Shares.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The purchase price payable by the Underwriters for both the Firm Shares and any Option Shares is $15.675 per share.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and the Selling Shareholders are not obligated to deliver any of the Firm Shares or Option Shares to be delivered on the applicable Delivery Date, except upon payment for all such Shares to be purchased on such Delivery Date as provided herein.</w:t>
      </w:r>
    </w:p>
    <w:p>
      <w:pPr>
        <w:spacing w:after="0" w:line="170" w:lineRule="exact"/>
        <w:rPr>
          <w:sz w:val="20"/>
          <w:szCs w:val="20"/>
          <w:color w:val="auto"/>
        </w:rPr>
      </w:pPr>
    </w:p>
    <w:p>
      <w:pPr>
        <w:ind w:right="20" w:firstLine="656"/>
        <w:spacing w:after="0" w:line="277" w:lineRule="auto"/>
        <w:tabs>
          <w:tab w:leader="none" w:pos="1112"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Offering of Shares by the Underwriters</w:t>
      </w:r>
      <w:r>
        <w:rPr>
          <w:rFonts w:ascii="Arial" w:cs="Arial" w:eastAsia="Arial" w:hAnsi="Arial"/>
          <w:sz w:val="18"/>
          <w:szCs w:val="18"/>
          <w:color w:val="auto"/>
        </w:rPr>
        <w:t>. Upon authorization by the Representatives of the release of the Firm Shares, the several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propose to offer the Firm Shares for sale upon the terms and conditions to be set forth in the Prospectus.</w:t>
      </w:r>
    </w:p>
    <w:p>
      <w:pPr>
        <w:spacing w:after="0" w:line="170" w:lineRule="exact"/>
        <w:rPr>
          <w:rFonts w:ascii="Arial" w:cs="Arial" w:eastAsia="Arial" w:hAnsi="Arial"/>
          <w:sz w:val="18"/>
          <w:szCs w:val="18"/>
          <w:color w:val="auto"/>
        </w:rPr>
      </w:pPr>
    </w:p>
    <w:p>
      <w:pPr>
        <w:jc w:val="both"/>
        <w:ind w:firstLine="656"/>
        <w:spacing w:after="0" w:line="253" w:lineRule="auto"/>
        <w:tabs>
          <w:tab w:leader="none" w:pos="1139"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Delivery of and Payment for the Shares</w:t>
      </w:r>
      <w:r>
        <w:rPr>
          <w:rFonts w:ascii="Arial" w:cs="Arial" w:eastAsia="Arial" w:hAnsi="Arial"/>
          <w:sz w:val="18"/>
          <w:szCs w:val="18"/>
          <w:color w:val="auto"/>
        </w:rPr>
        <w:t>. Delivery of and payment for the Firm Shares shall be made at 10:00 A.M., New York City time,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full business day following the date of this Agreement or at such other date or place as shall be determined by agreement between the Representatives and the Company. This date and time are sometimes referred to as the “</w:t>
      </w:r>
      <w:r>
        <w:rPr>
          <w:rFonts w:ascii="Arial" w:cs="Arial" w:eastAsia="Arial" w:hAnsi="Arial"/>
          <w:sz w:val="18"/>
          <w:szCs w:val="18"/>
          <w:b w:val="1"/>
          <w:bCs w:val="1"/>
          <w:i w:val="1"/>
          <w:iCs w:val="1"/>
          <w:color w:val="auto"/>
        </w:rPr>
        <w:t>Initial Delivery Date</w:t>
      </w:r>
      <w:r>
        <w:rPr>
          <w:rFonts w:ascii="Arial" w:cs="Arial" w:eastAsia="Arial" w:hAnsi="Arial"/>
          <w:sz w:val="18"/>
          <w:szCs w:val="18"/>
          <w:color w:val="auto"/>
        </w:rPr>
        <w:t>”. Delivery of the Firm Shares shall be made to the Representatives for the account of each Underwriter against payment by the several Underwriters through the Representatives and of the respective aggregate purchase prices of the Firm Shares being sold by the Company and the Selling Shareholders to or upon the order of the Company and the Selling Shareholders of the purchase price by wire transfer in immediately available funds to the accounts specified by the Company and the Selling Shareholders. Time shall be of the essence, and delivery at the time and place specified pursuant to this Agreement is a further condition of the obligation of each Underwriter hereunder. The Company shall deliver the Firm Shares through the facilities of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unless the Representatives shall otherwise instruct.</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options granted in Section 3 will expire 30 days after the date of this Agreement and may be exercised in whole or from time to time in part by written notice being given to the Company and the Selling Shareholders by the Representatives within such 30-day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date falls on a day that is not a business day, the options granted in Section 3 will expire on the next succeeding business day. Such notice shall set forth the aggregate number of Option Shares as to which the options are being exercised, the names in which the Option Shares are to be registered, the denominations in which the Option Shares are to be issued and the date and time, as determined by the Representatives, when the Option Shares are to be delivered;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date and time shall not be earlier than the Initial Delivery Date nor earlier than the second business day after the date on which the options shall have been exercised nor later than the fifth business day after the date on which the options shall have been exercised. Each date and time the Option Shares are delivered is sometimes referred to as an “</w:t>
      </w:r>
      <w:r>
        <w:rPr>
          <w:rFonts w:ascii="Arial" w:cs="Arial" w:eastAsia="Arial" w:hAnsi="Arial"/>
          <w:sz w:val="17"/>
          <w:szCs w:val="17"/>
          <w:b w:val="1"/>
          <w:bCs w:val="1"/>
          <w:i w:val="1"/>
          <w:iCs w:val="1"/>
          <w:color w:val="auto"/>
        </w:rPr>
        <w:t>Option Shares Delivery Date</w:t>
      </w:r>
      <w:r>
        <w:rPr>
          <w:rFonts w:ascii="Arial" w:cs="Arial" w:eastAsia="Arial" w:hAnsi="Arial"/>
          <w:sz w:val="17"/>
          <w:szCs w:val="17"/>
          <w:color w:val="auto"/>
        </w:rPr>
        <w:t>”, and the Initial Delivery Date and any Option Shares Delivery Date are sometimes each referred to as a “</w:t>
      </w:r>
      <w:r>
        <w:rPr>
          <w:rFonts w:ascii="Arial" w:cs="Arial" w:eastAsia="Arial" w:hAnsi="Arial"/>
          <w:sz w:val="17"/>
          <w:szCs w:val="17"/>
          <w:b w:val="1"/>
          <w:bCs w:val="1"/>
          <w:i w:val="1"/>
          <w:iCs w:val="1"/>
          <w:color w:val="auto"/>
        </w:rPr>
        <w:t>Delivery Date</w:t>
      </w:r>
      <w:r>
        <w:rPr>
          <w:rFonts w:ascii="Arial" w:cs="Arial" w:eastAsia="Arial" w:hAnsi="Arial"/>
          <w:sz w:val="17"/>
          <w:szCs w:val="17"/>
          <w:color w:val="auto"/>
        </w:rPr>
        <w: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648"/>
        <w:spacing w:after="0" w:line="289" w:lineRule="auto"/>
        <w:rPr>
          <w:sz w:val="20"/>
          <w:szCs w:val="20"/>
          <w:color w:val="auto"/>
        </w:rPr>
      </w:pPr>
      <w:r>
        <w:rPr>
          <w:rFonts w:ascii="Arial" w:cs="Arial" w:eastAsia="Arial" w:hAnsi="Arial"/>
          <w:sz w:val="16"/>
          <w:szCs w:val="16"/>
          <w:color w:val="auto"/>
        </w:rPr>
        <w:t>Delivery of the Option Shares by the Company and the Selling Shareholders and payment for the Option Shares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Company. On each Option Shares Delivery Date, the Company and the Selling Shareholders, acting severally and not jointly, shall deliver or cause to be delivered the Option Shares to the Representatives for the account of each Underwriter against payment by the several Underwriters through the Representatives and of the respective aggregate purchase prices of the Option Shares being sold by the Company and the Selling Shareholders to or upon the order of the Company and the Selling Shareholders of the purchase price by wire transfer in immediately available funds to the accounts specified by the Company and the Selling Shareholders. Time shall be of the essence, and delivery at the time and place specified pursuant to this Agreement is a further condition of the obligation of each Underwriter hereunder. The Company and the Selling Shareholders shall deliver the Option Shares through the facilities of DTC unless the Representatives shall otherwise instruct.</w:t>
      </w:r>
    </w:p>
    <w:p>
      <w:pPr>
        <w:spacing w:after="0" w:line="167" w:lineRule="exact"/>
        <w:rPr>
          <w:sz w:val="20"/>
          <w:szCs w:val="20"/>
          <w:color w:val="auto"/>
        </w:rPr>
      </w:pPr>
    </w:p>
    <w:p>
      <w:pPr>
        <w:ind w:left="1100" w:hanging="444"/>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Further Agreements of the Company and the Underwriters</w:t>
      </w:r>
      <w:r>
        <w:rPr>
          <w:rFonts w:ascii="Arial" w:cs="Arial" w:eastAsia="Arial" w:hAnsi="Arial"/>
          <w:sz w:val="18"/>
          <w:szCs w:val="18"/>
          <w:color w:val="auto"/>
        </w:rPr>
        <w:t>. (a) The Company agrees:</w:t>
      </w:r>
    </w:p>
    <w:p>
      <w:pPr>
        <w:spacing w:after="0" w:line="225" w:lineRule="exact"/>
        <w:rPr>
          <w:rFonts w:ascii="Arial" w:cs="Arial" w:eastAsia="Arial" w:hAnsi="Arial"/>
          <w:sz w:val="18"/>
          <w:szCs w:val="18"/>
          <w:color w:val="auto"/>
        </w:rPr>
      </w:pPr>
    </w:p>
    <w:p>
      <w:pPr>
        <w:jc w:val="both"/>
        <w:ind w:left="1140" w:firstLine="501"/>
        <w:spacing w:after="0" w:line="287" w:lineRule="auto"/>
        <w:tabs>
          <w:tab w:leader="none" w:pos="2153"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to advise the Representatives, promptly after it receives notice thereof, of the issuance by the Commission of any stop order or of any order preventing or suspending the use of the Prospectus or any Issuer Free Writing Prospectus, of the suspension of the qualification of the Shares for offering or sale in any jurisdiction, of the 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w:t>
      </w:r>
    </w:p>
    <w:p>
      <w:pPr>
        <w:spacing w:after="0" w:line="172" w:lineRule="exact"/>
        <w:rPr>
          <w:rFonts w:ascii="Arial" w:cs="Arial" w:eastAsia="Arial" w:hAnsi="Arial"/>
          <w:sz w:val="16"/>
          <w:szCs w:val="16"/>
          <w:color w:val="auto"/>
        </w:rPr>
      </w:pPr>
    </w:p>
    <w:p>
      <w:pPr>
        <w:jc w:val="both"/>
        <w:ind w:left="1140" w:firstLine="501"/>
        <w:spacing w:after="0" w:line="264" w:lineRule="auto"/>
        <w:tabs>
          <w:tab w:leader="none" w:pos="230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furnish promptly upon request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left="-60" w:firstLine="501"/>
        <w:spacing w:after="0" w:line="287" w:lineRule="auto"/>
        <w:tabs>
          <w:tab w:leader="none" w:pos="10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deliver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(C) each Issuer Free Writing Prospectus, and (D) any document incorporated by reference in any Preliminary Prospectus or the Prospectus; and, if the delivery of a prospectus is required at any time after the date hereof in connection with the offering or sale of the Shares or any other securities relating thereto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168" w:lineRule="exact"/>
        <w:rPr>
          <w:rFonts w:ascii="Arial" w:cs="Arial" w:eastAsia="Arial" w:hAnsi="Arial"/>
          <w:sz w:val="16"/>
          <w:szCs w:val="16"/>
          <w:color w:val="auto"/>
        </w:rPr>
      </w:pPr>
    </w:p>
    <w:p>
      <w:pPr>
        <w:ind w:left="-60" w:firstLine="501"/>
        <w:spacing w:after="0" w:line="308" w:lineRule="auto"/>
        <w:tabs>
          <w:tab w:leader="none" w:pos="101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file promptly with the Commission any amendment or supplement to the Registration Statement or the Prospectus that may, in the judgment of the Company or the Representatives, be required by the Securities Act or requested by the Commission.</w:t>
      </w:r>
    </w:p>
    <w:p>
      <w:pPr>
        <w:spacing w:after="0" w:line="146" w:lineRule="exact"/>
        <w:rPr>
          <w:rFonts w:ascii="Arial" w:cs="Arial" w:eastAsia="Arial" w:hAnsi="Arial"/>
          <w:sz w:val="17"/>
          <w:szCs w:val="17"/>
          <w:color w:val="auto"/>
        </w:rPr>
      </w:pPr>
    </w:p>
    <w:p>
      <w:pPr>
        <w:jc w:val="both"/>
        <w:ind w:left="-60" w:firstLine="501"/>
        <w:spacing w:after="0" w:line="259" w:lineRule="auto"/>
        <w:tabs>
          <w:tab w:leader="none" w:pos="10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Representatives and counsel for the Underwriters and not to file any such amendment or supplement to which the Representatives shall reasonably object.</w:t>
      </w:r>
    </w:p>
    <w:p>
      <w:pPr>
        <w:spacing w:after="0" w:line="186" w:lineRule="exact"/>
        <w:rPr>
          <w:rFonts w:ascii="Arial" w:cs="Arial" w:eastAsia="Arial" w:hAnsi="Arial"/>
          <w:sz w:val="18"/>
          <w:szCs w:val="18"/>
          <w:color w:val="auto"/>
        </w:rPr>
      </w:pPr>
    </w:p>
    <w:p>
      <w:pPr>
        <w:ind w:left="-60" w:firstLine="501"/>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to make any offer relating to the Shares that would constitute an Issuer Free Writing Prospectus without the prior written consent of the Representatives.</w:t>
      </w:r>
    </w:p>
    <w:p>
      <w:pPr>
        <w:spacing w:after="0" w:line="170" w:lineRule="exact"/>
        <w:rPr>
          <w:rFonts w:ascii="Arial" w:cs="Arial" w:eastAsia="Arial" w:hAnsi="Arial"/>
          <w:sz w:val="18"/>
          <w:szCs w:val="18"/>
          <w:color w:val="auto"/>
        </w:rPr>
      </w:pPr>
    </w:p>
    <w:p>
      <w:pPr>
        <w:jc w:val="both"/>
        <w:ind w:left="-60" w:firstLine="501"/>
        <w:spacing w:after="0" w:line="290" w:lineRule="auto"/>
        <w:tabs>
          <w:tab w:leader="none" w:pos="113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38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7" w:name="page28"/>
    <w:bookmarkEnd w:id="27"/>
    <w:p>
      <w:pPr>
        <w:jc w:val="both"/>
        <w:ind w:left="-60" w:firstLine="501"/>
        <w:spacing w:after="0" w:line="276" w:lineRule="auto"/>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soon as practicable after the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Representatives an earnings statement of the Company and its subsidiaries (which need not be audited) complying with Section 11(a) of the Securities Act and the rules and regulations thereunder (including, at the option of the Company, Rule 158).</w:t>
      </w:r>
    </w:p>
    <w:p>
      <w:pPr>
        <w:spacing w:after="0" w:line="172" w:lineRule="exact"/>
        <w:rPr>
          <w:rFonts w:ascii="Arial" w:cs="Arial" w:eastAsia="Arial" w:hAnsi="Arial"/>
          <w:sz w:val="17"/>
          <w:szCs w:val="17"/>
          <w:color w:val="auto"/>
        </w:rPr>
      </w:pPr>
    </w:p>
    <w:p>
      <w:pPr>
        <w:jc w:val="both"/>
        <w:ind w:left="-60" w:firstLine="501"/>
        <w:spacing w:after="0" w:line="273" w:lineRule="auto"/>
        <w:tabs>
          <w:tab w:leader="none" w:pos="1014"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Promptly from time to time to take such action as the Representatives may reasonably request to qualify the Shares for offering and sale under the securities or Blue Sky laws of Canada and such other jurisdictions as the Representatives may request and to comply with such laws so as to permit the continuance of sales and dealings therein in such jurisdictions for as long as may be necessary to complete the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178" w:lineRule="exact"/>
        <w:rPr>
          <w:rFonts w:ascii="Arial" w:cs="Arial" w:eastAsia="Arial" w:hAnsi="Arial"/>
          <w:sz w:val="17"/>
          <w:szCs w:val="17"/>
          <w:color w:val="auto"/>
        </w:rPr>
      </w:pPr>
    </w:p>
    <w:p>
      <w:pPr>
        <w:jc w:val="both"/>
        <w:ind w:left="-60" w:firstLine="501"/>
        <w:spacing w:after="0" w:line="267" w:lineRule="auto"/>
        <w:tabs>
          <w:tab w:leader="none" w:pos="1178"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a period commencing on the date hereof and ending on the 90th day after the date of the Prospectus (the “</w:t>
      </w:r>
      <w:r>
        <w:rPr>
          <w:rFonts w:ascii="Arial" w:cs="Arial" w:eastAsia="Arial" w:hAnsi="Arial"/>
          <w:sz w:val="17"/>
          <w:szCs w:val="17"/>
          <w:b w:val="1"/>
          <w:bCs w:val="1"/>
          <w:i w:val="1"/>
          <w:iCs w:val="1"/>
          <w:color w:val="auto"/>
        </w:rPr>
        <w:t>Lock-Up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not to, directly or indirectly, (A) offer for sale, sell, pledge, or otherwise dispose of (or enter into any transaction or device that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or could be expected to, result in the disposition by any person at any time in the future of) any Ordinary Shares or securities convertible into or exercisable or exchangeable for Ordinary Shares (other than (i) the Shares, (ii) Ordinary Shares or other securities issued pursuant to employee benefit plans, qualified share option plans or other employee compensation plans existing on the date hereof (“</w:t>
      </w:r>
      <w:r>
        <w:rPr>
          <w:rFonts w:ascii="Arial" w:cs="Arial" w:eastAsia="Arial" w:hAnsi="Arial"/>
          <w:sz w:val="17"/>
          <w:szCs w:val="17"/>
          <w:b w:val="1"/>
          <w:bCs w:val="1"/>
          <w:i w:val="1"/>
          <w:i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 or upon exercise of currently outstanding options, warrants or rights and (iii) Ordinary Shares or other securities issued in connection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with acquisitions, strategic partnerships or lending, leasing or other commercial transactions (including joint ventures, marketing or distribution arrangements, collaboration agreements or intellectual property license agreements) in an amount not to exceed 5% of the Company’s outstanding Ordinary Shares as of the Initial Delivery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the recipient of such Ordinary Shares or other securities executes and delivers a lock-up agreement in the form of Exhibit A hereto), or sell or grant options, rights or warrants with respect to any Ordinary Shares or securities convertible into or exchangeable for Ordinary Shares (other than the grant of options or rights pursuant to Existing Plans;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the recipient of such options or rights executes and delivers a lock-up agreement in the form of Exhibit A hereto), (B) enter into any swap or other derivatives transaction that transfers to another, in whole or in part, any of the economic benefits or risks of ownership of such Ordinary Shares, whether any such transaction described in clause (A) or (B) above is to be settled by delivery of Ordinary Shares or other securities, in cash or otherwise, (C) file or cause to be filed a registration statement, including any amendments thereto, with respect to the registration of any Ordinary Shares or securities convertible, exercisable or exchangeable into Ordinary Shares or any other securities of the Company (other than any registration statement on Form S-8), or (D) publicly disclose the intention to do any of the foregoing, in each case without the prior written consent of Barclays Capital Inc. and Citigroup Global Markets Inc., on behalf of the Underwriters, and to cause each officer, director and shareholder of the Company set forth on Schedule II hereto to furnish to the Representatives, prior to the Initial Delivery Date, a letter or letters, substantially in the form of Exhibit A hereto (the “</w:t>
      </w:r>
      <w:r>
        <w:rPr>
          <w:rFonts w:ascii="Arial" w:cs="Arial" w:eastAsia="Arial" w:hAnsi="Arial"/>
          <w:sz w:val="17"/>
          <w:szCs w:val="17"/>
          <w:b w:val="1"/>
          <w:bCs w:val="1"/>
          <w:i w:val="1"/>
          <w:iCs w:val="1"/>
          <w:color w:val="auto"/>
        </w:rPr>
        <w:t>Lock-Up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Agreements</w:t>
      </w:r>
      <w:r>
        <w:rPr>
          <w:rFonts w:ascii="Arial" w:cs="Arial" w:eastAsia="Arial" w:hAnsi="Arial"/>
          <w:sz w:val="17"/>
          <w:szCs w:val="17"/>
          <w:color w:val="auto"/>
        </w:rPr>
        <w:t>”).</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8" w:name="page29"/>
    <w:bookmarkEnd w:id="28"/>
    <w:p>
      <w:pPr>
        <w:ind w:left="1120" w:hanging="619"/>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501"/>
        <w:spacing w:after="0" w:line="277" w:lineRule="auto"/>
        <w:tabs>
          <w:tab w:leader="none" w:pos="12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being sold by the Company substantially in accordance with the description as set forth in the Prospectus under the caption “Use of Proceeds.”</w:t>
      </w:r>
    </w:p>
    <w:p>
      <w:pPr>
        <w:spacing w:after="0" w:line="170" w:lineRule="exact"/>
        <w:rPr>
          <w:rFonts w:ascii="Arial" w:cs="Arial" w:eastAsia="Arial" w:hAnsi="Arial"/>
          <w:sz w:val="18"/>
          <w:szCs w:val="18"/>
          <w:color w:val="auto"/>
        </w:rPr>
      </w:pPr>
    </w:p>
    <w:p>
      <w:pPr>
        <w:ind w:left="1140" w:hanging="639"/>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file with the Commission such information on Form 6-K or Form 20-F as may be required by Rule 463 under the Securities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jc w:val="both"/>
        <w:ind w:firstLine="501"/>
        <w:spacing w:after="0" w:line="312" w:lineRule="auto"/>
        <w:tabs>
          <w:tab w:leader="none" w:pos="11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w:t>
      </w:r>
    </w:p>
    <w:p>
      <w:pPr>
        <w:spacing w:after="0" w:line="146" w:lineRule="exact"/>
        <w:rPr>
          <w:rFonts w:ascii="Arial" w:cs="Arial" w:eastAsia="Arial" w:hAnsi="Arial"/>
          <w:sz w:val="16"/>
          <w:szCs w:val="16"/>
          <w:color w:val="auto"/>
        </w:rPr>
      </w:pPr>
    </w:p>
    <w:p>
      <w:pPr>
        <w:jc w:val="both"/>
        <w:ind w:firstLine="501"/>
        <w:spacing w:after="0" w:line="259" w:lineRule="auto"/>
        <w:tabs>
          <w:tab w:leader="none" w:pos="11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(A) the time when a prospectus relating to the offering or sale of the Shares or any other securities relating thereto is not required by the Securities Act to be delivered (whether physically or through compliance with Rule 172 under the Securities Act or any similar rule) and (B) completion of the Lock-Up Period.</w:t>
      </w:r>
    </w:p>
    <w:p>
      <w:pPr>
        <w:spacing w:after="0" w:line="186" w:lineRule="exact"/>
        <w:rPr>
          <w:rFonts w:ascii="Arial" w:cs="Arial" w:eastAsia="Arial" w:hAnsi="Arial"/>
          <w:sz w:val="18"/>
          <w:szCs w:val="18"/>
          <w:color w:val="auto"/>
        </w:rPr>
      </w:pPr>
    </w:p>
    <w:p>
      <w:pPr>
        <w:ind w:left="1120" w:hanging="619"/>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501"/>
        <w:spacing w:after="0" w:line="264" w:lineRule="auto"/>
        <w:tabs>
          <w:tab w:leader="none" w:pos="12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81" w:lineRule="exact"/>
        <w:rPr>
          <w:rFonts w:ascii="Arial" w:cs="Arial" w:eastAsia="Arial" w:hAnsi="Arial"/>
          <w:sz w:val="18"/>
          <w:szCs w:val="18"/>
          <w:color w:val="auto"/>
        </w:rPr>
      </w:pPr>
    </w:p>
    <w:p>
      <w:pPr>
        <w:ind w:firstLine="501"/>
        <w:spacing w:after="0" w:line="308" w:lineRule="auto"/>
        <w:tabs>
          <w:tab w:leader="none" w:pos="117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will do and perform all things required or necessary to be done and performed under this Agreement by it prior to each Delivery Date, and to satisfy all conditions precedent to the Underwriters’ obligations hereunder to purchase the Shares.</w:t>
      </w: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1380" w:top="908" w:right="239" w:bottom="1440" w:gutter="0" w:footer="0" w:header="0"/>
        </w:sectPr>
      </w:pPr>
    </w:p>
    <w:bookmarkStart w:id="29" w:name="page30"/>
    <w:bookmarkEnd w:id="29"/>
    <w:p>
      <w:pPr>
        <w:jc w:val="both"/>
        <w:ind w:left="4" w:firstLine="489"/>
        <w:spacing w:after="0" w:line="293" w:lineRule="auto"/>
        <w:tabs>
          <w:tab w:leader="none" w:pos="105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6"/>
          <w:szCs w:val="16"/>
          <w:b w:val="1"/>
          <w:bCs w:val="1"/>
          <w:i w:val="1"/>
          <w:iCs w:val="1"/>
          <w:color w:val="auto"/>
        </w:rPr>
        <w:t>Permitted Issuer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 no such consent shall be required with respect to any such issuer information contained in any document filed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with the Commission prior to the use of such free writing prospectus, and (ii) “issuer information”, as used in this Section 6(b), shall not be deemed to include information prepared by or on behalf of such Underwriter on the basis of or derived from issuer information.</w:t>
      </w:r>
    </w:p>
    <w:p>
      <w:pPr>
        <w:spacing w:after="0" w:line="164" w:lineRule="exact"/>
        <w:rPr>
          <w:rFonts w:ascii="Arial" w:cs="Arial" w:eastAsia="Arial" w:hAnsi="Arial"/>
          <w:sz w:val="16"/>
          <w:szCs w:val="16"/>
          <w:color w:val="auto"/>
        </w:rPr>
      </w:pPr>
    </w:p>
    <w:p>
      <w:pPr>
        <w:jc w:val="both"/>
        <w:ind w:left="4" w:firstLine="489"/>
        <w:spacing w:after="0" w:line="289" w:lineRule="auto"/>
        <w:tabs>
          <w:tab w:leader="none" w:pos="101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Each Underwriter severally agrees that other than as set forth in this Section 6(c), it will not offer any Shares to offerees in Israel, other than to investors listed in the First Addendum to the Israeli Securities Law (the “</w:t>
      </w:r>
      <w:r>
        <w:rPr>
          <w:rFonts w:ascii="Arial" w:cs="Arial" w:eastAsia="Arial" w:hAnsi="Arial"/>
          <w:sz w:val="16"/>
          <w:szCs w:val="16"/>
          <w:b w:val="1"/>
          <w:bCs w:val="1"/>
          <w:color w:val="auto"/>
        </w:rPr>
        <w:t>Addendum</w:t>
      </w:r>
      <w:r>
        <w:rPr>
          <w:rFonts w:ascii="Arial" w:cs="Arial" w:eastAsia="Arial" w:hAnsi="Arial"/>
          <w:sz w:val="16"/>
          <w:szCs w:val="16"/>
          <w:color w:val="auto"/>
        </w:rPr>
        <w:t>”). The Company and the Selling Shareholders acknowledge, understand and agree that Shares may be sold in Israel only by the Underwriters and only to such Israeli investors listed in the Addendum; all of whom are to be specifically identified and approved by the Underwriters, and provided further that as a prerequisite to sale of Shares by the Underwriters to such Israeli investors, each of them shall be required to submit written confirmation to the Underwriters, the Company and the Selling Shareholders that such investor (i) falls within the scope of the Addendum; and (ii) is acquiring the Shares being offered to it for investment for its own account or, if applicable, for investment for clients who are institutional investors and in any event not as a nominee, market maker or agent and not with a view to, or for the resale in connection with, any distribution thereof. The Underwriters, the Company and the Selling Shareholders acknowledge and agree that any failure to comply with the above procedure may result in a violation of Israeli Securities Law.</w:t>
      </w:r>
    </w:p>
    <w:p>
      <w:pPr>
        <w:spacing w:after="0" w:line="166" w:lineRule="exact"/>
        <w:rPr>
          <w:rFonts w:ascii="Arial" w:cs="Arial" w:eastAsia="Arial" w:hAnsi="Arial"/>
          <w:sz w:val="16"/>
          <w:szCs w:val="16"/>
          <w:color w:val="auto"/>
        </w:rPr>
      </w:pPr>
    </w:p>
    <w:p>
      <w:pPr>
        <w:ind w:left="444" w:hanging="444"/>
        <w:spacing w:after="0"/>
        <w:tabs>
          <w:tab w:leader="none" w:pos="44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Further Agreements of the Selling Shareholders. </w:t>
      </w:r>
      <w:r>
        <w:rPr>
          <w:rFonts w:ascii="Arial" w:cs="Arial" w:eastAsia="Arial" w:hAnsi="Arial"/>
          <w:sz w:val="18"/>
          <w:szCs w:val="18"/>
          <w:color w:val="auto"/>
        </w:rPr>
        <w:t>Each Selling Shareholder agrees:</w:t>
      </w:r>
    </w:p>
    <w:p>
      <w:pPr>
        <w:spacing w:after="0" w:line="225" w:lineRule="exact"/>
        <w:rPr>
          <w:rFonts w:ascii="Arial" w:cs="Arial" w:eastAsia="Arial" w:hAnsi="Arial"/>
          <w:sz w:val="18"/>
          <w:szCs w:val="18"/>
          <w:color w:val="auto"/>
        </w:rPr>
      </w:pPr>
    </w:p>
    <w:p>
      <w:pPr>
        <w:ind w:left="1004" w:hanging="511"/>
        <w:spacing w:after="0"/>
        <w:tabs>
          <w:tab w:leader="none" w:pos="1004" w:val="left"/>
        </w:tabs>
        <w:numPr>
          <w:ilvl w:val="1"/>
          <w:numId w:val="32"/>
        </w:numPr>
        <w:rPr>
          <w:rFonts w:ascii="Arial" w:cs="Arial" w:eastAsia="Arial" w:hAnsi="Arial"/>
          <w:sz w:val="16"/>
          <w:szCs w:val="16"/>
          <w:color w:val="auto"/>
        </w:rPr>
      </w:pPr>
      <w:r>
        <w:rPr>
          <w:rFonts w:ascii="Arial" w:cs="Arial" w:eastAsia="Arial" w:hAnsi="Arial"/>
          <w:sz w:val="16"/>
          <w:szCs w:val="16"/>
          <w:color w:val="auto"/>
        </w:rPr>
        <w:t>To execute and deliver to Barclays Capital Inc. and Citigroup Global Markets Inc. a lock-up agreement in the form of Exhibit A hereto.</w:t>
      </w:r>
    </w:p>
    <w:p>
      <w:pPr>
        <w:spacing w:after="0" w:line="248" w:lineRule="exact"/>
        <w:rPr>
          <w:rFonts w:ascii="Arial" w:cs="Arial" w:eastAsia="Arial" w:hAnsi="Arial"/>
          <w:sz w:val="16"/>
          <w:szCs w:val="16"/>
          <w:color w:val="auto"/>
        </w:rPr>
      </w:pPr>
    </w:p>
    <w:p>
      <w:pPr>
        <w:jc w:val="both"/>
        <w:ind w:left="4" w:firstLine="489"/>
        <w:spacing w:after="0" w:line="264" w:lineRule="auto"/>
        <w:tabs>
          <w:tab w:leader="none" w:pos="1049" w:val="left"/>
        </w:tabs>
        <w:numPr>
          <w:ilvl w:val="1"/>
          <w:numId w:val="32"/>
        </w:numPr>
        <w:rPr>
          <w:rFonts w:ascii="Arial" w:cs="Arial" w:eastAsia="Arial" w:hAnsi="Arial"/>
          <w:sz w:val="18"/>
          <w:szCs w:val="18"/>
          <w:color w:val="auto"/>
        </w:rPr>
      </w:pPr>
      <w:r>
        <w:rPr>
          <w:rFonts w:ascii="Arial" w:cs="Arial" w:eastAsia="Arial" w:hAnsi="Arial"/>
          <w:sz w:val="18"/>
          <w:szCs w:val="18"/>
          <w:color w:val="auto"/>
        </w:rPr>
        <w:t>Such Selling Shareholder nor any person acting on behalf of such Selling Shareholder (other than, if applicable, the Company and the Underwriters) has made any offer relating to the Shares which would constitute a “free writing prospectus” (as defined in Rule 405 under the Securities Act), relating to the Shares.</w:t>
      </w:r>
    </w:p>
    <w:p>
      <w:pPr>
        <w:spacing w:after="0" w:line="397"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0" w:name="page31"/>
    <w:bookmarkEnd w:id="30"/>
    <w:p>
      <w:pPr>
        <w:jc w:val="both"/>
        <w:ind w:left="640" w:firstLine="489"/>
        <w:spacing w:after="0" w:line="286" w:lineRule="auto"/>
        <w:tabs>
          <w:tab w:leader="none" w:pos="1856" w:val="left"/>
        </w:tabs>
        <w:numPr>
          <w:ilvl w:val="1"/>
          <w:numId w:val="33"/>
        </w:numPr>
        <w:rPr>
          <w:rFonts w:ascii="Arial" w:cs="Arial" w:eastAsia="Arial" w:hAnsi="Arial"/>
          <w:sz w:val="16"/>
          <w:szCs w:val="16"/>
          <w:color w:val="auto"/>
        </w:rPr>
      </w:pPr>
      <w:r>
        <w:rPr>
          <w:rFonts w:ascii="Arial" w:cs="Arial" w:eastAsia="Arial" w:hAnsi="Arial"/>
          <w:sz w:val="16"/>
          <w:szCs w:val="16"/>
          <w:color w:val="auto"/>
        </w:rPr>
        <w:t>To deliver to the Representatives prior to the Initial Delivery Date a properly completed and executed United States Treasury Department Form W-8 (if either of the Selling Shareholders is a non-United States person) or Form W-9 (if such Selling Shareholder is a United States person) and a Valid Certificate issued by the Israeli tax authority (the “</w:t>
      </w:r>
      <w:r>
        <w:rPr>
          <w:rFonts w:ascii="Arial" w:cs="Arial" w:eastAsia="Arial" w:hAnsi="Arial"/>
          <w:sz w:val="16"/>
          <w:szCs w:val="16"/>
          <w:b w:val="1"/>
          <w:bCs w:val="1"/>
          <w:color w:val="auto"/>
        </w:rPr>
        <w:t>ITA</w:t>
      </w:r>
      <w:r>
        <w:rPr>
          <w:rFonts w:ascii="Arial" w:cs="Arial" w:eastAsia="Arial" w:hAnsi="Arial"/>
          <w:sz w:val="16"/>
          <w:szCs w:val="16"/>
          <w:color w:val="auto"/>
        </w:rPr>
        <w:t>”), if obtained. A “Valid Certificate” shall be a valid certification or ruling issued by the ITA, (x) exempting from the duty to withhold Israeli Taxes, (y) determining the applicable rate of Israeli tax to be withheld, or</w:t>
      </w:r>
    </w:p>
    <w:p>
      <w:pPr>
        <w:spacing w:after="0" w:line="1" w:lineRule="exact"/>
        <w:rPr>
          <w:rFonts w:ascii="Arial" w:cs="Arial" w:eastAsia="Arial" w:hAnsi="Arial"/>
          <w:sz w:val="16"/>
          <w:szCs w:val="16"/>
          <w:color w:val="auto"/>
        </w:rPr>
      </w:pPr>
    </w:p>
    <w:p>
      <w:pPr>
        <w:jc w:val="both"/>
        <w:ind w:left="640" w:hanging="4"/>
        <w:spacing w:after="0" w:line="252" w:lineRule="auto"/>
        <w:tabs>
          <w:tab w:leader="none" w:pos="9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any other instructions regarding the payment or withholding. The Underwriters and/or the Representatives may, at their reasonable discretion, withhold (or not withhold) Israeli taxes in accordance with Israeli law or a Valid Certificate, if obtained, through the Company’s withholding tax file. Notwithstanding the above, all Israeli tax amounts required to be withheld under this Agreement with respect of any consideration payable to Mr. Gabi Seligsohn for Shares which are held by ESOP Management and Trust Services Ltd. (the “</w:t>
      </w:r>
      <w:r>
        <w:rPr>
          <w:rFonts w:ascii="Arial" w:cs="Arial" w:eastAsia="Arial" w:hAnsi="Arial"/>
          <w:sz w:val="18"/>
          <w:szCs w:val="18"/>
          <w:b w:val="1"/>
          <w:bCs w:val="1"/>
          <w:color w:val="auto"/>
        </w:rPr>
        <w:t>102 Trustee</w:t>
      </w:r>
      <w:r>
        <w:rPr>
          <w:rFonts w:ascii="Arial" w:cs="Arial" w:eastAsia="Arial" w:hAnsi="Arial"/>
          <w:sz w:val="18"/>
          <w:szCs w:val="18"/>
          <w:color w:val="auto"/>
        </w:rPr>
        <w:t>”), the trustee nominated by the Company as trustee for the Company’s 2012 Share Incentive Plan and are subject to tax under section 102(b)(2) of the Israeli Income Tax Ordinance (New Version), 1961, shall be withheld by the 102 Trustee, provided that the 102 Trustee will provide the Representatives with a signed 102 Trustee Consent in the form of Exhibit B hereto.</w:t>
      </w:r>
    </w:p>
    <w:p>
      <w:pPr>
        <w:spacing w:after="0" w:line="193" w:lineRule="exact"/>
        <w:rPr>
          <w:rFonts w:ascii="Arial" w:cs="Arial" w:eastAsia="Arial" w:hAnsi="Arial"/>
          <w:sz w:val="18"/>
          <w:szCs w:val="18"/>
          <w:color w:val="auto"/>
        </w:rPr>
      </w:pPr>
    </w:p>
    <w:p>
      <w:pPr>
        <w:jc w:val="both"/>
        <w:ind w:left="640" w:firstLine="489"/>
        <w:spacing w:after="0" w:line="264" w:lineRule="auto"/>
        <w:tabs>
          <w:tab w:leader="none" w:pos="16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Such Selling Shareholder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81" w:lineRule="exact"/>
        <w:rPr>
          <w:rFonts w:ascii="Arial" w:cs="Arial" w:eastAsia="Arial" w:hAnsi="Arial"/>
          <w:sz w:val="18"/>
          <w:szCs w:val="18"/>
          <w:color w:val="auto"/>
        </w:rPr>
      </w:pPr>
    </w:p>
    <w:p>
      <w:pPr>
        <w:jc w:val="both"/>
        <w:ind w:left="640" w:firstLine="489"/>
        <w:spacing w:after="0" w:line="264" w:lineRule="auto"/>
        <w:tabs>
          <w:tab w:leader="none" w:pos="1661"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Such Selling Shareholder will do and perform all things required or necessary to be done and performed under this Agreement by such Selling Shareholder prior to each Delivery Date, and to satisfy all conditions precedent to the Underwriters’ obligations hereunder to purchase the Shares.</w:t>
      </w:r>
    </w:p>
    <w:p>
      <w:pPr>
        <w:spacing w:after="0" w:line="181" w:lineRule="exact"/>
        <w:rPr>
          <w:rFonts w:ascii="Arial" w:cs="Arial" w:eastAsia="Arial" w:hAnsi="Arial"/>
          <w:sz w:val="18"/>
          <w:szCs w:val="18"/>
          <w:color w:val="auto"/>
        </w:rPr>
      </w:pPr>
    </w:p>
    <w:p>
      <w:pPr>
        <w:ind w:left="640" w:firstLine="489"/>
        <w:spacing w:after="0" w:line="277" w:lineRule="auto"/>
        <w:tabs>
          <w:tab w:leader="none" w:pos="1634"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Such Selling Shareholder acknowledges, understands and agrees that Shares may be sold in Israel only by the Underwriters and only to such Israeli investors listed in the Addendum.</w:t>
      </w:r>
    </w:p>
    <w:p>
      <w:pPr>
        <w:spacing w:after="0" w:line="170" w:lineRule="exact"/>
        <w:rPr>
          <w:sz w:val="20"/>
          <w:szCs w:val="20"/>
          <w:color w:val="auto"/>
        </w:rPr>
      </w:pPr>
    </w:p>
    <w:p>
      <w:pPr>
        <w:jc w:val="both"/>
        <w:ind w:left="-20" w:firstLine="656"/>
        <w:spacing w:after="0" w:line="284" w:lineRule="auto"/>
        <w:tabs>
          <w:tab w:leader="none" w:pos="1213"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agrees, whether or not the transactions contemplated by this Agreement are consummated or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terminated, to pay all expenses, costs, fees and taxes incident to and in connection with (a) the authorization, issuance, sale and delivery of the Shares and any stamp duties or other taxes payable in that connection, and the preparation and printing of certificates for the Shares;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or any document incorporated by reference therein, all as provided in this Agreement; (d) the production and distribution of this Agreement, any supplemental agreement among Underwriters, and any other related documents in connection with the offering, purchase, sale and delivery of the Shares; (e) any required review by the FINRA of the terms of sale of the Shares (including related fees and expenses of counsel to the Underwriters in an amount that, together with the fees and expenses of counsel to the Underwriters pursuant to clauses (h) and (g) of this Section 8 shall not exceed $15,000); (f) the listing of the Shares on The NASDAQ Global Select Market and/or any other exchange; (g) the qualification of the Shares under the securities laws of the several jurisdictions as provided in Section 6(a)(ix) and the preparation, printing and distribution of a Blue Sky Memorandum (including related fees and expenses of counsel to the Underwriters, which, together with the fees and expenses of counsel to the Underwriters pursuant to clauses (e) and (h) of this Section 8, shall not exceed $15,000); (h) the preparation, printing and distribution of one or more versions of the Preliminary Prospectus and the Prospectus for distribution in Canada, including in the form of a Canadian “wrapper” (including related fees and expenses of Canadian counsel to the Underwriters, which, together with the fees and expenses of counsel to the Underwriters pursuant to clauses (e) and (g) of this Section 8, shall not exceed $15,000); (i) the investor presentations on any “road show” or any Testing-the-Waters Communication, undertaken in connection with the marketing of the Shares, including, without limitation, expenses associated with any electronic road show, travel and lodging expenses of the representatives and officers of the Company and 50% of the cost of any aircraft chartered in connection with the road show; and (j) all other costs and expenses incident to the performance of the obligations of the Company and the Selling Shareholders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provided in this Section 8 and in Section 13, the Underwriters shall pay their own costs and expenses, including the costs and expenses of their counsel, any transfer taxes on the Shares which they may sell and the expenses of advertising any offering of the Shares made by the Underwriters, and the travel and lodging expenses of their representatives including 50% of the cost of any aircraft chartered in connection with the roadshow.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1" w:name="page32"/>
    <w:bookmarkEnd w:id="31"/>
    <w:p>
      <w:pPr>
        <w:jc w:val="both"/>
        <w:ind w:left="-20" w:firstLine="656"/>
        <w:spacing w:after="0" w:line="312" w:lineRule="auto"/>
        <w:tabs>
          <w:tab w:leader="none" w:pos="1159"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Conditions of Underwriters’ Obligations</w:t>
      </w:r>
      <w:r>
        <w:rPr>
          <w:rFonts w:ascii="Arial" w:cs="Arial" w:eastAsia="Arial" w:hAnsi="Arial"/>
          <w:sz w:val="16"/>
          <w:szCs w:val="16"/>
          <w:color w:val="auto"/>
        </w:rPr>
        <w:t>. The respective obligations of the Underwriters hereunder are subject to the accuracy, when made</w:t>
      </w:r>
      <w:r>
        <w:rPr>
          <w:rFonts w:ascii="Arial" w:cs="Arial" w:eastAsia="Arial" w:hAnsi="Arial"/>
          <w:sz w:val="16"/>
          <w:szCs w:val="16"/>
          <w:i w:val="1"/>
          <w:iCs w:val="1"/>
          <w:color w:val="auto"/>
        </w:rPr>
        <w:t xml:space="preserve"> </w:t>
      </w:r>
      <w:r>
        <w:rPr>
          <w:rFonts w:ascii="Arial" w:cs="Arial" w:eastAsia="Arial" w:hAnsi="Arial"/>
          <w:sz w:val="16"/>
          <w:szCs w:val="16"/>
          <w:color w:val="auto"/>
        </w:rPr>
        <w:t>and on each Delivery Date, of the representations and warranties of the Company and each Selling Shareholder contained herein, to the performance by the Company and each Selling Shareholder of their respective obligations hereunder, and to each of the following additional terms and conditions:</w:t>
      </w:r>
    </w:p>
    <w:p>
      <w:pPr>
        <w:spacing w:after="0" w:line="146" w:lineRule="exact"/>
        <w:rPr>
          <w:rFonts w:ascii="Arial" w:cs="Arial" w:eastAsia="Arial" w:hAnsi="Arial"/>
          <w:sz w:val="16"/>
          <w:szCs w:val="16"/>
          <w:color w:val="auto"/>
        </w:rPr>
      </w:pPr>
    </w:p>
    <w:p>
      <w:pPr>
        <w:jc w:val="both"/>
        <w:ind w:left="640" w:firstLine="489"/>
        <w:spacing w:after="0" w:line="272" w:lineRule="auto"/>
        <w:tabs>
          <w:tab w:leader="none" w:pos="1826"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Prospectus shall have been timely filed with the Commission in accordance with Section 6(a)(i).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77" w:lineRule="exact"/>
        <w:rPr>
          <w:rFonts w:ascii="Arial" w:cs="Arial" w:eastAsia="Arial" w:hAnsi="Arial"/>
          <w:sz w:val="17"/>
          <w:szCs w:val="17"/>
          <w:color w:val="auto"/>
        </w:rPr>
      </w:pPr>
    </w:p>
    <w:p>
      <w:pPr>
        <w:jc w:val="both"/>
        <w:ind w:left="640" w:firstLine="489"/>
        <w:spacing w:after="0" w:line="312" w:lineRule="auto"/>
        <w:tabs>
          <w:tab w:leader="none" w:pos="1668"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 Underwriter shall have discovered and disclosed to the Company on or prior to such Delivery Date that the Registration Statement, the Prospectus or the Pricing Disclosure Package, or any amendment or supplement thereto, contains an untrue statement of a fact which is material or omits to state a fact which is material and is required to be stated therein or is necessary to make the statements therein not misleading.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2" w:name="page33"/>
    <w:bookmarkEnd w:id="32"/>
    <w:p>
      <w:pPr>
        <w:jc w:val="both"/>
        <w:ind w:left="-489" w:firstLine="489"/>
        <w:spacing w:after="0" w:line="257" w:lineRule="auto"/>
        <w:tabs>
          <w:tab w:leader="none" w:pos="6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corporate proceedings and other legal matters incident to the authorization, form and validity of this Agreement the Shares,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and the Selling Shareholders shall have furnished to such counsel all documents and information that they may reasonably request to enable them to pass upon such matters.</w:t>
      </w:r>
    </w:p>
    <w:p>
      <w:pPr>
        <w:spacing w:after="0" w:line="188" w:lineRule="exact"/>
        <w:rPr>
          <w:rFonts w:ascii="Arial" w:cs="Arial" w:eastAsia="Arial" w:hAnsi="Arial"/>
          <w:sz w:val="18"/>
          <w:szCs w:val="18"/>
          <w:color w:val="auto"/>
        </w:rPr>
      </w:pPr>
    </w:p>
    <w:p>
      <w:pPr>
        <w:ind w:left="-489" w:firstLine="489"/>
        <w:spacing w:after="0" w:line="342" w:lineRule="auto"/>
        <w:tabs>
          <w:tab w:leader="none" w:pos="5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White &amp; Case LLP shall have furnished to the Representatives its written opinion and negative assurance letter, as U.S. counsel to the Company, addressed to the Underwriters and dated such Delivery Date, in form and substance reasonably satisfactory to the Representatives.</w:t>
      </w:r>
    </w:p>
    <w:p>
      <w:pPr>
        <w:spacing w:after="0" w:line="123" w:lineRule="exact"/>
        <w:rPr>
          <w:rFonts w:ascii="Arial" w:cs="Arial" w:eastAsia="Arial" w:hAnsi="Arial"/>
          <w:sz w:val="16"/>
          <w:szCs w:val="16"/>
          <w:color w:val="auto"/>
        </w:rPr>
      </w:pPr>
    </w:p>
    <w:p>
      <w:pPr>
        <w:jc w:val="both"/>
        <w:ind w:left="-489" w:firstLine="489"/>
        <w:spacing w:after="0" w:line="264" w:lineRule="auto"/>
        <w:tabs>
          <w:tab w:leader="none" w:pos="5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Meitar Liquornik Geva Leshem Tal shall have furnished to the Representatives its written opinion, as Israeli counsel to the Company and the Selling Shareholders, addressed to the Underwriters and dated such Delivery Date, in form and substance reasonably satisfactory to the Representatives.</w:t>
      </w:r>
    </w:p>
    <w:p>
      <w:pPr>
        <w:spacing w:after="0" w:line="181" w:lineRule="exact"/>
        <w:rPr>
          <w:rFonts w:ascii="Arial" w:cs="Arial" w:eastAsia="Arial" w:hAnsi="Arial"/>
          <w:sz w:val="18"/>
          <w:szCs w:val="18"/>
          <w:color w:val="auto"/>
        </w:rPr>
      </w:pPr>
    </w:p>
    <w:p>
      <w:pPr>
        <w:ind w:left="-489" w:right="20" w:firstLine="489"/>
        <w:spacing w:after="0" w:line="308" w:lineRule="auto"/>
        <w:tabs>
          <w:tab w:leader="none" w:pos="699"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 Ehrlich (1995) Ltd. shall have furnished to the Representatives its written opinion, as intellectual property counsel to the Company, addressed to the Underwriters and dated such Delivery Date, in form and substance reasonably satisfactory to the Representatives.</w:t>
      </w:r>
    </w:p>
    <w:p>
      <w:pPr>
        <w:spacing w:after="0" w:line="146" w:lineRule="exact"/>
        <w:rPr>
          <w:rFonts w:ascii="Arial" w:cs="Arial" w:eastAsia="Arial" w:hAnsi="Arial"/>
          <w:sz w:val="17"/>
          <w:szCs w:val="17"/>
          <w:color w:val="auto"/>
        </w:rPr>
      </w:pPr>
    </w:p>
    <w:p>
      <w:pPr>
        <w:jc w:val="both"/>
        <w:ind w:left="-489" w:firstLine="489"/>
        <w:spacing w:after="0" w:line="257" w:lineRule="auto"/>
        <w:tabs>
          <w:tab w:leader="none" w:pos="56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Representatives shall have received from Skadden, Arps, Slate, Meagher &amp; Flom LLP, as U.S. counsel to the Underwriters, such opinion or opinions and negative assurance letter,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88" w:lineRule="exact"/>
        <w:rPr>
          <w:rFonts w:ascii="Arial" w:cs="Arial" w:eastAsia="Arial" w:hAnsi="Arial"/>
          <w:sz w:val="18"/>
          <w:szCs w:val="18"/>
          <w:color w:val="auto"/>
        </w:rPr>
      </w:pPr>
    </w:p>
    <w:p>
      <w:pPr>
        <w:jc w:val="both"/>
        <w:ind w:left="-489" w:firstLine="489"/>
        <w:spacing w:after="0" w:line="302" w:lineRule="auto"/>
        <w:tabs>
          <w:tab w:leader="none" w:pos="7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Representatives shall have received from Gross, Kleinhendler, Hodak, Halevy, Greenberg &amp; Co., as Israeli counsel to the Underwriters, such opinion or opinions,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54" w:lineRule="exact"/>
        <w:rPr>
          <w:rFonts w:ascii="Arial" w:cs="Arial" w:eastAsia="Arial" w:hAnsi="Arial"/>
          <w:sz w:val="16"/>
          <w:szCs w:val="16"/>
          <w:color w:val="auto"/>
        </w:rPr>
      </w:pPr>
    </w:p>
    <w:p>
      <w:pPr>
        <w:jc w:val="both"/>
        <w:ind w:left="-489" w:firstLine="489"/>
        <w:spacing w:after="0" w:line="254" w:lineRule="auto"/>
        <w:tabs>
          <w:tab w:leader="none" w:pos="50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the time of execution of this Agreement, the Representatives shall have received from Kost Forer Gabbay &amp; Kasierer, a member of Ernst &amp; Young Global, a letter, in form and substance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200" w:lineRule="exact"/>
        <w:rPr>
          <w:sz w:val="20"/>
          <w:szCs w:val="20"/>
          <w:color w:val="auto"/>
        </w:rPr>
      </w:pPr>
    </w:p>
    <w:p>
      <w:pPr>
        <w:spacing w:after="0" w:line="208"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33" w:name="page34"/>
    <w:bookmarkEnd w:id="33"/>
    <w:p>
      <w:pPr>
        <w:jc w:val="both"/>
        <w:ind w:left="-480" w:firstLine="489"/>
        <w:spacing w:after="0" w:line="253" w:lineRule="auto"/>
        <w:tabs>
          <w:tab w:leader="none" w:pos="5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the letter of Kost Forer Gabbay &amp; Kasierer, a member of Ernst &amp; Young Global referred to in the preceding paragraph and delivered to the Representatives concurrently with the execution of this Agreement (the “</w:t>
      </w:r>
      <w:r>
        <w:rPr>
          <w:rFonts w:ascii="Arial" w:cs="Arial" w:eastAsia="Arial" w:hAnsi="Arial"/>
          <w:sz w:val="18"/>
          <w:szCs w:val="18"/>
          <w:b w:val="1"/>
          <w:bCs w:val="1"/>
          <w:i w:val="1"/>
          <w:iCs w:val="1"/>
          <w:color w:val="auto"/>
        </w:rPr>
        <w:t>initial letter</w:t>
      </w:r>
      <w:r>
        <w:rPr>
          <w:rFonts w:ascii="Arial" w:cs="Arial" w:eastAsia="Arial" w:hAnsi="Arial"/>
          <w:sz w:val="18"/>
          <w:szCs w:val="18"/>
          <w:color w:val="auto"/>
        </w:rPr>
        <w:t>”), the Company shall have furnished to the Representatives a letter (the “</w:t>
      </w:r>
      <w:r>
        <w:rPr>
          <w:rFonts w:ascii="Arial" w:cs="Arial" w:eastAsia="Arial" w:hAnsi="Arial"/>
          <w:sz w:val="18"/>
          <w:szCs w:val="18"/>
          <w:b w:val="1"/>
          <w:bCs w:val="1"/>
          <w:i w:val="1"/>
          <w:iCs w:val="1"/>
          <w:color w:val="auto"/>
        </w:rPr>
        <w:t>bring-down letter</w:t>
      </w:r>
      <w:r>
        <w:rPr>
          <w:rFonts w:ascii="Arial" w:cs="Arial" w:eastAsia="Arial" w:hAnsi="Arial"/>
          <w:sz w:val="18"/>
          <w:szCs w:val="18"/>
          <w:color w:val="auto"/>
        </w:rPr>
        <w:t>”) of such accountants,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197" w:lineRule="exact"/>
        <w:rPr>
          <w:rFonts w:ascii="Arial" w:cs="Arial" w:eastAsia="Arial" w:hAnsi="Arial"/>
          <w:sz w:val="18"/>
          <w:szCs w:val="18"/>
          <w:color w:val="auto"/>
        </w:rPr>
      </w:pPr>
    </w:p>
    <w:p>
      <w:pPr>
        <w:ind w:left="-480" w:firstLine="489"/>
        <w:spacing w:after="0" w:line="308" w:lineRule="auto"/>
        <w:tabs>
          <w:tab w:leader="none" w:pos="5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shall have furnished to the Representatives a certificate, dated such Delivery Date, of its Chief Executive Officer and its Chief Financial Officer as to such matters as the Representatives may reasonably request, including, without limitation, a statement:</w:t>
      </w:r>
    </w:p>
    <w:p>
      <w:pPr>
        <w:spacing w:after="0" w:line="146" w:lineRule="exact"/>
        <w:rPr>
          <w:rFonts w:ascii="Arial" w:cs="Arial" w:eastAsia="Arial" w:hAnsi="Arial"/>
          <w:sz w:val="17"/>
          <w:szCs w:val="17"/>
          <w:color w:val="auto"/>
        </w:rPr>
      </w:pPr>
    </w:p>
    <w:p>
      <w:pPr>
        <w:jc w:val="both"/>
        <w:ind w:firstLine="501"/>
        <w:spacing w:after="0" w:line="264" w:lineRule="auto"/>
        <w:tabs>
          <w:tab w:leader="none" w:pos="98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181" w:lineRule="exact"/>
        <w:rPr>
          <w:rFonts w:ascii="Arial" w:cs="Arial" w:eastAsia="Arial" w:hAnsi="Arial"/>
          <w:sz w:val="18"/>
          <w:szCs w:val="18"/>
          <w:color w:val="auto"/>
        </w:rPr>
      </w:pPr>
    </w:p>
    <w:p>
      <w:pPr>
        <w:jc w:val="both"/>
        <w:ind w:firstLine="501"/>
        <w:spacing w:after="0" w:line="286" w:lineRule="auto"/>
        <w:tabs>
          <w:tab w:leader="none" w:pos="1261"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That no stop order suspending the effectiveness of the Registration Statement has been issued; and no proceedings or examination for that purpose have been instituted or, to the knowledge of such officers, threatened and the Commission shall not have notified the Company of any objection to the use of the form of the Registration Statement or any post-effective amendment thereto;</w:t>
      </w:r>
    </w:p>
    <w:p>
      <w:pPr>
        <w:spacing w:after="0" w:line="165" w:lineRule="exact"/>
        <w:rPr>
          <w:rFonts w:ascii="Arial" w:cs="Arial" w:eastAsia="Arial" w:hAnsi="Arial"/>
          <w:sz w:val="17"/>
          <w:szCs w:val="17"/>
          <w:color w:val="auto"/>
        </w:rPr>
      </w:pPr>
    </w:p>
    <w:p>
      <w:pPr>
        <w:ind w:left="1080" w:hanging="579"/>
        <w:spacing w:after="0"/>
        <w:tabs>
          <w:tab w:leader="none" w:pos="10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That they have examined the Registration Statement, the Prospectus and the Pricing Disclosure Package, and, in their opinion,</w:t>
      </w:r>
    </w:p>
    <w:p>
      <w:pPr>
        <w:spacing w:after="0" w:line="46" w:lineRule="exact"/>
        <w:rPr>
          <w:rFonts w:ascii="Arial" w:cs="Arial" w:eastAsia="Arial" w:hAnsi="Arial"/>
          <w:sz w:val="16"/>
          <w:szCs w:val="16"/>
          <w:color w:val="auto"/>
        </w:rPr>
      </w:pPr>
    </w:p>
    <w:p>
      <w:pPr>
        <w:jc w:val="both"/>
        <w:spacing w:after="0" w:line="270" w:lineRule="auto"/>
        <w:rPr>
          <w:rFonts w:ascii="Arial" w:cs="Arial" w:eastAsia="Arial" w:hAnsi="Arial"/>
          <w:sz w:val="16"/>
          <w:szCs w:val="16"/>
          <w:color w:val="auto"/>
        </w:rPr>
      </w:pPr>
      <w:r>
        <w:rPr>
          <w:rFonts w:ascii="Arial" w:cs="Arial" w:eastAsia="Arial" w:hAnsi="Arial"/>
          <w:sz w:val="17"/>
          <w:szCs w:val="17"/>
          <w:color w:val="auto"/>
        </w:rPr>
        <w:t>(A) (1) the Registration Statement, as of the Effective Date, (2) the Prospectus, as of its date and on the applicable Delivery Date, and (3) the Pricing Disclosure Package,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 and</w:t>
      </w:r>
    </w:p>
    <w:p>
      <w:pPr>
        <w:spacing w:after="0" w:line="178" w:lineRule="exact"/>
        <w:rPr>
          <w:rFonts w:ascii="Arial" w:cs="Arial" w:eastAsia="Arial" w:hAnsi="Arial"/>
          <w:sz w:val="16"/>
          <w:szCs w:val="16"/>
          <w:color w:val="auto"/>
        </w:rPr>
      </w:pPr>
    </w:p>
    <w:p>
      <w:pPr>
        <w:ind w:left="1140" w:hanging="639"/>
        <w:spacing w:after="0"/>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To the effect of Section 9(m) (provided that no representation with respect to the judgment of the Representatives need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made).</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1380" w:top="908" w:right="239" w:bottom="1440" w:gutter="0" w:footer="0" w:header="0"/>
        </w:sectPr>
      </w:pPr>
    </w:p>
    <w:bookmarkStart w:id="34" w:name="page35"/>
    <w:bookmarkEnd w:id="34"/>
    <w:p>
      <w:pPr>
        <w:jc w:val="both"/>
        <w:ind w:left="-489" w:firstLine="489"/>
        <w:spacing w:after="0" w:line="302" w:lineRule="auto"/>
        <w:tabs>
          <w:tab w:leader="none" w:pos="5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Selling Shareholders shall have furnished to the Representatives on such Delivery Date a certificate, dated such Delivery Date, signed by, or on behalf of, the Selling Shareholders stating that the representations, warranties and agreements of the Selling Shareholders contained herein are true and correct on and as of such Delivery Date and that the Selling Shareholders have complied with all its agreements contained herein and has satisfied all the conditions on its part to be performed or satisfied hereunder at or prior to such Delivery Date.</w:t>
      </w:r>
    </w:p>
    <w:p>
      <w:pPr>
        <w:spacing w:after="0" w:line="154" w:lineRule="exact"/>
        <w:rPr>
          <w:rFonts w:ascii="Arial" w:cs="Arial" w:eastAsia="Arial" w:hAnsi="Arial"/>
          <w:sz w:val="16"/>
          <w:szCs w:val="16"/>
          <w:color w:val="auto"/>
        </w:rPr>
      </w:pPr>
    </w:p>
    <w:p>
      <w:pPr>
        <w:jc w:val="both"/>
        <w:ind w:left="-489" w:firstLine="489"/>
        <w:spacing w:after="0" w:line="270" w:lineRule="auto"/>
        <w:tabs>
          <w:tab w:leader="none" w:pos="668"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shall have sustained, since the date of the latest audited financial statements included or incorporated by reference in the most recent Preliminary Prospectus, any loss or interference with its business from fire, explosion, flood or other calamity, whether or not covered by insurance, or from any labor dispute or court or governmental action, order or decree, or (ii) since such date, and except as set out in the Pricing Disclosure Package, there shall not have been any change in the share capital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in any such case described in clause (i) or (ii), is, individually or in the aggregate, in the judgment of the Representatives, so material and adverse as to make it impracticable or inadvisable to proceed with the public offering or the delivery of the Shares being delivered on such Delivery Date on the terms and in the manner contemplated in the Prospectus.</w:t>
      </w:r>
    </w:p>
    <w:p>
      <w:pPr>
        <w:spacing w:after="0" w:line="181" w:lineRule="exact"/>
        <w:rPr>
          <w:rFonts w:ascii="Arial" w:cs="Arial" w:eastAsia="Arial" w:hAnsi="Arial"/>
          <w:sz w:val="17"/>
          <w:szCs w:val="17"/>
          <w:color w:val="auto"/>
        </w:rPr>
      </w:pPr>
    </w:p>
    <w:p>
      <w:pPr>
        <w:jc w:val="both"/>
        <w:ind w:left="-489" w:firstLine="489"/>
        <w:spacing w:after="0" w:line="286" w:lineRule="auto"/>
        <w:tabs>
          <w:tab w:leader="none" w:pos="604"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or the State of Israel shall have become engaged in hostilities, there shall have been an escalation in hostilities involving the United States or the State of Israel or there shall have been a declaration of a national emergency by the United States or war by the United States or the State of Israel,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judgment of the Representatives, impracticable or inadvisable to proceed with the public offering or delivery of the Shares being delivered on such Delivery Date on the terms and in the manner contemplated in the Prospectus.</w:t>
      </w:r>
    </w:p>
    <w:p>
      <w:pPr>
        <w:spacing w:after="0" w:line="391"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35" w:name="page36"/>
    <w:bookmarkEnd w:id="35"/>
    <w:p>
      <w:pPr>
        <w:ind w:left="660" w:firstLine="489"/>
        <w:spacing w:after="0" w:line="277" w:lineRule="auto"/>
        <w:tabs>
          <w:tab w:leader="none" w:pos="16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NASDAQ Global Select Market shall have approved the Shares for listing, subject only to official notice of issuance and evidence of satisfactory distribution.</w:t>
      </w:r>
    </w:p>
    <w:p>
      <w:pPr>
        <w:spacing w:after="0" w:line="170" w:lineRule="exact"/>
        <w:rPr>
          <w:rFonts w:ascii="Arial" w:cs="Arial" w:eastAsia="Arial" w:hAnsi="Arial"/>
          <w:sz w:val="18"/>
          <w:szCs w:val="18"/>
          <w:color w:val="auto"/>
        </w:rPr>
      </w:pPr>
    </w:p>
    <w:p>
      <w:pPr>
        <w:ind w:left="660" w:firstLine="489"/>
        <w:spacing w:after="0" w:line="308" w:lineRule="auto"/>
        <w:tabs>
          <w:tab w:leader="none" w:pos="18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Lock-Up Agreements between the Representatives and the officers, directors and shareholders of the Company set forth on Schedule II, delivered to the Representatives on or before the date of this Agreement, shall be in full force and effect on such Delivery Date.</w:t>
      </w:r>
    </w:p>
    <w:p>
      <w:pPr>
        <w:spacing w:after="0" w:line="146" w:lineRule="exact"/>
        <w:rPr>
          <w:rFonts w:ascii="Arial" w:cs="Arial" w:eastAsia="Arial" w:hAnsi="Arial"/>
          <w:sz w:val="17"/>
          <w:szCs w:val="17"/>
          <w:color w:val="auto"/>
        </w:rPr>
      </w:pPr>
    </w:p>
    <w:p>
      <w:pPr>
        <w:ind w:left="660" w:right="20" w:firstLine="489"/>
        <w:spacing w:after="0" w:line="277" w:lineRule="auto"/>
        <w:tabs>
          <w:tab w:leader="none" w:pos="17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or prior to each Delivery Date, the Company shall have furnished to the Underwriters such further certificates and documents as the Representatives may reasonably request.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1200" w:hanging="544"/>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489"/>
        <w:spacing w:after="0" w:line="284" w:lineRule="auto"/>
        <w:tabs>
          <w:tab w:leader="none" w:pos="17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Company hereby agrees to indemnify and hold harmless each Underwriter, its affiliates, directors, officers, employees and agents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agent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(D) any materials or information provided to investors by, or with the approval of, the Company in connection with the marketing of the offering of the Shares, including any “road show” (as defined in Rule 433 under the Securities Act) not constituting an Issuer Free Writing Prospectus and any Written Testing-the-Waters Communication (“</w:t>
      </w:r>
      <w:r>
        <w:rPr>
          <w:rFonts w:ascii="Arial" w:cs="Arial" w:eastAsia="Arial" w:hAnsi="Arial"/>
          <w:sz w:val="16"/>
          <w:szCs w:val="16"/>
          <w:b w:val="1"/>
          <w:bCs w:val="1"/>
          <w:i w:val="1"/>
          <w:iCs w:val="1"/>
          <w:color w:val="auto"/>
        </w:rPr>
        <w:t>Marketing Materials</w:t>
      </w:r>
      <w:r>
        <w:rPr>
          <w:rFonts w:ascii="Arial" w:cs="Arial" w:eastAsia="Arial" w:hAnsi="Arial"/>
          <w:sz w:val="16"/>
          <w:szCs w:val="16"/>
          <w:color w:val="auto"/>
        </w:rPr>
        <w:t>”), or (E) any Blue Sky application or other document prepared or executed by the Company (or based upon any written information furnished by the Company specifically for use therein) specifically for the purpose of qualifying any or all of the Shares under the securities laws of any state or other jurisdiction (any such application, document or information being hereinafter called a “</w:t>
      </w:r>
      <w:r>
        <w:rPr>
          <w:rFonts w:ascii="Arial" w:cs="Arial" w:eastAsia="Arial" w:hAnsi="Arial"/>
          <w:sz w:val="16"/>
          <w:szCs w:val="16"/>
          <w:b w:val="1"/>
          <w:bCs w:val="1"/>
          <w:i w:val="1"/>
          <w:iCs w:val="1"/>
          <w:color w:val="auto"/>
        </w:rPr>
        <w:t>Blue Sky Application</w:t>
      </w:r>
      <w:r>
        <w:rPr>
          <w:rFonts w:ascii="Arial" w:cs="Arial" w:eastAsia="Arial" w:hAnsi="Arial"/>
          <w:sz w:val="16"/>
          <w:szCs w:val="16"/>
          <w:color w:val="auto"/>
        </w:rPr>
        <w:t xml:space="preserve">”) or (ii) the omission or alleged omission to state in any Preliminary Prospectus, the Registration Statement, the Prospectus, any Issuer Free Writing Prospectus or in any amendment or supplement thereto or in any Permitted Issuer Information, any Marketing Materials or any Blue Sky Application, any material fact required to be stated therein or necessary to make the statements therein not misleading, and shall reimburse each Underwriter and each such affiliate, director, officer, agent, employee or controlling person promptly upon demand for any legal or other expenses reasonably incurred by that Underwriter, affiliate, director, officer, agent,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any Marketing Materials or any Blue Sky Application,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10(f). The foregoing indemnity agreement is in addition to any liability which the Company may otherwise have to any Underwriter or to any affiliate, director, officer, agent, employee or controlling person of that Underwriter.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left="-489" w:firstLine="489"/>
        <w:spacing w:after="0" w:line="284" w:lineRule="auto"/>
        <w:tabs>
          <w:tab w:leader="none" w:pos="568"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Selling Shareholder, severally in proportion to the number of Shares to be sold by each of them hereunder, and not jointly, shall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Permitted Issuer Information, any Marketing Materials, any Blue Sky Application or any “free writing prospectus” (as defined in Rule 405 under the Securities Act) (any such “free writing prospectus” that was prepared by or on behalf of the Selling Shareholders or used or referred to by the Selling Shareholders in connection with the offering of the Shares in violation of Section 7(c) being referred to as a “</w:t>
      </w:r>
      <w:r>
        <w:rPr>
          <w:rFonts w:ascii="Arial" w:cs="Arial" w:eastAsia="Arial" w:hAnsi="Arial"/>
          <w:sz w:val="16"/>
          <w:szCs w:val="16"/>
          <w:b w:val="1"/>
          <w:bCs w:val="1"/>
          <w:i w:val="1"/>
          <w:iCs w:val="1"/>
          <w:color w:val="auto"/>
        </w:rPr>
        <w:t>Selling Shareholder Free Writing Prospectus</w:t>
      </w:r>
      <w:r>
        <w:rPr>
          <w:rFonts w:ascii="Arial" w:cs="Arial" w:eastAsia="Arial" w:hAnsi="Arial"/>
          <w:sz w:val="16"/>
          <w:szCs w:val="16"/>
          <w:color w:val="auto"/>
        </w:rPr>
        <w:t xml:space="preserve">”), or (ii) the omission or alleged omission to state in any Preliminary Prospectus, Registration Statement, the Prospectus, any Issuer Free Writing Prospectus or in any amendment or supplement thereto or in any Permitted Issuer Information, any Marketing Materials, any Blue Sky Application or any Selling Shareholder Free Writing Prospectus, any material fact required to be stated therein or necessary to make the statements therein not misleading, and shall reimburse each Underwriter, its affiliates, directors, officers and employees and each such controlling person promptly upon demand for any legal or other expenses reasonably incurred by that Underwriter, its affiliates, directors, officers and employees or controlling persons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Selling Shareholder shall be liable under this Section 10(b) only to the extent that any such loss, claim, damage, liability or action arises out of, or is based upon, any untrue statement or alleged untrue statement or omission or alleged omission made in a Preliminary Prospectus, the Registration Statement, the Prospectus, an Issuer Free Writing Prospectus or in any amendment or supplement thereto, a Permitted Issuer Information, any Marketing Materials, a Blue Sky Application or a Selling Shareholder Free Writing Prospectus in reliance upon and in conformity with information relating to such Selling Shareholder furnished in writing to the Company by or on behalf of such Selling Shareholder expressly for use in such Preliminary Prospectus, Registration Statement, Prospectus, Issuer Free Writing Prospectus or amendment or supplement thereto, Permitted Issuer Information, Marketing Materials, Blue Sky Application or Selling Shareholder Free Writing Prospectus (as applicable), it being understood that the information furnished by such Selling Shareholder consists only of the statements contained with respect to such Selling Shareholder under the caption “Selling shareholders.”</w:t>
      </w:r>
    </w:p>
    <w:p>
      <w:pPr>
        <w:spacing w:after="0" w:line="391" w:lineRule="exact"/>
        <w:rPr>
          <w:rFonts w:ascii="Arial" w:cs="Arial" w:eastAsia="Arial" w:hAnsi="Arial"/>
          <w:sz w:val="16"/>
          <w:szCs w:val="16"/>
          <w:color w:val="auto"/>
        </w:rPr>
      </w:pPr>
    </w:p>
    <w:p>
      <w:pPr>
        <w:jc w:val="both"/>
        <w:ind w:left="-489" w:firstLine="489"/>
        <w:spacing w:after="0" w:line="268" w:lineRule="auto"/>
        <w:tabs>
          <w:tab w:leader="none" w:pos="621"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Underwriter, severally and not jointly, shall indemnify and hold harmless the Company, its directors, officers, employees and agents, each Selling Shareholder, their respective directors, officers, employees and agents (as applicable), and each person, if any, who controls the Company or either Selling Shareholder (as applicable) within the meaning of Section 15 of the Securities Act or Section 20 of the Exchange Act, from and against any loss, claim, damage or liability, joint or several, or any action in respect thereof, to which the Company or either Selling Shareholder or any such director, officer, employee, agent or controlling person (as applicable)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Blue Sky Application, or (ii) the omission or alleged omission to state in any Preliminary Prospectus, the Registration Statement, the Prospectus, any Issuer Free Writing Prospectus or in any amendment or supplement thereto or in any Marketing Materials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10(f). The foregoing indemnity agreement is in addition to any liability that any Underwriter may otherwise have to the Company, either Selling Shareholder or any such director, officer, employee or controlling person.</w:t>
      </w:r>
    </w:p>
    <w:p>
      <w:pPr>
        <w:spacing w:after="0" w:line="399"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37" w:name="page38"/>
    <w:bookmarkEnd w:id="37"/>
    <w:p>
      <w:pPr>
        <w:jc w:val="both"/>
        <w:ind w:left="-489" w:firstLine="489"/>
        <w:spacing w:after="0" w:line="283" w:lineRule="auto"/>
        <w:tabs>
          <w:tab w:leader="none" w:pos="591"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10 of notice of any claim or the commencement of any action, the indemnified party shall, if a claim in respect thereof is to be made against the indemnifying party under this Section 10, notify the indemnifying party in writing of the claim or the commencement of that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to notify the indemnifying party shall not relieve it from any liability which it may have under this Section 10 except to the extent it has been materially prejudiced (through the forfeiture of substantive rights and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failure to notify the indemnifying party shall not relieve it from any liability which it may have to an indemnified party otherwise than under this Section 10.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10 for any legal or other expenses subsequently incurred by the indemnified party in connection with the defense thereof other than reasonable costs of investigation;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10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10(a) or 10(b) hereof,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have notice of the terms of such settlement at least 30 days prior to such settlement being entered into and (iii) such indemnifying party shall not have reimbursed the indemnified party in accordance with such request or disputed in good faith the indemnified party’s entitlement to such reimbursement prior to the date of such settlement.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38" w:name="page39"/>
    <w:bookmarkEnd w:id="38"/>
    <w:p>
      <w:pPr>
        <w:jc w:val="both"/>
        <w:ind w:left="-489" w:firstLine="489"/>
        <w:spacing w:after="0" w:line="284" w:lineRule="auto"/>
        <w:tabs>
          <w:tab w:leader="none" w:pos="694"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10 shall for any reason be unavailable to or insufficient to hold harmless an indemnified party under Section 10(a), 10(b) or 10(c)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each Selling Shareholder,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and each Selling Shareholder, on the one hand, and the Underwriters, on the other, with respect to the statements or omissions that resulted in such loss, claim, damage or liability, or action in respect thereof, as well as any other relevant equitable considerations. The relative benefits received by the Company and each Selling Shareholder, on the one hand, and the Underwriters, on the other, with respect to such offering shall be deemed to be in the same proportion as the total net proceeds from the offering of the Shares purchased under this Agreement (before deducting expenses) received by the Company and each Selling Shareholder, as set forth in the table on the cover page of the Prospectus, on the one hand, and the total underwriting discounts and commissions received by the Underwriters with respect to the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each Selling Shareholder or the Underwriters, the intent of the parties and their relative knowledge, access to information and opportunity to correct or prevent such statement or omission. The Company, each Selling Shareholder and the Underwriters agree that it would not be just and equitable if contributions pursuant to this Section 10(e)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10(e) shall be deemed to include, for purposes of this Section 10(e), any legal or other expenses reasonably incurred by such indemnified party in connection with investigating or defending any such action or claim. Notwithstanding the provisions of this Section 10(e),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10(e) are several in proportion to their respective underwriting obligations and not joint.</w:t>
      </w:r>
    </w:p>
    <w:p>
      <w:pPr>
        <w:spacing w:after="0" w:line="388"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1"/>
          </w:cols>
          <w:pgMar w:left="1389" w:top="908" w:right="239" w:bottom="1440" w:gutter="0" w:footer="0" w:header="0"/>
        </w:sectPr>
      </w:pPr>
    </w:p>
    <w:bookmarkStart w:id="39" w:name="page40"/>
    <w:bookmarkEnd w:id="39"/>
    <w:p>
      <w:pPr>
        <w:jc w:val="both"/>
        <w:ind w:left="4" w:firstLine="489"/>
        <w:spacing w:after="0" w:line="273" w:lineRule="auto"/>
        <w:tabs>
          <w:tab w:leader="none" w:pos="1185"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Underwriters severally confirm and the Company and the Selling Shareholders acknowledge and agree that the statements regarding delivery of the Shares by the Underwriters set forth on the cover page of, and the concession and reallowance figures and the paragraph relating to stabilization, short positions and penalty bids by the Underwriters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78" w:lineRule="exact"/>
        <w:rPr>
          <w:rFonts w:ascii="Arial" w:cs="Arial" w:eastAsia="Arial" w:hAnsi="Arial"/>
          <w:sz w:val="17"/>
          <w:szCs w:val="17"/>
          <w:color w:val="auto"/>
        </w:rPr>
      </w:pPr>
    </w:p>
    <w:p>
      <w:pPr>
        <w:jc w:val="both"/>
        <w:ind w:left="4" w:firstLine="489"/>
        <w:spacing w:after="0" w:line="286" w:lineRule="auto"/>
        <w:tabs>
          <w:tab w:leader="none" w:pos="1048"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aggregate liability of each Selling Shareholder under this Agreement and the transactions contemplated hereby shall be limited to an amount equal to the total gross proceeds from the offering of the Shares purchased under the Agreement received by such Selling Shareholder, as set forth in the table on the cover page of the Prospectus, after deduction of underwriting commissions and discounts.</w:t>
      </w:r>
    </w:p>
    <w:p>
      <w:pPr>
        <w:spacing w:after="0" w:line="165" w:lineRule="exact"/>
        <w:rPr>
          <w:rFonts w:ascii="Arial" w:cs="Arial" w:eastAsia="Arial" w:hAnsi="Arial"/>
          <w:sz w:val="17"/>
          <w:szCs w:val="17"/>
          <w:color w:val="auto"/>
        </w:rPr>
      </w:pPr>
    </w:p>
    <w:p>
      <w:pPr>
        <w:ind w:left="524" w:hanging="524"/>
        <w:spacing w:after="0"/>
        <w:tabs>
          <w:tab w:leader="none" w:pos="524"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Defaulting Underwriters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489"/>
        <w:spacing w:after="0" w:line="286" w:lineRule="auto"/>
        <w:tabs>
          <w:tab w:leader="none" w:pos="1083" w:val="left"/>
        </w:tabs>
        <w:numPr>
          <w:ilvl w:val="1"/>
          <w:numId w:val="46"/>
        </w:numPr>
        <w:rPr>
          <w:rFonts w:ascii="Arial" w:cs="Arial" w:eastAsia="Arial" w:hAnsi="Arial"/>
          <w:sz w:val="16"/>
          <w:szCs w:val="16"/>
          <w:color w:val="auto"/>
        </w:rPr>
      </w:pPr>
      <w:r>
        <w:rPr>
          <w:rFonts w:ascii="Arial" w:cs="Arial" w:eastAsia="Arial" w:hAnsi="Arial"/>
          <w:sz w:val="16"/>
          <w:szCs w:val="16"/>
          <w:color w:val="auto"/>
        </w:rPr>
        <w:t>If, on any Delivery Date, any Underwriter defaults in its obligations to purchase the Shares that it has agreed to purchase under this Agreement, the remaining non-defaulting Underwriters may in their discretion arrange for the purchase of such Shares by the non-defaulting Underwriters or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In the event that within the respective prescribed periods, the non-defaulting Underwriters notify the Company that they have so arranged for the purchase of such Shares, or the Company notifies the non-defaulting Underwriters that it has so arranged for the purchase of such Shares, either the non-defaulting Underwriters or the Company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Schedule I hereto that, pursuant to this Section 11, purchases Shares that a defaulting Underwriter agreed but failed to purchase.</w:t>
      </w:r>
    </w:p>
    <w:p>
      <w:pPr>
        <w:spacing w:after="0" w:line="391"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40" w:name="page41"/>
    <w:bookmarkEnd w:id="40"/>
    <w:p>
      <w:pPr>
        <w:jc w:val="both"/>
        <w:ind w:left="640" w:firstLine="489"/>
        <w:spacing w:after="0" w:line="272" w:lineRule="auto"/>
        <w:tabs>
          <w:tab w:leader="none" w:pos="1776"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If, after giving effect to any arrangements for the purchase of the Shares of a defaulting Underwriter or Underwriters by the non-defaulting Underwriters and the Company as provided in paragraph (a) above, the total number of Shares that remains unpurchased does not exceed one-eleventh of the total number of all the Shares, then the Company shall have the right to require each non-defaulting Underwriter to purchase the total number of Shares that such Underwriter agreed to purchase hereunder plus such Underwriter’s pro rata share (based on the total number of Shares that such Underwriter agreed to purchase hereunder) of the Shares of such defaulting Underwriter or Underwriters for which such arrangements have not been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non-defaulting Underwriters shall not be obligated to purchase more than 110% of the total number of Shares that it agreed to purchase on such Delivery Date pursuant to the terms of Section 3.</w:t>
      </w:r>
    </w:p>
    <w:p>
      <w:pPr>
        <w:spacing w:after="0" w:line="177" w:lineRule="exact"/>
        <w:rPr>
          <w:rFonts w:ascii="Arial" w:cs="Arial" w:eastAsia="Arial" w:hAnsi="Arial"/>
          <w:sz w:val="17"/>
          <w:szCs w:val="17"/>
          <w:color w:val="auto"/>
        </w:rPr>
      </w:pPr>
    </w:p>
    <w:p>
      <w:pPr>
        <w:jc w:val="both"/>
        <w:ind w:left="640" w:firstLine="489"/>
        <w:spacing w:after="0" w:line="273" w:lineRule="auto"/>
        <w:tabs>
          <w:tab w:leader="none" w:pos="1769" w:val="left"/>
        </w:tabs>
        <w:numPr>
          <w:ilvl w:val="1"/>
          <w:numId w:val="47"/>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total number of Shares that remains unpurchased exceeds one-eleventh of the total number of all the Shares,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Sections 8 and 13 and except that the provisions of Section 10 shall not terminate and shall remain in effect.</w:t>
      </w:r>
    </w:p>
    <w:p>
      <w:pPr>
        <w:spacing w:after="0" w:line="178" w:lineRule="exact"/>
        <w:rPr>
          <w:rFonts w:ascii="Arial" w:cs="Arial" w:eastAsia="Arial" w:hAnsi="Arial"/>
          <w:sz w:val="17"/>
          <w:szCs w:val="17"/>
          <w:color w:val="auto"/>
        </w:rPr>
      </w:pPr>
    </w:p>
    <w:p>
      <w:pPr>
        <w:ind w:left="640" w:firstLine="489"/>
        <w:spacing w:after="0" w:line="277" w:lineRule="auto"/>
        <w:tabs>
          <w:tab w:leader="none" w:pos="1759"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rFonts w:ascii="Arial" w:cs="Arial" w:eastAsia="Arial" w:hAnsi="Arial"/>
          <w:sz w:val="18"/>
          <w:szCs w:val="18"/>
          <w:color w:val="auto"/>
        </w:rPr>
      </w:pPr>
    </w:p>
    <w:p>
      <w:pPr>
        <w:jc w:val="both"/>
        <w:ind w:left="-20" w:firstLine="656"/>
        <w:spacing w:after="0" w:line="312" w:lineRule="auto"/>
        <w:tabs>
          <w:tab w:leader="none" w:pos="1182"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obligations of the Underwriters hereunder may be terminated by the Representatives by notice given to and received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 Selling Shareholders prior to delivery of and payment for the Firm Shares if, prior to that time, any of the events described in Sections 9(m), 9(n), and 9(o) shall have occurred or if the Underwriters shall decline to purchase the Shares for any reason permitted under this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1" w:name="page42"/>
    <w:bookmarkEnd w:id="41"/>
    <w:p>
      <w:pPr>
        <w:jc w:val="both"/>
        <w:ind w:left="-20" w:firstLine="656"/>
        <w:spacing w:after="0" w:line="270" w:lineRule="auto"/>
        <w:tabs>
          <w:tab w:leader="none" w:pos="1182"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Reimbursement of Underwriters’ Expenses</w:t>
      </w:r>
      <w:r>
        <w:rPr>
          <w:rFonts w:ascii="Arial" w:cs="Arial" w:eastAsia="Arial" w:hAnsi="Arial"/>
          <w:sz w:val="17"/>
          <w:szCs w:val="17"/>
          <w:color w:val="auto"/>
        </w:rPr>
        <w:t>. If (a) the Company shall fail to tender the Shares for delivery to the Underwriters for any reason,</w:t>
      </w:r>
      <w:r>
        <w:rPr>
          <w:rFonts w:ascii="Arial" w:cs="Arial" w:eastAsia="Arial" w:hAnsi="Arial"/>
          <w:sz w:val="17"/>
          <w:szCs w:val="17"/>
          <w:i w:val="1"/>
          <w:iCs w:val="1"/>
          <w:color w:val="auto"/>
        </w:rPr>
        <w:t xml:space="preserve"> </w:t>
      </w:r>
      <w:r>
        <w:rPr>
          <w:rFonts w:ascii="Arial" w:cs="Arial" w:eastAsia="Arial" w:hAnsi="Arial"/>
          <w:sz w:val="17"/>
          <w:szCs w:val="17"/>
          <w:color w:val="auto"/>
        </w:rPr>
        <w:t>or (b) the Underwriters shall decline to purchase the Shares for any reason permitted under this Agreement (other than due to the termination of this Agreement because of the failure of the Selling Shareholders to tender the Shares for delivery to the Underwriters), the Company will reimburse the Underwriters for all reasonable out-of-pocket expenses (including fees and disbursements of counsel for the Underwriters) incurred by the Underwriters in connection with this Agreement and the proposed purchase of the Shares, and upon demand the Company shall pay the full amount thereof to the Representatives. If either Selling Shareholder shall fail to tender the Shares for delivery to the Underwriters for any reason, such Selling Shareholder will reimburse the Underwriters for all reasonable out-of-pocket expenses (including fees and disbursements of counsel for the Underwriters) incurred by the Underwriters in connection with this Agreement and the proposed purchase of the Shares, and upon demand such Selling Shareholder shall pay the full amount thereof to the Representatives. If this Agreement is terminated pursuant to Section 11 by reason of the default of one or more Underwriters, the Company and the Selling Shareholders shall not be obligated to reimburse any defaulting Underwriter on account of those expenses.</w:t>
      </w:r>
    </w:p>
    <w:p>
      <w:pPr>
        <w:spacing w:after="0" w:line="177" w:lineRule="exact"/>
        <w:rPr>
          <w:rFonts w:ascii="Arial" w:cs="Arial" w:eastAsia="Arial" w:hAnsi="Arial"/>
          <w:sz w:val="17"/>
          <w:szCs w:val="17"/>
          <w:color w:val="auto"/>
        </w:rPr>
      </w:pPr>
    </w:p>
    <w:p>
      <w:pPr>
        <w:jc w:val="both"/>
        <w:ind w:left="-20" w:firstLine="656"/>
        <w:spacing w:after="0" w:line="288" w:lineRule="auto"/>
        <w:tabs>
          <w:tab w:leader="none" w:pos="1182"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Research Analyst Independence</w:t>
      </w:r>
      <w:r>
        <w:rPr>
          <w:rFonts w:ascii="Arial" w:cs="Arial" w:eastAsia="Arial" w:hAnsi="Arial"/>
          <w:sz w:val="16"/>
          <w:szCs w:val="16"/>
          <w:color w:val="auto"/>
        </w:rPr>
        <w:t>. The Company acknowledges that the Underwriters’ research analysts and research departments are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and the Selling Shareholders hereby waive and release, to the fullest extent permitted by law, any claims that the Company or the Selling Shareholders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or the Selling Shareholders by such Underwriters’ investment banking divisions. The Company and the Selling Shareholders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69" w:lineRule="exact"/>
        <w:rPr>
          <w:rFonts w:ascii="Arial" w:cs="Arial" w:eastAsia="Arial" w:hAnsi="Arial"/>
          <w:sz w:val="16"/>
          <w:szCs w:val="16"/>
          <w:color w:val="auto"/>
        </w:rPr>
      </w:pPr>
    </w:p>
    <w:p>
      <w:pPr>
        <w:jc w:val="both"/>
        <w:ind w:left="-20" w:firstLine="656"/>
        <w:spacing w:after="0" w:line="288" w:lineRule="auto"/>
        <w:tabs>
          <w:tab w:leader="none" w:pos="1276"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No Fiduciary Duty</w:t>
      </w:r>
      <w:r>
        <w:rPr>
          <w:rFonts w:ascii="Arial" w:cs="Arial" w:eastAsia="Arial" w:hAnsi="Arial"/>
          <w:sz w:val="16"/>
          <w:szCs w:val="16"/>
          <w:color w:val="auto"/>
        </w:rPr>
        <w:t>. The Company and the Selling Shareholders acknowledge and agree that in connection with this offering, sale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any other services 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Selling Shareholders and any other person, on the one hand, and the Underwriters, on the other, exists; (b) the Underwriters are not acting as advisors, expert or otherwise, to either the Company or the Selling Shareholders, including, without limitation, with respect to the determination of the public offering price of the Shares, and such relationship between the Company and the Selling Shareholders, on the one hand, and the Underwriters, on the other, is entirely and solely commercial, based on arms-length negotiations; (c) any duties and obligations that the Underwriters may have to the Company or the Selling Shareholders shall be limited to those duties and obligations specifically stated herein; and (d) the Underwriters and their respective affiliates may have interests that differ from those of the Company and the Selling Shareholders. The Company and the Selling Shareholders hereby waive any claims that the Company or the Selling Shareholders may have against the Underwriters with respect to any breach of fiduciary duty in connection with this offering.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2" w:name="page43"/>
    <w:bookmarkEnd w:id="42"/>
    <w:p>
      <w:pPr>
        <w:ind w:left="1200" w:hanging="544"/>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Notices, etc</w:t>
      </w:r>
      <w:r>
        <w:rPr>
          <w:rFonts w:ascii="Arial" w:cs="Arial" w:eastAsia="Arial" w:hAnsi="Arial"/>
          <w:sz w:val="18"/>
          <w:szCs w:val="18"/>
          <w:color w:val="auto"/>
        </w:rPr>
        <w:t>. All statements, requests, notices and agreements hereunder shall be in writing, and:</w:t>
      </w:r>
    </w:p>
    <w:p>
      <w:pPr>
        <w:spacing w:after="0" w:line="225" w:lineRule="exact"/>
        <w:rPr>
          <w:rFonts w:ascii="Arial" w:cs="Arial" w:eastAsia="Arial" w:hAnsi="Arial"/>
          <w:sz w:val="18"/>
          <w:szCs w:val="18"/>
          <w:color w:val="auto"/>
        </w:rPr>
      </w:pPr>
    </w:p>
    <w:p>
      <w:pPr>
        <w:jc w:val="both"/>
        <w:ind w:left="660" w:firstLine="489"/>
        <w:spacing w:after="0" w:line="302" w:lineRule="auto"/>
        <w:tabs>
          <w:tab w:leader="none" w:pos="1738"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to the Underwriters, shall be delivered or sent by mail or facsimile transmission to (i) Barclays Capital Inc., 745 Seventh Avenue, New York, New York 10019, Attention: Syndicate Registration (Fax: (646) 834-8133), with a copy, in the case of any notice pursuant to Section 10(d), to the Director of Litigation, Office of the General Counsel, Barclays Capital Inc., 745 Seventh Avenue, New York, New York 10019 and (ii) Citigroup Global Markets Inc., 388 Greenwich Street, New York, New York 10013 Attention: General Counsel, (Fax: (646) 291-1469); and</w:t>
      </w:r>
    </w:p>
    <w:p>
      <w:pPr>
        <w:spacing w:after="0" w:line="154" w:lineRule="exact"/>
        <w:rPr>
          <w:rFonts w:ascii="Arial" w:cs="Arial" w:eastAsia="Arial" w:hAnsi="Arial"/>
          <w:sz w:val="16"/>
          <w:szCs w:val="16"/>
          <w:color w:val="auto"/>
        </w:rPr>
      </w:pPr>
    </w:p>
    <w:p>
      <w:pPr>
        <w:ind w:left="660" w:firstLine="489"/>
        <w:spacing w:after="0" w:line="277" w:lineRule="auto"/>
        <w:tabs>
          <w:tab w:leader="none" w:pos="18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to the Company, shall be delivered or sent by mail or facsimile transmission to the address of the Company set forth in the Registration Statement, Attention: Gabi Seligsohn (Fax: (+972) 3-908-0280).</w:t>
      </w:r>
    </w:p>
    <w:p>
      <w:pPr>
        <w:spacing w:after="0" w:line="170" w:lineRule="exact"/>
        <w:rPr>
          <w:rFonts w:ascii="Arial" w:cs="Arial" w:eastAsia="Arial" w:hAnsi="Arial"/>
          <w:sz w:val="18"/>
          <w:szCs w:val="18"/>
          <w:color w:val="auto"/>
        </w:rPr>
      </w:pPr>
    </w:p>
    <w:p>
      <w:pPr>
        <w:ind w:left="660" w:right="20" w:firstLine="489"/>
        <w:spacing w:after="0" w:line="277" w:lineRule="auto"/>
        <w:tabs>
          <w:tab w:leader="none" w:pos="1742"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to the Selling Shareholders, shall be delivered or sent by mail or facsimile transmission to each of the Selling Shareholders at the address set forth on Schedule II hereto.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such statements, requests, notices or agreements shall take effect at the time of receipt thereof. The Company and the Selling Shareholders shall be entitled to act and rely upon any request, consent, notice or agreement given or made on behalf of the Underwriters by Barclays Capital Inc. on behalf of the Representatives.</w:t>
      </w:r>
    </w:p>
    <w:p>
      <w:pPr>
        <w:spacing w:after="0" w:line="181" w:lineRule="exact"/>
        <w:rPr>
          <w:sz w:val="20"/>
          <w:szCs w:val="20"/>
          <w:color w:val="auto"/>
        </w:rPr>
      </w:pPr>
    </w:p>
    <w:p>
      <w:pPr>
        <w:jc w:val="both"/>
        <w:ind w:firstLine="656"/>
        <w:spacing w:after="0" w:line="270" w:lineRule="auto"/>
        <w:tabs>
          <w:tab w:leader="none" w:pos="1229"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Persons Entitled to Benefit of Agreement</w:t>
      </w:r>
      <w:r>
        <w:rPr>
          <w:rFonts w:ascii="Arial" w:cs="Arial" w:eastAsia="Arial" w:hAnsi="Arial"/>
          <w:sz w:val="17"/>
          <w:szCs w:val="17"/>
          <w:color w:val="auto"/>
        </w:rPr>
        <w:t>. This Agreement shall inure to the benefit of and be binding upon the Underwriters,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the Selling Shareholders and their respective successors. This Agreement and the terms and provisions hereof are for the sole benefit of only those persons, except that (a) the representations, warranties, indemnities and agreements of the Company and the Selling Shareholders contained in this Agreement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10(c)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17, any legal or equitable right, remedy or claim under or in respect of this Agreement or any provision contained herein.</w:t>
      </w:r>
    </w:p>
    <w:p>
      <w:pPr>
        <w:spacing w:after="0" w:line="181" w:lineRule="exact"/>
        <w:rPr>
          <w:rFonts w:ascii="Arial" w:cs="Arial" w:eastAsia="Arial" w:hAnsi="Arial"/>
          <w:sz w:val="17"/>
          <w:szCs w:val="17"/>
          <w:color w:val="auto"/>
        </w:rPr>
      </w:pPr>
    </w:p>
    <w:p>
      <w:pPr>
        <w:jc w:val="both"/>
        <w:ind w:firstLine="656"/>
        <w:spacing w:after="0" w:line="259" w:lineRule="auto"/>
        <w:tabs>
          <w:tab w:leader="none" w:pos="1431"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respective indemnities, representations, warranties and agreements of the Company, the Selling Shareholders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contained in this Agreement or made by or on behalf of them, respectively, pursuant to this Agreement, shall survive the delivery of and payment for the Shares and shall remain in full force and effect, regardless of any investigation made by or on behalf of any of them or any person controlling any of them.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left="-20" w:firstLine="656"/>
        <w:spacing w:after="0" w:line="286" w:lineRule="auto"/>
        <w:tabs>
          <w:tab w:leader="none" w:pos="129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Definition of the Terms “Business Day”, “Affiliate” and “Subsidiary”</w:t>
      </w:r>
      <w:r>
        <w:rPr>
          <w:rFonts w:ascii="Arial" w:cs="Arial" w:eastAsia="Arial" w:hAnsi="Arial"/>
          <w:sz w:val="17"/>
          <w:szCs w:val="17"/>
          <w:color w:val="auto"/>
        </w:rPr>
        <w:t>. For purposes of this Agreement, (a) “</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each</w:t>
      </w:r>
      <w:r>
        <w:rPr>
          <w:rFonts w:ascii="Arial" w:cs="Arial" w:eastAsia="Arial" w:hAnsi="Arial"/>
          <w:sz w:val="17"/>
          <w:szCs w:val="17"/>
          <w:i w:val="1"/>
          <w:iCs w:val="1"/>
          <w:color w:val="auto"/>
        </w:rPr>
        <w:t xml:space="preserve"> </w:t>
      </w:r>
      <w:r>
        <w:rPr>
          <w:rFonts w:ascii="Arial" w:cs="Arial" w:eastAsia="Arial" w:hAnsi="Arial"/>
          <w:sz w:val="17"/>
          <w:szCs w:val="17"/>
          <w:color w:val="auto"/>
        </w:rPr>
        <w:t>Monday, Tuesday, Wednesday, Thursday or Friday that is not a day on which banking institutions in New York are generally authorized or obligated by law or executive order to close, and (b)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and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have the meanings set forth in Rule 405 under the Securities Act.</w:t>
      </w:r>
    </w:p>
    <w:p>
      <w:pPr>
        <w:spacing w:after="0" w:line="161" w:lineRule="exact"/>
        <w:rPr>
          <w:rFonts w:ascii="Arial" w:cs="Arial" w:eastAsia="Arial" w:hAnsi="Arial"/>
          <w:sz w:val="17"/>
          <w:szCs w:val="17"/>
          <w:color w:val="auto"/>
        </w:rPr>
      </w:pPr>
    </w:p>
    <w:p>
      <w:pPr>
        <w:ind w:left="-20" w:firstLine="656"/>
        <w:spacing w:after="0" w:line="282" w:lineRule="auto"/>
        <w:tabs>
          <w:tab w:leader="none" w:pos="1236"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Agreement shall be governed by and construed in accordance with the laws of the State of New York without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regard to conflict of laws principles (other than Section 5-1401 of the General Obligations Law)</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20" w:firstLine="656"/>
        <w:spacing w:after="0" w:line="269" w:lineRule="auto"/>
        <w:tabs>
          <w:tab w:leader="none" w:pos="1303"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Submission to Jurisdiction, Etc</w:t>
      </w:r>
      <w:r>
        <w:rPr>
          <w:rFonts w:ascii="Arial" w:cs="Arial" w:eastAsia="Arial" w:hAnsi="Arial"/>
          <w:sz w:val="17"/>
          <w:szCs w:val="17"/>
          <w:color w:val="auto"/>
        </w:rPr>
        <w:t>. The Company and the Selling Shareholders hereby submit to the non-exclusive jurisdiction of the U.S.</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and New York state courts in the Borough of Manhattan, The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 The Company and the Selling Shareholders irrevocably appoint Kornit Digital North America Inc., as its authorized agent in the Borough of Manhattan, The City of New York, New York upon which process may be served in any such suit or proceeding, and agree that service of process upon such agent, and written notice of said service to the Company or the Selling Shareholders, as applicable, by the person serving the same to the address provided in Section 16 shall be deemed in every respect effective service of process upon the Company or the Selling Shareholders, as applicable, in any such suit or proceeding. The Company and the Selling Shareholders further agree to take any and all actions as may be necessary to maintain such designation and appointment of such agent in full force and effect for a period of seven years from the date of this Agreement.</w:t>
      </w:r>
    </w:p>
    <w:p>
      <w:pPr>
        <w:spacing w:after="0" w:line="182" w:lineRule="exact"/>
        <w:rPr>
          <w:rFonts w:ascii="Arial" w:cs="Arial" w:eastAsia="Arial" w:hAnsi="Arial"/>
          <w:sz w:val="17"/>
          <w:szCs w:val="17"/>
          <w:color w:val="auto"/>
        </w:rPr>
      </w:pPr>
    </w:p>
    <w:p>
      <w:pPr>
        <w:jc w:val="both"/>
        <w:ind w:left="-20" w:firstLine="656"/>
        <w:spacing w:after="0" w:line="255" w:lineRule="auto"/>
        <w:tabs>
          <w:tab w:leader="none" w:pos="1276"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Waiver of Immunity</w:t>
      </w:r>
      <w:r>
        <w:rPr>
          <w:rFonts w:ascii="Arial" w:cs="Arial" w:eastAsia="Arial" w:hAnsi="Arial"/>
          <w:sz w:val="18"/>
          <w:szCs w:val="18"/>
          <w:color w:val="auto"/>
        </w:rPr>
        <w:t>. With respect to any suit or proceeding arising out of or relating to this Agreement or the transactions contemplated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each 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without limitation, any immunity pursuant to the U.S. Foreign Sovereign Immunities Act of 1976, as amended.</w:t>
      </w:r>
    </w:p>
    <w:p>
      <w:pPr>
        <w:spacing w:after="0" w:line="193" w:lineRule="exact"/>
        <w:rPr>
          <w:rFonts w:ascii="Arial" w:cs="Arial" w:eastAsia="Arial" w:hAnsi="Arial"/>
          <w:sz w:val="18"/>
          <w:szCs w:val="18"/>
          <w:color w:val="auto"/>
        </w:rPr>
      </w:pPr>
    </w:p>
    <w:p>
      <w:pPr>
        <w:jc w:val="both"/>
        <w:ind w:left="-20" w:firstLine="656"/>
        <w:spacing w:after="0" w:line="270" w:lineRule="auto"/>
        <w:tabs>
          <w:tab w:leader="none" w:pos="1236"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Judgment Currency</w:t>
      </w:r>
      <w:r>
        <w:rPr>
          <w:rFonts w:ascii="Arial" w:cs="Arial" w:eastAsia="Arial" w:hAnsi="Arial"/>
          <w:sz w:val="17"/>
          <w:szCs w:val="17"/>
          <w:color w:val="auto"/>
        </w:rPr>
        <w:t>. The obligation of the Company and the Selling Shareholders in respect of any sum due to any Underwriter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shall, notwithstanding any judgment in a currency other than U.S. dollars or any other applicable currency (the “</w:t>
      </w:r>
      <w:r>
        <w:rPr>
          <w:rFonts w:ascii="Arial" w:cs="Arial" w:eastAsia="Arial" w:hAnsi="Arial"/>
          <w:sz w:val="17"/>
          <w:szCs w:val="17"/>
          <w:b w:val="1"/>
          <w:bCs w:val="1"/>
          <w:i w:val="1"/>
          <w:iCs w:val="1"/>
          <w:color w:val="auto"/>
        </w:rPr>
        <w:t>Judgment Currency</w:t>
      </w:r>
      <w:r>
        <w:rPr>
          <w:rFonts w:ascii="Arial" w:cs="Arial" w:eastAsia="Arial" w:hAnsi="Arial"/>
          <w:sz w:val="17"/>
          <w:szCs w:val="17"/>
          <w:color w:val="auto"/>
        </w:rPr>
        <w:t>”), not be discharged until the first business day, following receipt by such Underwriter of any sum adjudged to be so due in the Judgment Currency, on which (and only to the extent that) such Underwriter may in accordance with normal banking procedures purchase U.S. dollars or any other applicable currency with the Judgment Currency; if the U.S. dollars or other applicable currency so purchased are less than the sum originally due to such Underwriter hereunder, the Company and the Selling Shareholders agree, as a separate obligation and notwithstanding any such judgment, to indemnify such Underwriter against such loss. If the U.S. dollars or other applicable currency so purchased are greater than the sum originally due to such Underwriter hereunder, such Underwriter agrees to pay to the Company or the Selling Shareholders, as the case may be, an amount equal to the excess of the U.S. dollars or other applicable currency so purchased over the sum originally due to such Underwriter hereunder.</w:t>
      </w:r>
    </w:p>
    <w:p>
      <w:pPr>
        <w:spacing w:after="0" w:line="181" w:lineRule="exact"/>
        <w:rPr>
          <w:rFonts w:ascii="Arial" w:cs="Arial" w:eastAsia="Arial" w:hAnsi="Arial"/>
          <w:sz w:val="17"/>
          <w:szCs w:val="17"/>
          <w:color w:val="auto"/>
        </w:rPr>
      </w:pPr>
    </w:p>
    <w:p>
      <w:pPr>
        <w:ind w:left="-20" w:firstLine="656"/>
        <w:spacing w:after="0" w:line="277" w:lineRule="auto"/>
        <w:tabs>
          <w:tab w:leader="none" w:pos="1182"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Waiver of Jury Trial</w:t>
      </w:r>
      <w:r>
        <w:rPr>
          <w:rFonts w:ascii="Arial" w:cs="Arial" w:eastAsia="Arial" w:hAnsi="Arial"/>
          <w:sz w:val="18"/>
          <w:szCs w:val="18"/>
          <w:color w:val="auto"/>
        </w:rPr>
        <w:t>. The Company and the Underwriters hereby irrevocably waive, to the fullest extent permitted by applicable law, 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left="-20" w:right="20" w:firstLine="656"/>
        <w:spacing w:after="0" w:line="308" w:lineRule="auto"/>
        <w:tabs>
          <w:tab w:leader="none" w:pos="1263"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executed in one or more counterparts and, if executed in more than one counterpart, the executed</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counterparts shall each be deemed to be an original but all such counterparts shall together constitute one and the same instrument.</w:t>
      </w:r>
    </w:p>
    <w:p>
      <w:pPr>
        <w:spacing w:after="0" w:line="146" w:lineRule="exact"/>
        <w:rPr>
          <w:rFonts w:ascii="Arial" w:cs="Arial" w:eastAsia="Arial" w:hAnsi="Arial"/>
          <w:sz w:val="17"/>
          <w:szCs w:val="17"/>
          <w:color w:val="auto"/>
        </w:rPr>
      </w:pPr>
    </w:p>
    <w:p>
      <w:pPr>
        <w:ind w:left="-20" w:firstLine="656"/>
        <w:spacing w:after="0" w:line="277" w:lineRule="auto"/>
        <w:tabs>
          <w:tab w:leader="none" w:pos="1209"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herein are inserted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4" w:name="page45"/>
    <w:bookmarkEnd w:id="44"/>
    <w:p>
      <w:pPr>
        <w:ind w:firstLine="648"/>
        <w:spacing w:after="0" w:line="277" w:lineRule="auto"/>
        <w:rPr>
          <w:sz w:val="20"/>
          <w:szCs w:val="20"/>
          <w:color w:val="auto"/>
        </w:rPr>
      </w:pPr>
      <w:r>
        <w:rPr>
          <w:rFonts w:ascii="Arial" w:cs="Arial" w:eastAsia="Arial" w:hAnsi="Arial"/>
          <w:sz w:val="18"/>
          <w:szCs w:val="18"/>
          <w:color w:val="auto"/>
        </w:rPr>
        <w:t>If the foregoing correctly sets forth the agreement among the Company, the Selling Shareholders and the Underwriters, please indicate your acceptance in the space provided for that purpose below.</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Ofer Ben-Zur</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FORTISSIMO CAPITAL FUND II (ISRAEL),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Marc Lesnick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Marc Lesnick</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GABI SELIGSOHN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Gabi Seligsohn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75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Joshua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75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320" w:type="dxa"/>
            <w:vAlign w:val="bottom"/>
            <w:gridSpan w:val="3"/>
          </w:tcPr>
          <w:p>
            <w:pPr>
              <w:ind w:left="106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453"/>
        </w:trPr>
        <w:tc>
          <w:tcPr>
            <w:tcW w:w="4100" w:type="dxa"/>
            <w:vAlign w:val="bottom"/>
            <w:gridSpan w:val="2"/>
          </w:tcPr>
          <w:p>
            <w:pPr>
              <w:spacing w:after="0"/>
              <w:rPr>
                <w:sz w:val="20"/>
                <w:szCs w:val="20"/>
                <w:color w:val="auto"/>
              </w:rPr>
            </w:pPr>
            <w:r>
              <w:rPr>
                <w:rFonts w:ascii="Arial" w:cs="Arial" w:eastAsia="Arial" w:hAnsi="Arial"/>
                <w:sz w:val="18"/>
                <w:szCs w:val="18"/>
                <w:color w:val="auto"/>
              </w:rPr>
              <w:t>Underwriters</w:t>
            </w: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ind w:left="380"/>
              <w:spacing w:after="0"/>
              <w:rPr>
                <w:sz w:val="20"/>
                <w:szCs w:val="20"/>
                <w:color w:val="auto"/>
              </w:rPr>
            </w:pPr>
            <w:r>
              <w:rPr>
                <w:rFonts w:ascii="Arial" w:cs="Arial" w:eastAsia="Arial" w:hAnsi="Arial"/>
                <w:sz w:val="18"/>
                <w:szCs w:val="18"/>
                <w:color w:val="auto"/>
              </w:rPr>
              <w:t>Number of Firm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4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732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2,550,000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732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2,550,000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7320" w:type="dxa"/>
            <w:vAlign w:val="bottom"/>
            <w:gridSpan w:val="3"/>
            <w:shd w:val="clear" w:color="auto" w:fill="CCEEFF"/>
          </w:tcPr>
          <w:p>
            <w:pPr>
              <w:jc w:val="center"/>
              <w:ind w:left="4810"/>
              <w:spacing w:after="0"/>
              <w:rPr>
                <w:sz w:val="20"/>
                <w:szCs w:val="20"/>
                <w:color w:val="auto"/>
              </w:rPr>
            </w:pPr>
            <w:r>
              <w:rPr>
                <w:rFonts w:ascii="Arial" w:cs="Arial" w:eastAsia="Arial" w:hAnsi="Arial"/>
                <w:sz w:val="18"/>
                <w:szCs w:val="18"/>
                <w:color w:val="auto"/>
                <w:w w:val="89"/>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Stifel, Nicolaus &amp; Company, Incorporated</w:t>
            </w:r>
          </w:p>
        </w:tc>
        <w:tc>
          <w:tcPr>
            <w:tcW w:w="7320" w:type="dxa"/>
            <w:vAlign w:val="bottom"/>
            <w:gridSpan w:val="3"/>
          </w:tcPr>
          <w:p>
            <w:pPr>
              <w:jc w:val="center"/>
              <w:ind w:left="4810"/>
              <w:spacing w:after="0"/>
              <w:rPr>
                <w:sz w:val="20"/>
                <w:szCs w:val="20"/>
                <w:color w:val="auto"/>
              </w:rPr>
            </w:pPr>
            <w:r>
              <w:rPr>
                <w:rFonts w:ascii="Arial" w:cs="Arial" w:eastAsia="Arial" w:hAnsi="Arial"/>
                <w:sz w:val="18"/>
                <w:szCs w:val="18"/>
                <w:color w:val="auto"/>
                <w:w w:val="89"/>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Canaccord Genuity Inc</w:t>
            </w:r>
          </w:p>
        </w:tc>
        <w:tc>
          <w:tcPr>
            <w:tcW w:w="7320" w:type="dxa"/>
            <w:vAlign w:val="bottom"/>
            <w:gridSpan w:val="3"/>
            <w:shd w:val="clear" w:color="auto" w:fill="CCEEFF"/>
          </w:tcPr>
          <w:p>
            <w:pPr>
              <w:jc w:val="center"/>
              <w:ind w:left="4810"/>
              <w:spacing w:after="0"/>
              <w:rPr>
                <w:sz w:val="20"/>
                <w:szCs w:val="20"/>
                <w:color w:val="auto"/>
              </w:rPr>
            </w:pPr>
            <w:r>
              <w:rPr>
                <w:rFonts w:ascii="Arial" w:cs="Arial" w:eastAsia="Arial" w:hAnsi="Arial"/>
                <w:sz w:val="18"/>
                <w:szCs w:val="18"/>
                <w:color w:val="auto"/>
                <w:w w:val="89"/>
              </w:rPr>
              <w:t>600,000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William Blair &amp; Company, L.L.C.</w:t>
            </w:r>
          </w:p>
        </w:tc>
        <w:tc>
          <w:tcPr>
            <w:tcW w:w="4880" w:type="dxa"/>
            <w:vAlign w:val="bottom"/>
            <w:tcBorders>
              <w:bottom w:val="single" w:sz="8" w:color="CCEEFF"/>
            </w:tcBorders>
            <w:gridSpan w:val="2"/>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32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7,500,000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4940" w:type="dxa"/>
            <w:vAlign w:val="bottom"/>
            <w:gridSpan w:val="4"/>
          </w:tcPr>
          <w:p>
            <w:pPr>
              <w:ind w:left="1040"/>
              <w:spacing w:after="0"/>
              <w:rPr>
                <w:sz w:val="20"/>
                <w:szCs w:val="20"/>
                <w:color w:val="auto"/>
              </w:rPr>
            </w:pPr>
            <w:r>
              <w:rPr>
                <w:rFonts w:ascii="Arial" w:cs="Arial" w:eastAsia="Arial" w:hAnsi="Arial"/>
                <w:sz w:val="18"/>
                <w:szCs w:val="18"/>
                <w:b w:val="1"/>
                <w:bCs w:val="1"/>
                <w:color w:val="auto"/>
              </w:rPr>
              <w:t>SCHEDULE II</w:t>
            </w:r>
          </w:p>
        </w:tc>
        <w:tc>
          <w:tcPr>
            <w:tcW w:w="2400" w:type="dxa"/>
            <w:vAlign w:val="bottom"/>
          </w:tcPr>
          <w:p>
            <w:pPr>
              <w:spacing w:after="0"/>
              <w:rPr>
                <w:sz w:val="20"/>
                <w:szCs w:val="20"/>
                <w:color w:val="auto"/>
              </w:rPr>
            </w:pPr>
          </w:p>
        </w:tc>
      </w:tr>
      <w:tr>
        <w:trPr>
          <w:trHeight w:val="453"/>
        </w:trPr>
        <w:tc>
          <w:tcPr>
            <w:tcW w:w="4080" w:type="dxa"/>
            <w:vAlign w:val="bottom"/>
          </w:tcPr>
          <w:p>
            <w:pPr>
              <w:spacing w:after="0"/>
              <w:rPr>
                <w:sz w:val="20"/>
                <w:szCs w:val="20"/>
                <w:color w:val="auto"/>
              </w:rPr>
            </w:pPr>
            <w:r>
              <w:rPr>
                <w:rFonts w:ascii="Arial" w:cs="Arial" w:eastAsia="Arial" w:hAnsi="Arial"/>
                <w:sz w:val="18"/>
                <w:szCs w:val="18"/>
                <w:color w:val="auto"/>
              </w:rPr>
              <w:t>Name and Address of Selling Shareholder</w:t>
            </w: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18"/>
                <w:szCs w:val="18"/>
                <w:color w:val="auto"/>
              </w:rPr>
              <w:t>Number of Firm Shares</w:t>
            </w:r>
          </w:p>
        </w:tc>
        <w:tc>
          <w:tcPr>
            <w:tcW w:w="2400" w:type="dxa"/>
            <w:vAlign w:val="bottom"/>
          </w:tcPr>
          <w:p>
            <w:pPr>
              <w:ind w:left="280"/>
              <w:spacing w:after="0"/>
              <w:rPr>
                <w:sz w:val="20"/>
                <w:szCs w:val="20"/>
                <w:color w:val="auto"/>
              </w:rPr>
            </w:pPr>
            <w:r>
              <w:rPr>
                <w:rFonts w:ascii="Arial" w:cs="Arial" w:eastAsia="Arial" w:hAnsi="Arial"/>
                <w:sz w:val="18"/>
                <w:szCs w:val="18"/>
                <w:color w:val="auto"/>
              </w:rPr>
              <w:t>Number of Option Shares</w:t>
            </w:r>
          </w:p>
        </w:tc>
      </w:tr>
      <w:tr>
        <w:trPr>
          <w:trHeight w:val="216"/>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Fortissimo Capital Fund II (Israel), L.P..</w:t>
            </w:r>
          </w:p>
        </w:tc>
        <w:tc>
          <w:tcPr>
            <w:tcW w:w="2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5,410,000</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825,000</w:t>
            </w:r>
          </w:p>
        </w:tc>
      </w:tr>
      <w:tr>
        <w:trPr>
          <w:trHeight w:val="237"/>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Gabi Seligsohn</w:t>
            </w:r>
          </w:p>
        </w:tc>
        <w:tc>
          <w:tcPr>
            <w:tcW w:w="2460" w:type="dxa"/>
            <w:vAlign w:val="bottom"/>
            <w:tcBorders>
              <w:bottom w:val="single" w:sz="8" w:color="CCEEFF"/>
            </w:tcBorders>
            <w:gridSpan w:val="2"/>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90,000</w:t>
            </w: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5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40" w:type="dxa"/>
            <w:vAlign w:val="bottom"/>
            <w:gridSpan w:val="3"/>
            <w:shd w:val="clear" w:color="auto" w:fill="CCEEFF"/>
          </w:tcPr>
          <w:p>
            <w:pPr>
              <w:jc w:val="center"/>
              <w:ind w:left="2350"/>
              <w:spacing w:after="0"/>
              <w:rPr>
                <w:sz w:val="20"/>
                <w:szCs w:val="20"/>
                <w:color w:val="auto"/>
              </w:rPr>
            </w:pPr>
            <w:r>
              <w:rPr>
                <w:rFonts w:ascii="Arial" w:cs="Arial" w:eastAsia="Arial" w:hAnsi="Arial"/>
                <w:sz w:val="18"/>
                <w:szCs w:val="18"/>
                <w:color w:val="auto"/>
                <w:w w:val="89"/>
              </w:rPr>
              <w:t>5,500,000</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825,000</w:t>
            </w:r>
          </w:p>
        </w:tc>
      </w:tr>
      <w:tr>
        <w:trPr>
          <w:trHeight w:val="21"/>
        </w:trPr>
        <w:tc>
          <w:tcPr>
            <w:tcW w:w="40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r>
        <w:trPr>
          <w:trHeight w:val="682"/>
        </w:trPr>
        <w:tc>
          <w:tcPr>
            <w:tcW w:w="40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8" w:name="page49"/>
    <w:bookmarkEnd w:id="48"/>
    <w:p>
      <w:pPr>
        <w:jc w:val="center"/>
        <w:ind w:right="-1220"/>
        <w:spacing w:after="0"/>
        <w:rPr>
          <w:sz w:val="20"/>
          <w:szCs w:val="20"/>
          <w:color w:val="auto"/>
        </w:rPr>
      </w:pPr>
      <w:r>
        <w:rPr>
          <w:rFonts w:ascii="Arial" w:cs="Arial" w:eastAsia="Arial" w:hAnsi="Arial"/>
          <w:sz w:val="18"/>
          <w:szCs w:val="18"/>
          <w:b w:val="1"/>
          <w:bCs w:val="1"/>
          <w:color w:val="auto"/>
        </w:rPr>
        <w:t>SCHEDULE III</w:t>
      </w:r>
    </w:p>
    <w:p>
      <w:pPr>
        <w:spacing w:after="0" w:line="22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PERSONS DELIVERING LOCK-UP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Yuval Cohen, Eli Blatt, Lauri Hanover, Marc Lesnick, Alon Lumbroso, Jerry Mandel, Dov Ofer, Ofer Ben-Zur.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Gabi Seligsohn, Guy Avidan, Nuriel Amir, Gilad Yron, Ofer Sandelson, Guy Zimmerman.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Fortissimo Capital Fund II (Israel),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9" w:name="page50"/>
    <w:bookmarkEnd w:id="49"/>
    <w:p>
      <w:pPr>
        <w:jc w:val="center"/>
        <w:ind w:right="-1220"/>
        <w:spacing w:after="0"/>
        <w:rPr>
          <w:sz w:val="20"/>
          <w:szCs w:val="20"/>
          <w:color w:val="auto"/>
        </w:rPr>
      </w:pPr>
      <w:r>
        <w:rPr>
          <w:rFonts w:ascii="Arial" w:cs="Arial" w:eastAsia="Arial" w:hAnsi="Arial"/>
          <w:sz w:val="18"/>
          <w:szCs w:val="18"/>
          <w:b w:val="1"/>
          <w:bCs w:val="1"/>
          <w:color w:val="auto"/>
        </w:rPr>
        <w:t>SCHEDULE IV</w:t>
      </w:r>
    </w:p>
    <w:p>
      <w:pPr>
        <w:spacing w:after="0" w:line="229" w:lineRule="exact"/>
        <w:rPr>
          <w:sz w:val="20"/>
          <w:szCs w:val="20"/>
          <w:color w:val="auto"/>
        </w:rPr>
      </w:pPr>
    </w:p>
    <w:p>
      <w:pPr>
        <w:jc w:val="right"/>
        <w:ind w:right="2979"/>
        <w:spacing w:after="0"/>
        <w:rPr>
          <w:sz w:val="20"/>
          <w:szCs w:val="20"/>
          <w:color w:val="auto"/>
        </w:rPr>
      </w:pPr>
      <w:r>
        <w:rPr>
          <w:rFonts w:ascii="Arial" w:cs="Arial" w:eastAsia="Arial" w:hAnsi="Arial"/>
          <w:sz w:val="18"/>
          <w:szCs w:val="18"/>
          <w:color w:val="auto"/>
        </w:rPr>
        <w:t>CONVEYED PRICING INFORMATION</w:t>
      </w:r>
    </w:p>
    <w:p>
      <w:pPr>
        <w:spacing w:after="0" w:line="225"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Public offering price: $16.50</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Number of Firm Shares offered by the Company: 2,000,000</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Number of Firm Shares offered by the Selling Shareholders: 5,500,000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50" w:name="page51"/>
    <w:bookmarkEnd w:id="50"/>
    <w:p>
      <w:pPr>
        <w:jc w:val="center"/>
        <w:ind w:right="-1200"/>
        <w:spacing w:after="0"/>
        <w:rPr>
          <w:sz w:val="20"/>
          <w:szCs w:val="20"/>
          <w:color w:val="auto"/>
        </w:rPr>
      </w:pPr>
      <w:r>
        <w:rPr>
          <w:rFonts w:ascii="Arial" w:cs="Arial" w:eastAsia="Arial" w:hAnsi="Arial"/>
          <w:sz w:val="18"/>
          <w:szCs w:val="18"/>
          <w:b w:val="1"/>
          <w:bCs w:val="1"/>
          <w:color w:val="auto"/>
        </w:rPr>
        <w:t>SCHEDULE V</w:t>
      </w:r>
    </w:p>
    <w:p>
      <w:pPr>
        <w:spacing w:after="0" w:line="229"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ISSUER FREE WRITING PROSPECTUSES – ROAD SHOW MATERIALS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road show presentation, dated January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ISSUER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of the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understands that you and certain other firms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providing for the purchase by the Underwriters of ordinary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par value NIS 0.01 per share (the “</w:t>
      </w:r>
      <w:r>
        <w:rPr>
          <w:rFonts w:ascii="Arial" w:cs="Arial" w:eastAsia="Arial" w:hAnsi="Arial"/>
          <w:sz w:val="18"/>
          <w:szCs w:val="18"/>
          <w:b w:val="1"/>
          <w:bCs w:val="1"/>
          <w:i w:val="1"/>
          <w:iCs w:val="1"/>
          <w:color w:val="auto"/>
        </w:rPr>
        <w:t>Ordinary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Kornit Digital Ltd., a company incorporated under the laws of the Stale of Israel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that the Underwriters propose to reoffer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to the public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consideration of the execution of the Underwriting Agreement by the Underwriters, and for other good and valuable consideration, the undersigned hereby irrevocably agrees that, without the prior written consent of Barclays Capital Inc. and Citigroup Global Markets Inc., on behalf of the Underwriters or except as contemplated by the Underwriting Agreement, the undersigned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the undersigned in accordance with the rules and regulations of the Securities and Exchange Commission and Ordinary Shares that may be issued upon exercise of any options or warrants) or securities convertible into or exercisable or exchangeable for Ordinary Shares (“</w:t>
      </w:r>
      <w:r>
        <w:rPr>
          <w:rFonts w:ascii="Arial" w:cs="Arial" w:eastAsia="Arial" w:hAnsi="Arial"/>
          <w:sz w:val="16"/>
          <w:szCs w:val="16"/>
          <w:b w:val="1"/>
          <w:bCs w:val="1"/>
          <w:i w:val="1"/>
          <w:iCs w:val="1"/>
          <w:color w:val="auto"/>
        </w:rPr>
        <w:t>Lock-Up Securities</w:t>
      </w:r>
      <w:r>
        <w:rPr>
          <w:rFonts w:ascii="Arial" w:cs="Arial" w:eastAsia="Arial" w:hAnsi="Arial"/>
          <w:sz w:val="16"/>
          <w:szCs w:val="16"/>
          <w:color w:val="auto"/>
        </w:rPr>
        <w:t>”), (2) enter into any swap or other derivatives transaction that transfers to another, in whole or in. part, any of the economic benefits or risks of ownership of Lock-Up Securities, whether any such transaction described in clause (1) or (2) above is to be settled by delivery of Ordinary Shares or other securities, in cash or otherwise, (3) make any demand for or exercise any right or cause to be filed a registration statement, including any amendments thereto, with respect to the registration of any Lock-</w:t>
      </w:r>
    </w:p>
    <w:p>
      <w:pPr>
        <w:spacing w:after="0" w:line="6"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Up Securities, or (4) publicly disclose the intention to do any of the foregoing for a period commencing on the date hereof and ending on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date of the Prospectus relating to the Offering (such 90-day period, the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The foregoing paragraph shall not apply to:</w:t>
      </w:r>
    </w:p>
    <w:p>
      <w:pPr>
        <w:spacing w:after="0" w:line="225" w:lineRule="exact"/>
        <w:rPr>
          <w:sz w:val="20"/>
          <w:szCs w:val="20"/>
          <w:color w:val="auto"/>
        </w:rPr>
      </w:pPr>
    </w:p>
    <w:p>
      <w:pPr>
        <w:ind w:left="1180" w:hanging="52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transactions relating to Ordinary Shares or other securities acquired in the open market after the completion of the Offering,</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bona fide gifts (of “</w:t>
      </w:r>
      <w:r>
        <w:rPr>
          <w:rFonts w:ascii="Arial" w:cs="Arial" w:eastAsia="Arial" w:hAnsi="Arial"/>
          <w:sz w:val="18"/>
          <w:szCs w:val="18"/>
          <w:b w:val="1"/>
          <w:bCs w:val="1"/>
          <w:i w:val="1"/>
          <w:iCs w:val="1"/>
          <w:color w:val="auto"/>
        </w:rPr>
        <w:t>Lock-Up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656"/>
        <w:spacing w:after="0" w:line="259" w:lineRule="auto"/>
        <w:tabs>
          <w:tab w:leader="none" w:pos="11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transfers of Lock-Up Securities that are made exclusively between and among the undersigned or members of the undersigned’s family or any trust, or similar entity, controlled by such family member or members, for the direct or indirect benefit of the undersigned or the family member or members of the undersigned, or affiliates of the undersigned, or to any investment fund or other entity controlled or managed by, or under the common control or management with, the undersigned,</w:t>
      </w:r>
    </w:p>
    <w:p>
      <w:pPr>
        <w:spacing w:after="0" w:line="186" w:lineRule="exact"/>
        <w:rPr>
          <w:rFonts w:ascii="Arial" w:cs="Arial" w:eastAsia="Arial" w:hAnsi="Arial"/>
          <w:sz w:val="18"/>
          <w:szCs w:val="18"/>
          <w:color w:val="auto"/>
        </w:rPr>
      </w:pPr>
    </w:p>
    <w:p>
      <w:pPr>
        <w:ind w:firstLine="656"/>
        <w:spacing w:after="0" w:line="277" w:lineRule="auto"/>
        <w:tabs>
          <w:tab w:leader="none" w:pos="12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transfers of Lock-Up Securities to the undersigned’s limited or general partners (if a partnership), members (if a limited liability company), beneficiaries (if a trust) or shareholders (if a corporation),</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 of Lock-Up Securities by will or by intestacy,</w:t>
      </w:r>
    </w:p>
    <w:p>
      <w:pPr>
        <w:spacing w:after="0" w:line="225" w:lineRule="exact"/>
        <w:rPr>
          <w:rFonts w:ascii="Arial" w:cs="Arial" w:eastAsia="Arial" w:hAnsi="Arial"/>
          <w:sz w:val="18"/>
          <w:szCs w:val="18"/>
          <w:color w:val="auto"/>
        </w:rPr>
      </w:pPr>
    </w:p>
    <w:p>
      <w:pPr>
        <w:ind w:firstLine="656"/>
        <w:spacing w:after="0" w:line="308" w:lineRule="auto"/>
        <w:tabs>
          <w:tab w:leader="none" w:pos="12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the cash exercise of warrants or the exercise of stock options granted pursuant to the Company’s stock option/incentive plans or otherwise outstanding on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restrictions shall apply to Ordinary Shares issued upon such exercise or conversion,</w:t>
      </w:r>
    </w:p>
    <w:p>
      <w:pPr>
        <w:spacing w:after="0" w:line="146" w:lineRule="exact"/>
        <w:rPr>
          <w:rFonts w:ascii="Arial" w:cs="Arial" w:eastAsia="Arial" w:hAnsi="Arial"/>
          <w:sz w:val="17"/>
          <w:szCs w:val="17"/>
          <w:color w:val="auto"/>
        </w:rPr>
      </w:pPr>
    </w:p>
    <w:p>
      <w:pPr>
        <w:jc w:val="both"/>
        <w:ind w:firstLine="656"/>
        <w:spacing w:after="0" w:line="255" w:lineRule="auto"/>
        <w:tabs>
          <w:tab w:leader="none" w:pos="12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establishment of any contract, instruction or plan that satisfies all of the requirements of Rule 10b5-1 (a “</w:t>
      </w:r>
      <w:r>
        <w:rPr>
          <w:rFonts w:ascii="Arial" w:cs="Arial" w:eastAsia="Arial" w:hAnsi="Arial"/>
          <w:sz w:val="18"/>
          <w:szCs w:val="18"/>
          <w:b w:val="1"/>
          <w:bCs w:val="1"/>
          <w:i w:val="1"/>
          <w:iCs w:val="1"/>
          <w:color w:val="auto"/>
        </w:rPr>
        <w:t>Rule 10b5-l Plan</w:t>
      </w:r>
      <w:r>
        <w:rPr>
          <w:rFonts w:ascii="Arial" w:cs="Arial" w:eastAsia="Arial" w:hAnsi="Arial"/>
          <w:sz w:val="18"/>
          <w:szCs w:val="18"/>
          <w:color w:val="auto"/>
        </w:rPr>
        <w:t>”)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sales of Ordinary Shares or securities convertible into, or exchangeable or exercisable for, Ordinary Shares, shall be made pursuant to a Rule 10b5-1 Plan prior to the expiration of the Lock-Up Period (as the same may be extended pursuant to the provisions 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Company is not required to report the establishment of such Rule 10b5-1 Plan in any public report or filing with the Commission under the Exchange Act during the Lock-Up Period and does not otherwise voluntarily effect any such public filing or report regarding such Rule 10b5-1 Plan,</w:t>
      </w:r>
    </w:p>
    <w:p>
      <w:pPr>
        <w:spacing w:after="0" w:line="193" w:lineRule="exact"/>
        <w:rPr>
          <w:rFonts w:ascii="Arial" w:cs="Arial" w:eastAsia="Arial" w:hAnsi="Arial"/>
          <w:sz w:val="18"/>
          <w:szCs w:val="18"/>
          <w:color w:val="auto"/>
        </w:rPr>
      </w:pPr>
    </w:p>
    <w:p>
      <w:pPr>
        <w:jc w:val="both"/>
        <w:ind w:firstLine="656"/>
        <w:spacing w:after="0" w:line="259" w:lineRule="auto"/>
        <w:tabs>
          <w:tab w:leader="none" w:pos="123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demands or requests for, exercise any right with respect to, or take any action in preparation of, the registration by the Company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undersigned’s Lock-Up Securities, provided that no transfer of the undersigned’s Lock-Up Securities registered pursuant to the exercise of any such right and no registration statement shall be filed under the Securities Act with respect to any of the undersigned’s Lock-Up Securities during the Lock-Up Period,</w:t>
      </w:r>
    </w:p>
    <w:p>
      <w:pPr>
        <w:spacing w:after="0" w:line="186" w:lineRule="exact"/>
        <w:rPr>
          <w:rFonts w:ascii="Arial" w:cs="Arial" w:eastAsia="Arial" w:hAnsi="Arial"/>
          <w:sz w:val="18"/>
          <w:szCs w:val="18"/>
          <w:color w:val="auto"/>
        </w:rPr>
      </w:pPr>
    </w:p>
    <w:p>
      <w:pPr>
        <w:jc w:val="both"/>
        <w:ind w:firstLine="656"/>
        <w:spacing w:after="0" w:line="270" w:lineRule="auto"/>
        <w:tabs>
          <w:tab w:leader="none" w:pos="1166"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dispositions of Lock-Up Securities pursuant to a bona fide third-party tender offer, merger, consolidation or other similar transaction made to all holders of the Company’s Ordinary Shares involving a change of control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such tender offer, merger, consolidation or other such transaction is not completed, the Lock-Up Securities held by the undersigned shall remain subject to the provisions of this Lock-Up Letter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it shall be a condition to any transfer pursuant to clauses (b) through (e) that the transferee or donee agrees to be bound by the terms of this Lock Up Letter Agreement (including, without limitation, the restrictions set forth in the preceding sentence) to the same extent as if the transferee/donee were a party hereto, and (ii) it shall be a condition to any transfer pursuant to clauses (b) through (e) that the undersigned notifies Barclays Capital Inc. and Citigroup Global Markets Inc. at least two business days prior to the proposed transfer or disposition;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in the case of clauses (a) through (d) and (f) through (h), each party (donor, donee, transferor or transferee) shall not be required by law (including without limitation the disclosure requirements of the Securities Act and the Exchange Act) to make, and shall agree to not voluntarily make, any filing or public announcement of the transfer or disposition prior to the expiration of the Lock-Up Period referred to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648"/>
        <w:spacing w:after="0" w:line="277" w:lineRule="auto"/>
        <w:rPr>
          <w:sz w:val="20"/>
          <w:szCs w:val="20"/>
          <w:color w:val="auto"/>
        </w:rPr>
      </w:pPr>
      <w:r>
        <w:rPr>
          <w:rFonts w:ascii="Arial" w:cs="Arial" w:eastAsia="Arial" w:hAnsi="Arial"/>
          <w:sz w:val="18"/>
          <w:szCs w:val="18"/>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It is understood that the undersigned will be released from its obligations under this Lock-Up Letter Agreement if (i) the Company notifies the Underwriters that it does not intend to proceed with the Offering, (ii) the Underwriting Agreement does not become effective, (iii) the Underwriting Agreement (other than the provisions thereof which survive termination) shall terminate or be terminated prior to payment for and delivery of the Shares, or (iv) in the event that the Underwriting Agreement has not been executed, in each case on or prior to February 10,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understands that the Company and the Underwriters will proceed with the Offering in reliance on this Lock-Up Letter Agreement.</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the Selling Shareholders named therein and the Underwriters.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Lock-Up Letter Agreement and that, upon request, the undersigned will execute and additional documents reasonably necessary in connection with the enforcement hereof. Any obligations of the undersigned shall be binding upon the heirs, personal representatives, successors and assigns of the undersigned.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Lock-Up Letter Agreement and any claim, controversy or dispute arising under or related to this Lock-Up Letter Agreement shall be governed by and construed in accordance with the laws of the State of New York, without regard to the conflict of laws principles thereof.</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TRUSTEE CONSENT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hereby made to that certain Underwriting Agreement, dated January [ ], 2017, by and among Barclays Capital Inc. and Citigroup Global Markets Inc., as representatives of the several underwriters named in Schedule I attached thereto (the “</w:t>
      </w:r>
      <w:r>
        <w:rPr>
          <w:rFonts w:ascii="Arial" w:cs="Arial" w:eastAsia="Arial" w:hAnsi="Arial"/>
          <w:sz w:val="18"/>
          <w:szCs w:val="18"/>
          <w:b w:val="1"/>
          <w:bCs w:val="1"/>
          <w:color w:val="auto"/>
        </w:rPr>
        <w:t>Underwriters</w:t>
      </w:r>
      <w:r>
        <w:rPr>
          <w:rFonts w:ascii="Arial" w:cs="Arial" w:eastAsia="Arial" w:hAnsi="Arial"/>
          <w:sz w:val="18"/>
          <w:szCs w:val="18"/>
          <w:color w:val="auto"/>
        </w:rPr>
        <w:t>”),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and certain shareholders of the Company named in Schedule II attached thereto (the "</w:t>
      </w:r>
      <w:r>
        <w:rPr>
          <w:rFonts w:ascii="Arial" w:cs="Arial" w:eastAsia="Arial" w:hAnsi="Arial"/>
          <w:sz w:val="18"/>
          <w:szCs w:val="18"/>
          <w:b w:val="1"/>
          <w:bCs w:val="1"/>
          <w:color w:val="auto"/>
        </w:rPr>
        <w:t>Selling Shareholders</w:t>
      </w:r>
      <w:r>
        <w:rPr>
          <w:rFonts w:ascii="Arial" w:cs="Arial" w:eastAsia="Arial" w:hAnsi="Arial"/>
          <w:sz w:val="18"/>
          <w:szCs w:val="18"/>
          <w:color w:val="auto"/>
        </w:rPr>
        <w:t>"), a copy of which is attached hereto as Annex A (the “</w:t>
      </w:r>
      <w:r>
        <w:rPr>
          <w:rFonts w:ascii="Arial" w:cs="Arial" w:eastAsia="Arial" w:hAnsi="Arial"/>
          <w:sz w:val="18"/>
          <w:szCs w:val="18"/>
          <w:b w:val="1"/>
          <w:bCs w:val="1"/>
          <w:color w:val="auto"/>
        </w:rPr>
        <w:t>Agreement</w:t>
      </w:r>
      <w:r>
        <w:rPr>
          <w:rFonts w:ascii="Arial" w:cs="Arial" w:eastAsia="Arial" w:hAnsi="Arial"/>
          <w:sz w:val="18"/>
          <w:szCs w:val="18"/>
          <w:color w:val="auto"/>
        </w:rPr>
        <w:t>”), in connection with the sale of Shares (as defined in the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such sale, the undersigned hereby confirms and undertakes as follows:</w:t>
      </w:r>
    </w:p>
    <w:p>
      <w:pPr>
        <w:spacing w:after="0" w:line="200" w:lineRule="exact"/>
        <w:rPr>
          <w:sz w:val="20"/>
          <w:szCs w:val="20"/>
          <w:color w:val="auto"/>
        </w:rPr>
      </w:pPr>
    </w:p>
    <w:p>
      <w:pPr>
        <w:spacing w:after="0" w:line="241" w:lineRule="exact"/>
        <w:rPr>
          <w:sz w:val="20"/>
          <w:szCs w:val="20"/>
          <w:color w:val="auto"/>
        </w:rPr>
      </w:pPr>
    </w:p>
    <w:p>
      <w:pPr>
        <w:ind w:left="520" w:hanging="512"/>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Undersigned holds the Shares in trust, for the benefit of Mr. Gabi Seligsohn, subject to the terms and conditions of the 2012 Share Incentive Plan of the Company and the Option Agreement, dated [ ] (together, the “</w:t>
      </w:r>
      <w:r>
        <w:rPr>
          <w:rFonts w:ascii="Arial" w:cs="Arial" w:eastAsia="Arial" w:hAnsi="Arial"/>
          <w:sz w:val="18"/>
          <w:szCs w:val="18"/>
          <w:b w:val="1"/>
          <w:bCs w:val="1"/>
          <w:color w:val="auto"/>
        </w:rPr>
        <w:t>Grant Agreements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Shares underlying the options were granted to Mr. Gabi Seligsohn under the capital gain route of Section 102 of the Israeli Income Tax Ordinance (New Version) 5721-1961 and the regulations and rules promulgated thereunder (the “</w:t>
      </w:r>
      <w:r>
        <w:rPr>
          <w:rFonts w:ascii="Arial" w:cs="Arial" w:eastAsia="Arial" w:hAnsi="Arial"/>
          <w:sz w:val="18"/>
          <w:szCs w:val="18"/>
          <w:b w:val="1"/>
          <w:bCs w:val="1"/>
          <w:color w:val="auto"/>
        </w:rPr>
        <w:t>Ordinance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520" w:hanging="512"/>
        <w:spacing w:after="0" w:line="279"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Undersigned will comply with the reporting obligations applicable in connection with the transfer of the Shares and it will withhold and deduct from the consideration paid by the Underwriters for the Shares any amount required to be withheld or deducted under applicable law, including, but not limited to, the Ordinance, and shall transfer such withheld or deducted amount to the Israeli Tax Authority, unless Mr. Gabi Seligsohn provides the undersigned, prior to the Effective Date, with an exemption from deduction at source in connection with the transfer of the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04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04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8127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812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172085</wp:posOffset>
            </wp:positionV>
            <wp:extent cx="7049135" cy="15176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4913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25,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Rosh-Ha`Ayin 4809246, Israel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Shelf Offering Via Rule 424(b)(5) Prospectus Supplement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have acted as Israeli counsel for Kornit Digital Ltd., an Israeli company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underwritten public offering contemplating (i) the sale by certain shareholders of the Company (the “</w:t>
      </w:r>
      <w:r>
        <w:rPr>
          <w:rFonts w:ascii="Arial" w:cs="Arial" w:eastAsia="Arial" w:hAnsi="Arial"/>
          <w:sz w:val="17"/>
          <w:szCs w:val="17"/>
          <w:b w:val="1"/>
          <w:bCs w:val="1"/>
          <w:color w:val="auto"/>
        </w:rPr>
        <w:t>Selling Shareholders</w:t>
      </w:r>
      <w:r>
        <w:rPr>
          <w:rFonts w:ascii="Arial" w:cs="Arial" w:eastAsia="Arial" w:hAnsi="Arial"/>
          <w:sz w:val="17"/>
          <w:szCs w:val="17"/>
          <w:color w:val="auto"/>
        </w:rPr>
        <w:t>”) of 5,500,000 ordinary shares, par value NIS 0.01 per share (“</w:t>
      </w:r>
      <w:r>
        <w:rPr>
          <w:rFonts w:ascii="Arial" w:cs="Arial" w:eastAsia="Arial" w:hAnsi="Arial"/>
          <w:sz w:val="17"/>
          <w:szCs w:val="17"/>
          <w:b w:val="1"/>
          <w:bCs w:val="1"/>
          <w:color w:val="auto"/>
        </w:rPr>
        <w:t>Ordinary Shares</w:t>
      </w:r>
      <w:r>
        <w:rPr>
          <w:rFonts w:ascii="Arial" w:cs="Arial" w:eastAsia="Arial" w:hAnsi="Arial"/>
          <w:sz w:val="17"/>
          <w:szCs w:val="17"/>
          <w:color w:val="auto"/>
        </w:rPr>
        <w:t>”, and such Ordinary Shares, including Option Shares (as defined below), the “</w:t>
      </w:r>
      <w:r>
        <w:rPr>
          <w:rFonts w:ascii="Arial" w:cs="Arial" w:eastAsia="Arial" w:hAnsi="Arial"/>
          <w:sz w:val="17"/>
          <w:szCs w:val="17"/>
          <w:b w:val="1"/>
          <w:bCs w:val="1"/>
          <w:color w:val="auto"/>
        </w:rPr>
        <w:t>Initial Secondary Shares</w:t>
      </w:r>
      <w:r>
        <w:rPr>
          <w:rFonts w:ascii="Arial" w:cs="Arial" w:eastAsia="Arial" w:hAnsi="Arial"/>
          <w:sz w:val="17"/>
          <w:szCs w:val="17"/>
          <w:color w:val="auto"/>
        </w:rPr>
        <w:t>”), (ii) the sale by the Company of 2,000,000 Ordinary Shares (the “</w:t>
      </w:r>
      <w:r>
        <w:rPr>
          <w:rFonts w:ascii="Arial" w:cs="Arial" w:eastAsia="Arial" w:hAnsi="Arial"/>
          <w:sz w:val="17"/>
          <w:szCs w:val="17"/>
          <w:b w:val="1"/>
          <w:bCs w:val="1"/>
          <w:color w:val="auto"/>
        </w:rPr>
        <w:t>Initial Primary Shares</w:t>
      </w:r>
      <w:r>
        <w:rPr>
          <w:rFonts w:ascii="Arial" w:cs="Arial" w:eastAsia="Arial" w:hAnsi="Arial"/>
          <w:sz w:val="17"/>
          <w:szCs w:val="17"/>
          <w:color w:val="auto"/>
        </w:rPr>
        <w:t>” and together with the Initial Secondary Shares, the “</w:t>
      </w:r>
      <w:r>
        <w:rPr>
          <w:rFonts w:ascii="Arial" w:cs="Arial" w:eastAsia="Arial" w:hAnsi="Arial"/>
          <w:sz w:val="17"/>
          <w:szCs w:val="17"/>
          <w:b w:val="1"/>
          <w:bCs w:val="1"/>
          <w:color w:val="auto"/>
        </w:rPr>
        <w:t>Initial Shares</w:t>
      </w:r>
      <w:r>
        <w:rPr>
          <w:rFonts w:ascii="Arial" w:cs="Arial" w:eastAsia="Arial" w:hAnsi="Arial"/>
          <w:sz w:val="17"/>
          <w:szCs w:val="17"/>
          <w:color w:val="auto"/>
        </w:rPr>
        <w:t>”), (iii) the potential sale by one of the Selling Shareholders of up to an additional 825,000 Ordinary Shares (the “</w:t>
      </w:r>
      <w:r>
        <w:rPr>
          <w:rFonts w:ascii="Arial" w:cs="Arial" w:eastAsia="Arial" w:hAnsi="Arial"/>
          <w:sz w:val="17"/>
          <w:szCs w:val="17"/>
          <w:b w:val="1"/>
          <w:bCs w:val="1"/>
          <w:color w:val="auto"/>
        </w:rPr>
        <w:t>Additional Secondary Shares</w:t>
      </w:r>
      <w:r>
        <w:rPr>
          <w:rFonts w:ascii="Arial" w:cs="Arial" w:eastAsia="Arial" w:hAnsi="Arial"/>
          <w:sz w:val="17"/>
          <w:szCs w:val="17"/>
          <w:color w:val="auto"/>
        </w:rPr>
        <w:t>”) and (iv) the potential issuance and sale by the Company of up to an additional 300,000 Ordinary Shares (the “</w:t>
      </w:r>
      <w:r>
        <w:rPr>
          <w:rFonts w:ascii="Arial" w:cs="Arial" w:eastAsia="Arial" w:hAnsi="Arial"/>
          <w:sz w:val="17"/>
          <w:szCs w:val="17"/>
          <w:b w:val="1"/>
          <w:bCs w:val="1"/>
          <w:color w:val="auto"/>
        </w:rPr>
        <w:t>Additional Primary Shares</w:t>
      </w:r>
      <w:r>
        <w:rPr>
          <w:rFonts w:ascii="Arial" w:cs="Arial" w:eastAsia="Arial" w:hAnsi="Arial"/>
          <w:sz w:val="17"/>
          <w:szCs w:val="17"/>
          <w:color w:val="auto"/>
        </w:rPr>
        <w:t>” and together with the Additional Secondary Shares, the “</w:t>
      </w:r>
      <w:r>
        <w:rPr>
          <w:rFonts w:ascii="Arial" w:cs="Arial" w:eastAsia="Arial" w:hAnsi="Arial"/>
          <w:sz w:val="17"/>
          <w:szCs w:val="17"/>
          <w:b w:val="1"/>
          <w:bCs w:val="1"/>
          <w:color w:val="auto"/>
        </w:rPr>
        <w:t>Additional Shares</w:t>
      </w:r>
      <w:r>
        <w:rPr>
          <w:rFonts w:ascii="Arial" w:cs="Arial" w:eastAsia="Arial" w:hAnsi="Arial"/>
          <w:sz w:val="17"/>
          <w:szCs w:val="17"/>
          <w:color w:val="auto"/>
        </w:rPr>
        <w:t>”) and collectively with the Initial Shares, the “</w:t>
      </w:r>
      <w:r>
        <w:rPr>
          <w:rFonts w:ascii="Arial" w:cs="Arial" w:eastAsia="Arial" w:hAnsi="Arial"/>
          <w:sz w:val="17"/>
          <w:szCs w:val="17"/>
          <w:b w:val="1"/>
          <w:bCs w:val="1"/>
          <w:color w:val="auto"/>
        </w:rPr>
        <w:t>Shares</w:t>
      </w:r>
      <w:r>
        <w:rPr>
          <w:rFonts w:ascii="Arial" w:cs="Arial" w:eastAsia="Arial" w:hAnsi="Arial"/>
          <w:sz w:val="17"/>
          <w:szCs w:val="17"/>
          <w:color w:val="auto"/>
        </w:rPr>
        <w:t>”) which Additional Shares are subject to an option to purchase additional shares granted by the Selling Shareholders and the Company to the underwriters of the offering (the “</w:t>
      </w:r>
      <w:r>
        <w:rPr>
          <w:rFonts w:ascii="Arial" w:cs="Arial" w:eastAsia="Arial" w:hAnsi="Arial"/>
          <w:sz w:val="17"/>
          <w:szCs w:val="17"/>
          <w:b w:val="1"/>
          <w:bCs w:val="1"/>
          <w:color w:val="auto"/>
        </w:rPr>
        <w:t>Offering</w:t>
      </w:r>
      <w:r>
        <w:rPr>
          <w:rFonts w:ascii="Arial" w:cs="Arial" w:eastAsia="Arial" w:hAnsi="Arial"/>
          <w:sz w:val="17"/>
          <w:szCs w:val="17"/>
          <w:color w:val="auto"/>
        </w:rPr>
        <w:t>”).</w:t>
      </w:r>
    </w:p>
    <w:p>
      <w:pPr>
        <w:spacing w:after="0" w:line="17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The Offering is being effected pursuant to the registration statement on Form F-3 (File No. 333-215404)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by the Company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under the Securities Act of 1933 (the “Securities Act”) on January 3, 2017, including the prospectus contained therein, as supplemented by the preliminary prospectus supplement dated January 23, 2017 and the final prospectus supplement dated January 25, 2017, in each case as filed by the Company with the SEC pursuant to Rule 424(b)(5) under the Securities Act (collectively, the “</w:t>
      </w:r>
      <w:r>
        <w:rPr>
          <w:rFonts w:ascii="Arial" w:cs="Arial" w:eastAsia="Arial" w:hAnsi="Arial"/>
          <w:sz w:val="18"/>
          <w:szCs w:val="18"/>
          <w:b w:val="1"/>
          <w:bCs w:val="1"/>
          <w:color w:val="auto"/>
        </w:rPr>
        <w:t>Prospectus</w:t>
      </w:r>
      <w:r>
        <w:rPr>
          <w:rFonts w:ascii="Arial" w:cs="Arial" w:eastAsia="Arial" w:hAnsi="Arial"/>
          <w:sz w:val="18"/>
          <w:szCs w:val="18"/>
          <w:color w:val="auto"/>
        </w:rPr>
        <w:t xml:space="preserve"> </w:t>
      </w:r>
      <w:r>
        <w:rPr>
          <w:rFonts w:ascii="Arial" w:cs="Arial" w:eastAsia="Arial" w:hAnsi="Arial"/>
          <w:sz w:val="18"/>
          <w:szCs w:val="18"/>
          <w:b w:val="1"/>
          <w:bCs w:val="1"/>
          <w:color w:val="auto"/>
        </w:rPr>
        <w:t>Supplements</w:t>
      </w:r>
      <w:r>
        <w:rPr>
          <w:rFonts w:ascii="Arial" w:cs="Arial" w:eastAsia="Arial" w:hAnsi="Arial"/>
          <w:sz w:val="18"/>
          <w:szCs w:val="18"/>
          <w:color w:val="auto"/>
        </w:rPr>
        <w:t>”).</w:t>
      </w:r>
    </w:p>
    <w:p>
      <w:pPr>
        <w:spacing w:after="0" w:line="18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This opinion letter is rendered pursuant to Item 9 of Form F-3 promulgated by the U.S. Securities and Exchange Commission (the “SEC”) and Items 601(b)(5) and (b)(23) of the SEC’s Regulation S-K promulgated under the United States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586105</wp:posOffset>
            </wp:positionV>
            <wp:extent cx="1620520" cy="4972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620520" cy="497205"/>
                    </a:xfrm>
                    <a:prstGeom prst="rect">
                      <a:avLst/>
                    </a:prstGeom>
                    <a:noFill/>
                  </pic:spPr>
                </pic:pic>
              </a:graphicData>
            </a:graphic>
          </wp:anchor>
        </w:drawing>
      </w:r>
    </w:p>
    <w:p>
      <w:pPr>
        <w:spacing w:after="0" w:line="32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connection herewith, we have examined the originals, or photocopies or copies, certified or otherwise identified to our satisfaction, of: (i) the Registration Statement; (ii) the Prospectus Supplements; (iii) the form of underwriting agreement, dated as of January 25, 2017, by and among the Company, Barclays Capital Inc. and Citigroup Global Markets Inc., as Representatives of the underwriters named on Schedule A thereto, and the selling shareholders named therein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(iv) the articles of association of the Company, as amended and as currently in effect (the “</w:t>
      </w:r>
      <w:r>
        <w:rPr>
          <w:rFonts w:ascii="Arial" w:cs="Arial" w:eastAsia="Arial" w:hAnsi="Arial"/>
          <w:sz w:val="16"/>
          <w:szCs w:val="16"/>
          <w:b w:val="1"/>
          <w:bCs w:val="1"/>
          <w:color w:val="auto"/>
        </w:rPr>
        <w:t>Articles</w:t>
      </w:r>
      <w:r>
        <w:rPr>
          <w:rFonts w:ascii="Arial" w:cs="Arial" w:eastAsia="Arial" w:hAnsi="Arial"/>
          <w:sz w:val="16"/>
          <w:szCs w:val="16"/>
          <w:color w:val="auto"/>
        </w:rPr>
        <w:t>”); (v) resolutions of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the audit committee thereof and a pricing committee thereof, that relate to the Registration Statement, the Prospectus Supplements and the actions to be taken in connection with the Offering; (vi) documents relating to options granted to certain of the Selling Shareholders which are currently exercisable for Ordinary Shares that may be sold in the Offering (the “</w:t>
      </w:r>
      <w:r>
        <w:rPr>
          <w:rFonts w:ascii="Arial" w:cs="Arial" w:eastAsia="Arial" w:hAnsi="Arial"/>
          <w:sz w:val="16"/>
          <w:szCs w:val="16"/>
          <w:b w:val="1"/>
          <w:bCs w:val="1"/>
          <w:color w:val="auto"/>
        </w:rPr>
        <w:t>Option Shares</w:t>
      </w:r>
      <w:r>
        <w:rPr>
          <w:rFonts w:ascii="Arial" w:cs="Arial" w:eastAsia="Arial" w:hAnsi="Arial"/>
          <w:sz w:val="16"/>
          <w:szCs w:val="16"/>
          <w:color w:val="auto"/>
        </w:rPr>
        <w:t>”) and (vii)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spacing w:after="0" w:line="16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Based upon and subject to the foregoing, we are of the opinion that (i) the Initial Secondary Shares and the Additional Secondary Shares (other than the Option Shares) are duly authorized, validly issued, fully paid and non-assessable; (ii) upon payment to the Company of the exercise price of the Option Shares, the Option Shares, when issued and sold as described in the Registration Statement and Prospectus Supplements, will be duly authorized, validly issued, fully paid and non-assessable and (iii) the Initial Primary Shares and the Additional Primary Shares (the “</w:t>
      </w:r>
      <w:r>
        <w:rPr>
          <w:rFonts w:ascii="Arial" w:cs="Arial" w:eastAsia="Arial" w:hAnsi="Arial"/>
          <w:sz w:val="18"/>
          <w:szCs w:val="18"/>
          <w:b w:val="1"/>
          <w:bCs w:val="1"/>
          <w:color w:val="auto"/>
        </w:rPr>
        <w:t>Primary Shares</w:t>
      </w:r>
      <w:r>
        <w:rPr>
          <w:rFonts w:ascii="Arial" w:cs="Arial" w:eastAsia="Arial" w:hAnsi="Arial"/>
          <w:sz w:val="18"/>
          <w:szCs w:val="18"/>
          <w:color w:val="auto"/>
        </w:rPr>
        <w:t>”) are duly authorized and, upon payment to the Company of the consideration per Ordinary Share in such amount and form as shall be determined by the Board or an authorized committee thereof, the Primary Shares, when issued and sold in the Offering as described in the Registration Statement and Prospectus Supplements, will be validly issued, fully paid and non-assessable.</w:t>
      </w:r>
    </w:p>
    <w:p>
      <w:pPr>
        <w:spacing w:after="0" w:line="18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consent to the filing of this opinion as an exhibit to the Registration Statement (as an exhibit to a Report of Foreign Private Issuer on Form 6-K that is incorporated by reference into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promulgated under the Securities Act.</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Meitar Liquornik Geva Leshem Tal</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Announces Launch of Public Offering of Ordinary Shares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ROSH HA’AYIN, Israel, January 23, 2017 (GLOBE NEWSWIRE) – Kornit Digital Ltd. (NASDAQ: KRNT), a company that develops, designs and markets innovative digital printing solutions for the global printed textile industry, today announced the launch of a public offering of 7,000,000 ordinary shares. 2,000,000 of the shares are being offered by Kornit and 5,000,000 of the shares are being offered by shareholders of the company, substantially all by the company’s largest shareholder, Fortissimo Capital Fund II (Israel) L.P. Kornit and the selling shareholders have also granted the underwriters a 30-day option to purchase up to an additional 1,050,000 shares. Kornit intends to use the proceeds from the offering for general corporate purposes. The Company will not receive any of the proceeds from the sale of shares being offered by the selling shareholders.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Barclays and Citigroup are acting as joint book-running managers and as representatives of the underwriters in the offering. William Blair, Stifel, Canaccord Genuity and Needham &amp; Company are acting as co-managers in the offering.</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Kornit has filed a preliminary prospectus supplement to its shelf registration statement on Form F-3 with the U.S. Securities and Exchange Commission for the proposed offering of its ordinary shares. The offering will be made only by means of a prospectus supplement and the accompanying prospectus. When available, a copy of the preliminary prospectus supplement relating to the offering and accompanying prospectus may be obtained from Barclays Capital Inc., c/o Broadridge Financial Solutions, 1155 Long Island Avenue, Edgewood, NY 11717, Telephone: 888 603-5847, or by emailing barclaysprospectus@broadridge.com; or Citigroup c/o Broadridge Financial Solutions, 1155 Long Island Avenue, Edgewood, NY 11717 (tel: 800-831-9146).</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of these securities is being made under an effective shelf registration statement on file with the U.S. Securities and Exchange Commission. The registration statement can be accessed through the SEC’s website at www.sec.gov.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Announces Pricing of Upsized Public Offering of Ordinary Shares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ROSH HA’AYIN, Israel, January 25, 2017 (GLOBE NEWSWIRE) – Kornit Digital Ltd. (NASDAQ: KRNT), a company that develops, designs and markets innovative digital printing solutions for the global printed textile industry, today announced the pricing of a public offering of 7,500,000 ordinary shares at a price to the public of $16.50 per share. The offering was upsized from the previously announced public offering of 7,000,000 ordinary shares. Of the 7,500,000 ordinary shares, 2,000,000 shares are being offered by Kornit and 5,500,000 shares are being offered by shareholders of the company, substantially all by the company’s largest shareholder, Fortissimo Capital Fund II (Israel) L.P. Kornit and the selling shareholders have also granted the underwriters a 30-day option to purchase up to an additional 1,125,000 shares at the public offering price. The offering is expected to close on or about January 31, 2017, subject to customary closing conditions. Kornit intends to use the proceeds from the offering for general corporate purposes. The Company will not receive any of the proceeds from the sale of shares being offered by the selling shareholders.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Barclays and Citigroup are acting as joint book-running managers and as representatives of the underwriters in the offering. William Blair, Stifel, Canaccord Genuity and Needham &amp; Company are acting as co-managers in the offering.</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Kornit has filed a preliminary prospectus supplement to its shelf registration statement on Form F-3 with the U.S. Securities and Exchange Commission for the public offering of its ordinary shares. A final prospectus supplement and accompanying prospectus relating to the offering will be filed with the SEC. The offering will be made only by means of a prospectus supplement and the accompanying prospectus. When available, a copy of the final prospectus supplement relating to the offering and accompanying prospectus may be obtained from Barclays, c/o Broadridge Financial Solutions, 1155 Long Island Avenue, Edgewood, NY 11717, Telephone: 888 603-5847, or by emailing barclaysprospectus@broadridge.com; or Citigroup, c/o Broadridge Financial Solutions, 1155 Long Island Avenue, Edgewood, NY 11717 (tel: 800-831-9146).</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of these securities is being made under an effective shelf registration statement on file with the U.S. Securities and Exchange Commission. The registration statement can be accessed through the SEC’s website at www.sec.gov.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682-8311 Michael.Callahan@icrinc.com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
    <w:nsid w:val="8138641"/>
    <w:multiLevelType w:val="hybridMultilevel"/>
    <w:lvl w:ilvl="0">
      <w:lvlJc w:val="left"/>
      <w:lvlText w:val="(%1)"/>
      <w:numFmt w:val="lowerRoman"/>
      <w:start w:val="2"/>
    </w:lvl>
  </w:abstractNum>
  <w:abstractNum w:abstractNumId="2">
    <w:nsid w:val="1E7FF521"/>
    <w:multiLevelType w:val="hybridMultilevel"/>
    <w:lvl w:ilvl="0">
      <w:lvlJc w:val="left"/>
      <w:lvlText w:val="(%1)"/>
      <w:numFmt w:val="lowerRoman"/>
      <w:start w:val="4"/>
    </w:lvl>
  </w:abstractNum>
  <w:abstractNum w:abstractNumId="3">
    <w:nsid w:val="7C3DBD3D"/>
    <w:multiLevelType w:val="hybridMultilevel"/>
    <w:lvl w:ilvl="0">
      <w:lvlJc w:val="left"/>
      <w:lvlText w:val="(%1)"/>
      <w:numFmt w:val="lowerLetter"/>
      <w:start w:val="2"/>
    </w:lvl>
  </w:abstractNum>
  <w:abstractNum w:abstractNumId="4">
    <w:nsid w:val="737B8DDC"/>
    <w:multiLevelType w:val="hybridMultilevel"/>
    <w:lvl w:ilvl="0">
      <w:lvlJc w:val="left"/>
      <w:lvlText w:val="(%1)"/>
      <w:numFmt w:val="lowerLetter"/>
      <w:start w:val="6"/>
    </w:lvl>
  </w:abstractNum>
  <w:abstractNum w:abstractNumId="5">
    <w:nsid w:val="6CEAF087"/>
    <w:multiLevelType w:val="hybridMultilevel"/>
    <w:lvl w:ilvl="0">
      <w:lvlJc w:val="left"/>
      <w:lvlText w:val="(%1)"/>
      <w:numFmt w:val="lowerLetter"/>
      <w:start w:val="12"/>
    </w:lvl>
  </w:abstractNum>
  <w:abstractNum w:abstractNumId="6">
    <w:nsid w:val="22221A70"/>
    <w:multiLevelType w:val="hybridMultilevel"/>
    <w:lvl w:ilvl="0">
      <w:lvlJc w:val="left"/>
      <w:lvlText w:val="(%1)"/>
      <w:numFmt w:val="lowerLetter"/>
      <w:start w:val="15"/>
    </w:lvl>
  </w:abstractNum>
  <w:abstractNum w:abstractNumId="7">
    <w:nsid w:val="4516DDE9"/>
    <w:multiLevelType w:val="hybridMultilevel"/>
    <w:lvl w:ilvl="0">
      <w:lvlJc w:val="left"/>
      <w:lvlText w:val="(%1)"/>
      <w:numFmt w:val="lowerLetter"/>
      <w:start w:val="19"/>
    </w:lvl>
  </w:abstractNum>
  <w:abstractNum w:abstractNumId="8">
    <w:nsid w:val="3006C83E"/>
    <w:multiLevelType w:val="hybridMultilevel"/>
    <w:lvl w:ilvl="0">
      <w:lvlJc w:val="left"/>
      <w:lvlText w:val="%1"/>
      <w:numFmt w:val="lowerLetter"/>
      <w:start w:val="1"/>
    </w:lvl>
    <w:lvl w:ilvl="1">
      <w:lvlJc w:val="left"/>
      <w:lvlText w:val="(%2)"/>
      <w:numFmt w:val="lowerLetter"/>
      <w:start w:val="23"/>
    </w:lvl>
  </w:abstractNum>
  <w:abstractNum w:abstractNumId="9">
    <w:nsid w:val="614FD4A1"/>
    <w:multiLevelType w:val="hybridMultilevel"/>
    <w:lvl w:ilvl="0">
      <w:lvlJc w:val="left"/>
      <w:lvlText w:val="(%1)"/>
      <w:numFmt w:val="lowerLetter"/>
      <w:start w:val="9"/>
    </w:lvl>
    <w:lvl w:ilvl="1">
      <w:lvlJc w:val="left"/>
      <w:lvlText w:val="(%2)"/>
      <w:numFmt w:val="lowerLetter"/>
      <w:start w:val="24"/>
    </w:lvl>
  </w:abstractNum>
  <w:abstractNum w:abstractNumId="10">
    <w:nsid w:val="419AC241"/>
    <w:multiLevelType w:val="hybridMultilevel"/>
    <w:lvl w:ilvl="0">
      <w:lvlJc w:val="left"/>
      <w:lvlText w:val="(%1)"/>
      <w:numFmt w:val="lowerLetter"/>
      <w:start w:val="26"/>
    </w:lvl>
  </w:abstractNum>
  <w:abstractNum w:abstractNumId="11">
    <w:nsid w:val="5577F8E1"/>
    <w:multiLevelType w:val="hybridMultilevel"/>
    <w:lvl w:ilvl="0">
      <w:lvlJc w:val="left"/>
      <w:lvlText w:val="(%1)"/>
      <w:numFmt w:val="lowerLetter"/>
      <w:start w:val="27"/>
    </w:lvl>
  </w:abstractNum>
  <w:abstractNum w:abstractNumId="12">
    <w:nsid w:val="440BADFC"/>
    <w:multiLevelType w:val="hybridMultilevel"/>
    <w:lvl w:ilvl="0">
      <w:lvlJc w:val="left"/>
      <w:lvlText w:val="(%1)"/>
      <w:numFmt w:val="lowerLetter"/>
      <w:start w:val="30"/>
    </w:lvl>
  </w:abstractNum>
  <w:abstractNum w:abstractNumId="13">
    <w:nsid w:val="5072367"/>
    <w:multiLevelType w:val="hybridMultilevel"/>
    <w:lvl w:ilvl="0">
      <w:lvlJc w:val="left"/>
      <w:lvlText w:val="(%1)"/>
      <w:numFmt w:val="lowerLetter"/>
      <w:start w:val="34"/>
    </w:lvl>
  </w:abstractNum>
  <w:abstractNum w:abstractNumId="14">
    <w:nsid w:val="3804823E"/>
    <w:multiLevelType w:val="hybridMultilevel"/>
    <w:lvl w:ilvl="0">
      <w:lvlJc w:val="left"/>
      <w:lvlText w:val="(%1)"/>
      <w:numFmt w:val="lowerLetter"/>
      <w:start w:val="38"/>
    </w:lvl>
  </w:abstractNum>
  <w:abstractNum w:abstractNumId="15">
    <w:nsid w:val="77465F01"/>
    <w:multiLevelType w:val="hybridMultilevel"/>
    <w:lvl w:ilvl="0">
      <w:lvlJc w:val="left"/>
      <w:lvlText w:val="(%1)"/>
      <w:numFmt w:val="lowerLetter"/>
      <w:start w:val="40"/>
    </w:lvl>
  </w:abstractNum>
  <w:abstractNum w:abstractNumId="16">
    <w:nsid w:val="7724C67E"/>
    <w:multiLevelType w:val="hybridMultilevel"/>
    <w:lvl w:ilvl="0">
      <w:lvlJc w:val="left"/>
      <w:lvlText w:val="(%1)"/>
      <w:numFmt w:val="lowerLetter"/>
      <w:start w:val="44"/>
    </w:lvl>
  </w:abstractNum>
  <w:abstractNum w:abstractNumId="17">
    <w:nsid w:val="5C482A97"/>
    <w:multiLevelType w:val="hybridMultilevel"/>
    <w:lvl w:ilvl="0">
      <w:lvlJc w:val="left"/>
      <w:lvlText w:val="%1"/>
      <w:numFmt w:val="lowerRoman"/>
      <w:start w:val="1"/>
    </w:lvl>
    <w:lvl w:ilvl="1">
      <w:lvlJc w:val="left"/>
      <w:lvlText w:val="(%2)"/>
      <w:numFmt w:val="lowerLetter"/>
      <w:start w:val="51"/>
    </w:lvl>
  </w:abstractNum>
  <w:abstractNum w:abstractNumId="18">
    <w:nsid w:val="2463B9EA"/>
    <w:multiLevelType w:val="hybridMultilevel"/>
    <w:lvl w:ilvl="0">
      <w:lvlJc w:val="left"/>
      <w:lvlText w:val="(%1)"/>
      <w:numFmt w:val="lowerRoman"/>
      <w:start w:val="2"/>
    </w:lvl>
    <w:lvl w:ilvl="1">
      <w:lvlJc w:val="left"/>
      <w:lvlText w:val="(%2)"/>
      <w:numFmt w:val="lowerLetter"/>
      <w:start w:val="53"/>
    </w:lvl>
  </w:abstractNum>
  <w:abstractNum w:abstractNumId="19">
    <w:nsid w:val="5E884ADC"/>
    <w:multiLevelType w:val="hybridMultilevel"/>
    <w:lvl w:ilvl="0">
      <w:lvlJc w:val="left"/>
      <w:lvlText w:val="(%1)"/>
      <w:numFmt w:val="lowerLetter"/>
      <w:start w:val="55"/>
    </w:lvl>
  </w:abstractNum>
  <w:abstractNum w:abstractNumId="20">
    <w:nsid w:val="51EAD36B"/>
    <w:multiLevelType w:val="hybridMultilevel"/>
    <w:lvl w:ilvl="0">
      <w:lvlJc w:val="left"/>
      <w:lvlText w:val="%1."/>
      <w:numFmt w:val="decimal"/>
      <w:start w:val="2"/>
    </w:lvl>
    <w:lvl w:ilvl="1">
      <w:lvlJc w:val="left"/>
      <w:lvlText w:val="(%2)"/>
      <w:numFmt w:val="lowerLetter"/>
      <w:start w:val="1"/>
    </w:lvl>
  </w:abstractNum>
  <w:abstractNum w:abstractNumId="21">
    <w:nsid w:val="2D517796"/>
    <w:multiLevelType w:val="hybridMultilevel"/>
    <w:lvl w:ilvl="0">
      <w:lvlJc w:val="left"/>
      <w:lvlText w:val="(%1)"/>
      <w:numFmt w:val="lowerLetter"/>
      <w:start w:val="5"/>
    </w:lvl>
  </w:abstractNum>
  <w:abstractNum w:abstractNumId="22">
    <w:nsid w:val="580BD78F"/>
    <w:multiLevelType w:val="hybridMultilevel"/>
    <w:lvl w:ilvl="0">
      <w:lvlJc w:val="left"/>
      <w:lvlText w:val="(%1)"/>
      <w:numFmt w:val="lowerLetter"/>
      <w:start w:val="12"/>
    </w:lvl>
  </w:abstractNum>
  <w:abstractNum w:abstractNumId="23">
    <w:nsid w:val="153EA438"/>
    <w:multiLevelType w:val="hybridMultilevel"/>
    <w:lvl w:ilvl="0">
      <w:lvlJc w:val="left"/>
      <w:lvlText w:val="(%1)"/>
      <w:numFmt w:val="lowerLetter"/>
      <w:start w:val="16"/>
    </w:lvl>
  </w:abstractNum>
  <w:abstractNum w:abstractNumId="24">
    <w:nsid w:val="3855585C"/>
    <w:multiLevelType w:val="hybridMultilevel"/>
    <w:lvl w:ilvl="0">
      <w:lvlJc w:val="left"/>
      <w:lvlText w:val="%1."/>
      <w:numFmt w:val="decimal"/>
      <w:start w:val="3"/>
    </w:lvl>
  </w:abstractNum>
  <w:abstractNum w:abstractNumId="25">
    <w:nsid w:val="70A64E2A"/>
    <w:multiLevelType w:val="hybridMultilevel"/>
    <w:lvl w:ilvl="0">
      <w:lvlJc w:val="left"/>
      <w:lvlText w:val="%1."/>
      <w:numFmt w:val="decimal"/>
      <w:start w:val="4"/>
    </w:lvl>
  </w:abstractNum>
  <w:abstractNum w:abstractNumId="26">
    <w:nsid w:val="6A2342EC"/>
    <w:multiLevelType w:val="hybridMultilevel"/>
    <w:lvl w:ilvl="0">
      <w:lvlJc w:val="left"/>
      <w:lvlText w:val="%1."/>
      <w:numFmt w:val="decimal"/>
      <w:start w:val="6"/>
    </w:lvl>
    <w:lvl w:ilvl="1">
      <w:lvlJc w:val="left"/>
      <w:lvlText w:val="(%2)"/>
      <w:numFmt w:val="lowerRoman"/>
      <w:start w:val="1"/>
    </w:lvl>
  </w:abstractNum>
  <w:abstractNum w:abstractNumId="27">
    <w:nsid w:val="2A487CB0"/>
    <w:multiLevelType w:val="hybridMultilevel"/>
    <w:lvl w:ilvl="0">
      <w:lvlJc w:val="left"/>
      <w:lvlText w:val="(%1)"/>
      <w:numFmt w:val="lowerRoman"/>
      <w:start w:val="3"/>
    </w:lvl>
  </w:abstractNum>
  <w:abstractNum w:abstractNumId="28">
    <w:nsid w:val="1D4ED43B"/>
    <w:multiLevelType w:val="hybridMultilevel"/>
    <w:lvl w:ilvl="0">
      <w:lvlJc w:val="left"/>
      <w:lvlText w:val="(%1)"/>
      <w:numFmt w:val="lowerRoman"/>
      <w:start w:val="8"/>
    </w:lvl>
  </w:abstractNum>
  <w:abstractNum w:abstractNumId="29">
    <w:nsid w:val="725A06FB"/>
    <w:multiLevelType w:val="hybridMultilevel"/>
    <w:lvl w:ilvl="0">
      <w:lvlJc w:val="left"/>
      <w:lvlText w:val="(%1)"/>
      <w:numFmt w:val="lowerRoman"/>
      <w:start w:val="11"/>
    </w:lvl>
  </w:abstractNum>
  <w:abstractNum w:abstractNumId="30">
    <w:nsid w:val="2CD89A32"/>
    <w:multiLevelType w:val="hybridMultilevel"/>
    <w:lvl w:ilvl="0">
      <w:lvlJc w:val="left"/>
      <w:lvlText w:val="%1"/>
      <w:numFmt w:val="decimal"/>
      <w:start w:val="1"/>
    </w:lvl>
    <w:lvl w:ilvl="1">
      <w:lvlJc w:val="left"/>
      <w:lvlText w:val="(%2)"/>
      <w:numFmt w:val="lowerLetter"/>
      <w:start w:val="2"/>
    </w:lvl>
  </w:abstractNum>
  <w:abstractNum w:abstractNumId="31">
    <w:nsid w:val="57E4CCAF"/>
    <w:multiLevelType w:val="hybridMultilevel"/>
    <w:lvl w:ilvl="0">
      <w:lvlJc w:val="left"/>
      <w:lvlText w:val="%1."/>
      <w:numFmt w:val="decimal"/>
      <w:start w:val="7"/>
    </w:lvl>
    <w:lvl w:ilvl="1">
      <w:lvlJc w:val="left"/>
      <w:lvlText w:val="(%2)"/>
      <w:numFmt w:val="lowerLetter"/>
      <w:start w:val="1"/>
    </w:lvl>
  </w:abstractNum>
  <w:abstractNum w:abstractNumId="32">
    <w:nsid w:val="7A6D8D3C"/>
    <w:multiLevelType w:val="hybridMultilevel"/>
    <w:lvl w:ilvl="0">
      <w:lvlJc w:val="left"/>
      <w:lvlText w:val="%1"/>
      <w:numFmt w:val="lowerLetter"/>
      <w:start w:val="1"/>
    </w:lvl>
    <w:lvl w:ilvl="1">
      <w:lvlJc w:val="left"/>
      <w:lvlText w:val="(%2)"/>
      <w:numFmt w:val="lowerLetter"/>
      <w:start w:val="3"/>
    </w:lvl>
  </w:abstractNum>
  <w:abstractNum w:abstractNumId="33">
    <w:nsid w:val="4B588F54"/>
    <w:multiLevelType w:val="hybridMultilevel"/>
    <w:lvl w:ilvl="0">
      <w:lvlJc w:val="left"/>
      <w:lvlText w:val="(%1)"/>
      <w:numFmt w:val="lowerLetter"/>
      <w:start w:val="26"/>
    </w:lvl>
    <w:lvl w:ilvl="1">
      <w:lvlJc w:val="left"/>
      <w:lvlText w:val="(%2)"/>
      <w:numFmt w:val="lowerLetter"/>
      <w:start w:val="4"/>
    </w:lvl>
  </w:abstractNum>
  <w:abstractNum w:abstractNumId="34">
    <w:nsid w:val="542289EC"/>
    <w:multiLevelType w:val="hybridMultilevel"/>
    <w:lvl w:ilvl="0">
      <w:lvlJc w:val="left"/>
      <w:lvlText w:val="%1."/>
      <w:numFmt w:val="decimal"/>
      <w:start w:val="8"/>
    </w:lvl>
  </w:abstractNum>
  <w:abstractNum w:abstractNumId="35">
    <w:nsid w:val="6DE91B18"/>
    <w:multiLevelType w:val="hybridMultilevel"/>
    <w:lvl w:ilvl="0">
      <w:lvlJc w:val="left"/>
      <w:lvlText w:val="%1."/>
      <w:numFmt w:val="decimal"/>
      <w:start w:val="9"/>
    </w:lvl>
    <w:lvl w:ilvl="1">
      <w:lvlJc w:val="left"/>
      <w:lvlText w:val="(%2)"/>
      <w:numFmt w:val="lowerLetter"/>
      <w:start w:val="1"/>
    </w:lvl>
  </w:abstractNum>
  <w:abstractNum w:abstractNumId="36">
    <w:nsid w:val="38437FDB"/>
    <w:multiLevelType w:val="hybridMultilevel"/>
    <w:lvl w:ilvl="0">
      <w:lvlJc w:val="left"/>
      <w:lvlText w:val="(%1)"/>
      <w:numFmt w:val="lowerLetter"/>
      <w:start w:val="3"/>
    </w:lvl>
  </w:abstractNum>
  <w:abstractNum w:abstractNumId="37">
    <w:nsid w:val="7644A45C"/>
    <w:multiLevelType w:val="hybridMultilevel"/>
    <w:lvl w:ilvl="0">
      <w:lvlJc w:val="left"/>
      <w:lvlText w:val="(%1)"/>
      <w:numFmt w:val="lowerLetter"/>
      <w:start w:val="10"/>
    </w:lvl>
    <w:lvl w:ilvl="1">
      <w:lvlJc w:val="left"/>
      <w:lvlText w:val="(%2)"/>
      <w:numFmt w:val="lowerRoman"/>
      <w:start w:val="1"/>
    </w:lvl>
  </w:abstractNum>
  <w:abstractNum w:abstractNumId="38">
    <w:nsid w:val="32FFF902"/>
    <w:multiLevelType w:val="hybridMultilevel"/>
    <w:lvl w:ilvl="0">
      <w:lvlJc w:val="left"/>
      <w:lvlText w:val="(%1)"/>
      <w:numFmt w:val="lowerLetter"/>
      <w:start w:val="12"/>
    </w:lvl>
  </w:abstractNum>
  <w:abstractNum w:abstractNumId="39">
    <w:nsid w:val="684A481A"/>
    <w:multiLevelType w:val="hybridMultilevel"/>
    <w:lvl w:ilvl="0">
      <w:lvlJc w:val="left"/>
      <w:lvlText w:val="(%1)"/>
      <w:numFmt w:val="lowerLetter"/>
      <w:start w:val="15"/>
    </w:lvl>
  </w:abstractNum>
  <w:abstractNum w:abstractNumId="40">
    <w:nsid w:val="579478FE"/>
    <w:multiLevelType w:val="hybridMultilevel"/>
    <w:lvl w:ilvl="0">
      <w:lvlJc w:val="left"/>
      <w:lvlText w:val="%1."/>
      <w:numFmt w:val="decimal"/>
      <w:start w:val="10"/>
    </w:lvl>
    <w:lvl w:ilvl="1">
      <w:lvlJc w:val="left"/>
      <w:lvlText w:val="(%2)"/>
      <w:numFmt w:val="lowerLetter"/>
      <w:start w:val="1"/>
    </w:lvl>
  </w:abstractNum>
  <w:abstractNum w:abstractNumId="41">
    <w:nsid w:val="749ABB43"/>
    <w:multiLevelType w:val="hybridMultilevel"/>
    <w:lvl w:ilvl="0">
      <w:lvlJc w:val="left"/>
      <w:lvlText w:val="(%1)"/>
      <w:numFmt w:val="lowerLetter"/>
      <w:start w:val="2"/>
    </w:lvl>
  </w:abstractNum>
  <w:abstractNum w:abstractNumId="42">
    <w:nsid w:val="3DC240FB"/>
    <w:multiLevelType w:val="hybridMultilevel"/>
    <w:lvl w:ilvl="0">
      <w:lvlJc w:val="left"/>
      <w:lvlText w:val="(%1)"/>
      <w:numFmt w:val="lowerLetter"/>
      <w:start w:val="4"/>
    </w:lvl>
  </w:abstractNum>
  <w:abstractNum w:abstractNumId="43">
    <w:nsid w:val="1BA026FA"/>
    <w:multiLevelType w:val="hybridMultilevel"/>
    <w:lvl w:ilvl="0">
      <w:lvlJc w:val="left"/>
      <w:lvlText w:val="(%1)"/>
      <w:numFmt w:val="lowerLetter"/>
      <w:start w:val="5"/>
    </w:lvl>
  </w:abstractNum>
  <w:abstractNum w:abstractNumId="44">
    <w:nsid w:val="79A1DEAA"/>
    <w:multiLevelType w:val="hybridMultilevel"/>
    <w:lvl w:ilvl="0">
      <w:lvlJc w:val="left"/>
      <w:lvlText w:val="%1"/>
      <w:numFmt w:val="decimal"/>
      <w:start w:val="1"/>
    </w:lvl>
    <w:lvl w:ilvl="1">
      <w:lvlJc w:val="left"/>
      <w:lvlText w:val="(%2)"/>
      <w:numFmt w:val="lowerLetter"/>
      <w:start w:val="6"/>
    </w:lvl>
  </w:abstractNum>
  <w:abstractNum w:abstractNumId="45">
    <w:nsid w:val="75C6C33A"/>
    <w:multiLevelType w:val="hybridMultilevel"/>
    <w:lvl w:ilvl="0">
      <w:lvlJc w:val="left"/>
      <w:lvlText w:val="%1."/>
      <w:numFmt w:val="decimal"/>
      <w:start w:val="11"/>
    </w:lvl>
    <w:lvl w:ilvl="1">
      <w:lvlJc w:val="left"/>
      <w:lvlText w:val="(%2)"/>
      <w:numFmt w:val="lowerLetter"/>
      <w:start w:val="1"/>
    </w:lvl>
  </w:abstractNum>
  <w:abstractNum w:abstractNumId="46">
    <w:nsid w:val="12E685FB"/>
    <w:multiLevelType w:val="hybridMultilevel"/>
    <w:lvl w:ilvl="0">
      <w:lvlJc w:val="left"/>
      <w:lvlText w:val="%1"/>
      <w:numFmt w:val="decimal"/>
      <w:start w:val="1"/>
    </w:lvl>
    <w:lvl w:ilvl="1">
      <w:lvlJc w:val="left"/>
      <w:lvlText w:val="(%2)"/>
      <w:numFmt w:val="lowerLetter"/>
      <w:start w:val="2"/>
    </w:lvl>
  </w:abstractNum>
  <w:abstractNum w:abstractNumId="47">
    <w:nsid w:val="70C6A529"/>
    <w:multiLevelType w:val="hybridMultilevel"/>
    <w:lvl w:ilvl="0">
      <w:lvlJc w:val="left"/>
      <w:lvlText w:val="%1."/>
      <w:numFmt w:val="decimal"/>
      <w:start w:val="12"/>
    </w:lvl>
    <w:lvl w:ilvl="1">
      <w:lvlJc w:val="left"/>
      <w:lvlText w:val="%2"/>
      <w:numFmt w:val="lowerLetter"/>
      <w:start w:val="1"/>
    </w:lvl>
  </w:abstractNum>
  <w:abstractNum w:abstractNumId="48">
    <w:nsid w:val="520EEDD1"/>
    <w:multiLevelType w:val="hybridMultilevel"/>
    <w:lvl w:ilvl="0">
      <w:lvlJc w:val="left"/>
      <w:lvlText w:val="%1."/>
      <w:numFmt w:val="decimal"/>
      <w:start w:val="13"/>
    </w:lvl>
  </w:abstractNum>
  <w:abstractNum w:abstractNumId="49">
    <w:nsid w:val="374A3FE6"/>
    <w:multiLevelType w:val="hybridMultilevel"/>
    <w:lvl w:ilvl="0">
      <w:lvlJc w:val="left"/>
      <w:lvlText w:val="%1."/>
      <w:numFmt w:val="decimal"/>
      <w:start w:val="16"/>
    </w:lvl>
    <w:lvl w:ilvl="1">
      <w:lvlJc w:val="left"/>
      <w:lvlText w:val="(%2)"/>
      <w:numFmt w:val="lowerLetter"/>
      <w:start w:val="1"/>
    </w:lvl>
  </w:abstractNum>
  <w:abstractNum w:abstractNumId="50">
    <w:nsid w:val="4F4EF005"/>
    <w:multiLevelType w:val="hybridMultilevel"/>
    <w:lvl w:ilvl="0">
      <w:lvlJc w:val="left"/>
      <w:lvlText w:val="%1."/>
      <w:numFmt w:val="decimal"/>
      <w:start w:val="17"/>
    </w:lvl>
  </w:abstractNum>
  <w:abstractNum w:abstractNumId="51">
    <w:nsid w:val="23F9C13C"/>
    <w:multiLevelType w:val="hybridMultilevel"/>
    <w:lvl w:ilvl="0">
      <w:lvlJc w:val="left"/>
      <w:lvlText w:val="%1."/>
      <w:numFmt w:val="decimal"/>
      <w:start w:val="19"/>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decimal"/>
      <w:start w:val="203"/>
    </w:lvl>
  </w:abstractNum>
  <w:abstractNum w:abstractNumId="57">
    <w:nsid w:val="235BA861"/>
    <w:multiLevelType w:val="hybridMultilevel"/>
    <w:lvl w:ilvl="0">
      <w:lvlJc w:val="left"/>
      <w:lvlText w:val="(%1)"/>
      <w:numFmt w:val="decimal"/>
      <w:start w:val="2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2019-12-08T00:53:54Z</dcterms:created>
  <dcterms:modified xsi:type="dcterms:W3CDTF">2019-12-08T00:53:54Z</dcterms:modified>
</cp:coreProperties>
</file>