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38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June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ind w:left="4740" w:right="1719" w:hanging="4736"/>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645160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29"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ind w:firstLine="638"/>
        <w:spacing w:after="0" w:line="256" w:lineRule="auto"/>
        <w:rPr>
          <w:sz w:val="20"/>
          <w:szCs w:val="20"/>
          <w:color w:val="auto"/>
        </w:rPr>
      </w:pPr>
      <w:r>
        <w:rPr>
          <w:rFonts w:ascii="Arial" w:cs="Arial" w:eastAsia="Arial" w:hAnsi="Arial"/>
          <w:sz w:val="18"/>
          <w:szCs w:val="18"/>
          <w:color w:val="auto"/>
        </w:rPr>
        <w:t>On June 15, 2015,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held an Extraordinary General Meeting of Shareholders (the “</w:t>
      </w:r>
      <w:r>
        <w:rPr>
          <w:rFonts w:ascii="Arial" w:cs="Arial" w:eastAsia="Arial" w:hAnsi="Arial"/>
          <w:sz w:val="18"/>
          <w:szCs w:val="18"/>
          <w:b w:val="1"/>
          <w:bCs w:val="1"/>
          <w:color w:val="auto"/>
        </w:rPr>
        <w:t>Extraordinary Meeting</w:t>
      </w:r>
      <w:r>
        <w:rPr>
          <w:rFonts w:ascii="Arial" w:cs="Arial" w:eastAsia="Arial" w:hAnsi="Arial"/>
          <w:sz w:val="18"/>
          <w:szCs w:val="18"/>
          <w:color w:val="auto"/>
        </w:rPr>
        <w:t>”). The ratification of the election of each of (a) Ms. Lauri Hanover and (b) Mr. Jerry Mandel as an external director of the Company, subject to, and in accordance with, the provisions of the Israeli Companies Law, 5759-1999 (the “</w:t>
      </w:r>
      <w:r>
        <w:rPr>
          <w:rFonts w:ascii="Arial" w:cs="Arial" w:eastAsia="Arial" w:hAnsi="Arial"/>
          <w:sz w:val="18"/>
          <w:szCs w:val="18"/>
          <w:b w:val="1"/>
          <w:bCs w:val="1"/>
          <w:color w:val="auto"/>
        </w:rPr>
        <w:t>Proposal</w:t>
      </w:r>
      <w:r>
        <w:rPr>
          <w:rFonts w:ascii="Arial" w:cs="Arial" w:eastAsia="Arial" w:hAnsi="Arial"/>
          <w:sz w:val="18"/>
          <w:szCs w:val="18"/>
          <w:color w:val="auto"/>
        </w:rPr>
        <w:t>”), were approved at the Extraordinary Meeting. The Proposal was described at greater length in the notice and proxy statement with respect to the Extraordinary Meeting (which was annexed as Exhibit 99.1 to the Company’s Report of Foreign Private Issuer on Form 6-K furnished to the Securities and Exchange Commission on May 18, 2015), which description is incorporated by reference herein.</w:t>
      </w:r>
    </w:p>
    <w:p>
      <w:pPr>
        <w:spacing w:after="0" w:line="192" w:lineRule="exact"/>
        <w:rPr>
          <w:sz w:val="20"/>
          <w:szCs w:val="20"/>
          <w:color w:val="auto"/>
        </w:rPr>
      </w:pPr>
    </w:p>
    <w:p>
      <w:pPr>
        <w:ind w:right="460" w:firstLine="638"/>
        <w:spacing w:after="0" w:line="277" w:lineRule="auto"/>
        <w:rPr>
          <w:sz w:val="20"/>
          <w:szCs w:val="20"/>
          <w:color w:val="auto"/>
        </w:rPr>
      </w:pPr>
      <w:r>
        <w:rPr>
          <w:rFonts w:ascii="Arial" w:cs="Arial" w:eastAsia="Arial" w:hAnsi="Arial"/>
          <w:sz w:val="18"/>
          <w:szCs w:val="18"/>
          <w:color w:val="auto"/>
        </w:rPr>
        <w:t>The foregoing is incorporated by reference into the Company’s Registration Statement on Form S-8 (No. 203970) filed with the Securities and Exchange Commission on May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5220" w:type="dxa"/>
            <w:vAlign w:val="bottom"/>
            <w:gridSpan w:val="2"/>
          </w:tcPr>
          <w:p>
            <w:pPr>
              <w:ind w:left="2480"/>
              <w:spacing w:after="0"/>
              <w:rPr>
                <w:sz w:val="20"/>
                <w:szCs w:val="20"/>
                <w:color w:val="auto"/>
              </w:rPr>
            </w:pPr>
            <w:r>
              <w:rPr>
                <w:rFonts w:ascii="Arial" w:cs="Arial" w:eastAsia="Arial" w:hAnsi="Arial"/>
                <w:sz w:val="18"/>
                <w:szCs w:val="18"/>
                <w:color w:val="auto"/>
              </w:rPr>
              <w:t>KORNIT DIGITAL LTD.</w:t>
            </w:r>
          </w:p>
        </w:tc>
        <w:tc>
          <w:tcPr>
            <w:tcW w:w="230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June 15, 2015</w:t>
            </w:r>
          </w:p>
        </w:tc>
        <w:tc>
          <w:tcPr>
            <w:tcW w:w="3060" w:type="dxa"/>
            <w:vAlign w:val="bottom"/>
          </w:tcPr>
          <w:p>
            <w:pPr>
              <w:ind w:left="2480"/>
              <w:spacing w:after="0"/>
              <w:rPr>
                <w:sz w:val="20"/>
                <w:szCs w:val="20"/>
                <w:color w:val="auto"/>
              </w:rPr>
            </w:pPr>
            <w:r>
              <w:rPr>
                <w:rFonts w:ascii="Arial" w:cs="Arial" w:eastAsia="Arial" w:hAnsi="Arial"/>
                <w:sz w:val="18"/>
                <w:szCs w:val="18"/>
                <w:color w:val="auto"/>
              </w:rPr>
              <w:t>By:</w:t>
            </w: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c>
          <w:tcPr>
            <w:tcW w:w="2300" w:type="dxa"/>
            <w:vAlign w:val="bottom"/>
          </w:tcPr>
          <w:p>
            <w:pPr>
              <w:spacing w:after="0"/>
              <w:rPr>
                <w:sz w:val="24"/>
                <w:szCs w:val="24"/>
                <w:color w:val="auto"/>
              </w:rPr>
            </w:pPr>
          </w:p>
        </w:tc>
      </w:tr>
      <w:tr>
        <w:trPr>
          <w:trHeight w:val="195"/>
        </w:trPr>
        <w:tc>
          <w:tcPr>
            <w:tcW w:w="3920" w:type="dxa"/>
            <w:vAlign w:val="bottom"/>
          </w:tcPr>
          <w:p>
            <w:pPr>
              <w:spacing w:after="0"/>
              <w:rPr>
                <w:sz w:val="16"/>
                <w:szCs w:val="16"/>
                <w:color w:val="auto"/>
              </w:rPr>
            </w:pPr>
          </w:p>
        </w:tc>
        <w:tc>
          <w:tcPr>
            <w:tcW w:w="3060" w:type="dxa"/>
            <w:vAlign w:val="bottom"/>
          </w:tcPr>
          <w:p>
            <w:pPr>
              <w:ind w:left="2480"/>
              <w:spacing w:after="0" w:line="195" w:lineRule="exact"/>
              <w:rPr>
                <w:sz w:val="20"/>
                <w:szCs w:val="20"/>
                <w:color w:val="auto"/>
              </w:rPr>
            </w:pPr>
            <w:r>
              <w:rPr>
                <w:rFonts w:ascii="Arial" w:cs="Arial" w:eastAsia="Arial" w:hAnsi="Arial"/>
                <w:sz w:val="18"/>
                <w:szCs w:val="18"/>
                <w:color w:val="auto"/>
              </w:rPr>
              <w:t>Name:</w:t>
            </w:r>
          </w:p>
        </w:tc>
        <w:tc>
          <w:tcPr>
            <w:tcW w:w="2160" w:type="dxa"/>
            <w:vAlign w:val="bottom"/>
          </w:tcPr>
          <w:p>
            <w:pPr>
              <w:spacing w:after="0" w:line="195" w:lineRule="exact"/>
              <w:rPr>
                <w:sz w:val="20"/>
                <w:szCs w:val="20"/>
                <w:color w:val="auto"/>
              </w:rPr>
            </w:pPr>
            <w:r>
              <w:rPr>
                <w:rFonts w:ascii="Arial" w:cs="Arial" w:eastAsia="Arial" w:hAnsi="Arial"/>
                <w:sz w:val="18"/>
                <w:szCs w:val="18"/>
                <w:color w:val="auto"/>
              </w:rPr>
              <w:t>Guy Avidan</w:t>
            </w:r>
          </w:p>
        </w:tc>
        <w:tc>
          <w:tcPr>
            <w:tcW w:w="2300" w:type="dxa"/>
            <w:vAlign w:val="bottom"/>
          </w:tcPr>
          <w:p>
            <w:pPr>
              <w:spacing w:after="0"/>
              <w:rPr>
                <w:sz w:val="16"/>
                <w:szCs w:val="16"/>
                <w:color w:val="auto"/>
              </w:rPr>
            </w:pPr>
          </w:p>
        </w:tc>
      </w:tr>
      <w:tr>
        <w:trPr>
          <w:trHeight w:val="230"/>
        </w:trPr>
        <w:tc>
          <w:tcPr>
            <w:tcW w:w="3920" w:type="dxa"/>
            <w:vAlign w:val="bottom"/>
          </w:tcPr>
          <w:p>
            <w:pPr>
              <w:spacing w:after="0"/>
              <w:rPr>
                <w:sz w:val="20"/>
                <w:szCs w:val="20"/>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2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300" w:type="dxa"/>
            <w:vAlign w:val="bottom"/>
          </w:tcPr>
          <w:p>
            <w:pPr>
              <w:spacing w:after="0"/>
              <w:rPr>
                <w:sz w:val="20"/>
                <w:szCs w:val="20"/>
                <w:color w:val="auto"/>
              </w:rPr>
            </w:pPr>
          </w:p>
        </w:tc>
      </w:tr>
      <w:tr>
        <w:trPr>
          <w:trHeight w:val="1026"/>
        </w:trPr>
        <w:tc>
          <w:tcPr>
            <w:tcW w:w="39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68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2019-12-09T04:53:57Z</dcterms:created>
  <dcterms:modified xsi:type="dcterms:W3CDTF">2019-12-09T04:53:57Z</dcterms:modified>
</cp:coreProperties>
</file>