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December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00"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32"/>
          <w:szCs w:val="32"/>
          <w:b w:val="1"/>
          <w:bCs w:val="1"/>
          <w:color w:val="auto"/>
        </w:rPr>
        <w:t>KORNIT DIGITAL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20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25" w:lineRule="exact"/>
        <w:rPr>
          <w:sz w:val="24"/>
          <w:szCs w:val="24"/>
          <w:color w:val="auto"/>
        </w:rPr>
      </w:pPr>
    </w:p>
    <w:p>
      <w:pPr>
        <w:ind w:left="3500" w:right="1639" w:hanging="4611"/>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316865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728345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Request for Additional Extension of Share Repurchase Program</w:t>
      </w:r>
    </w:p>
    <w:p>
      <w:pPr>
        <w:spacing w:after="0" w:line="225" w:lineRule="exact"/>
        <w:rPr>
          <w:sz w:val="20"/>
          <w:szCs w:val="20"/>
          <w:color w:val="auto"/>
        </w:rPr>
      </w:pPr>
    </w:p>
    <w:p>
      <w:pPr>
        <w:ind w:right="40" w:firstLine="638"/>
        <w:spacing w:after="0" w:line="259" w:lineRule="auto"/>
        <w:rPr>
          <w:sz w:val="20"/>
          <w:szCs w:val="20"/>
          <w:color w:val="auto"/>
        </w:rPr>
      </w:pPr>
      <w:r>
        <w:rPr>
          <w:rFonts w:ascii="Times New Roman" w:cs="Times New Roman" w:eastAsia="Times New Roman" w:hAnsi="Times New Roman"/>
          <w:sz w:val="18"/>
          <w:szCs w:val="18"/>
          <w:color w:val="auto"/>
        </w:rPr>
        <w:t>On December 17, 2023, 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filed with an Israeli district court a request for approval of a second extension — for an additional six month period — of its existing share repurchase program. The request covers the current remaining $19.3 million unused amount (as of the filing date) under Kornit’s existing $75 million share repurchase program, for which Israeli court approval was originally received on December 15, 2022 for an initial six-month period, and again on July 18, 2023 for a six-month extension of the program covering the then-remaining available amount of $53.25 million under the program.</w:t>
      </w:r>
    </w:p>
    <w:p>
      <w:pPr>
        <w:spacing w:after="0" w:line="183" w:lineRule="exact"/>
        <w:rPr>
          <w:sz w:val="20"/>
          <w:szCs w:val="20"/>
          <w:color w:val="auto"/>
        </w:rPr>
      </w:pPr>
    </w:p>
    <w:p>
      <w:pPr>
        <w:ind w:right="480" w:firstLine="638"/>
        <w:spacing w:after="0" w:line="282" w:lineRule="auto"/>
        <w:rPr>
          <w:sz w:val="20"/>
          <w:szCs w:val="20"/>
          <w:color w:val="auto"/>
        </w:rPr>
      </w:pPr>
      <w:r>
        <w:rPr>
          <w:rFonts w:ascii="Times New Roman" w:cs="Times New Roman" w:eastAsia="Times New Roman" w:hAnsi="Times New Roman"/>
          <w:sz w:val="18"/>
          <w:szCs w:val="18"/>
          <w:color w:val="auto"/>
        </w:rPr>
        <w:t>The current, second six-month extension was approved on December 13, 2023 by Kornit’s Board of Directors, which has confirmed that the Company meets certain liquidity-related requirements under the Israeli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38"/>
        <w:spacing w:after="0" w:line="256" w:lineRule="auto"/>
        <w:rPr>
          <w:sz w:val="20"/>
          <w:szCs w:val="20"/>
          <w:color w:val="auto"/>
        </w:rPr>
      </w:pPr>
      <w:r>
        <w:rPr>
          <w:rFonts w:ascii="Times New Roman" w:cs="Times New Roman" w:eastAsia="Times New Roman" w:hAnsi="Times New Roman"/>
          <w:sz w:val="18"/>
          <w:szCs w:val="18"/>
          <w:color w:val="auto"/>
        </w:rPr>
        <w:t>Under the Companies Law, creditors of the Company will have 30 days to file objections to the extension of the share repurchase program. Assuming that the Israeli court approves the extension, repurchases may be made by Kornit once again from time to time, over the course of a new six-month period, through open market repurchases or privately negotiated transactions, subject to market conditions, applicable legal requirements, and other relevant factors. Open market repurchases will be effected in accordance with the requirements of Rule 10b-18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Company may also, from time to time, once again adopt plans in accordance with Rule 10b5-1 under the Exchange Act to facilitate repurchases of its shares during periods in which the Company may possess material information that has not yet been publicly disclosed.</w:t>
      </w:r>
    </w:p>
    <w:p>
      <w:pPr>
        <w:spacing w:after="0" w:line="187" w:lineRule="exact"/>
        <w:rPr>
          <w:sz w:val="20"/>
          <w:szCs w:val="20"/>
          <w:color w:val="auto"/>
        </w:rPr>
      </w:pPr>
    </w:p>
    <w:p>
      <w:pPr>
        <w:ind w:right="40" w:firstLine="638"/>
        <w:spacing w:after="0" w:line="266" w:lineRule="auto"/>
        <w:rPr>
          <w:sz w:val="20"/>
          <w:szCs w:val="20"/>
          <w:color w:val="auto"/>
        </w:rPr>
      </w:pPr>
      <w:r>
        <w:rPr>
          <w:rFonts w:ascii="Times New Roman" w:cs="Times New Roman" w:eastAsia="Times New Roman" w:hAnsi="Times New Roman"/>
          <w:sz w:val="18"/>
          <w:szCs w:val="18"/>
          <w:color w:val="auto"/>
        </w:rPr>
        <w:t>The repurchase program, as extended, will not obligate the Company to acquire any particular amount of its ordinary shares, and it may be modified, suspended, or terminated, at any time at the Company’s discretion. The timing and actual number of shares repurchased may depend on a variety of factors, including price, general business and market conditions, and alternative investment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ind w:right="160" w:firstLine="63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this Report of Foreign Private Issuer on Form 6-K are hereby incorporated by reference into Kornit’s Registration Statements on Form S-8 (File No.’s </w:t>
      </w:r>
      <w:hyperlink r:id="rId13">
        <w:r>
          <w:rPr>
            <w:rFonts w:ascii="Times New Roman" w:cs="Times New Roman" w:eastAsia="Times New Roman" w:hAnsi="Times New Roman"/>
            <w:sz w:val="18"/>
            <w:szCs w:val="18"/>
            <w:u w:val="single" w:color="auto"/>
            <w:color w:val="0000EE"/>
          </w:rPr>
          <w:t>333-203970</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333-214015</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333-217039</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333-223794</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333-230567</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333-237346</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333-254749</w:t>
        </w:r>
      </w:hyperlink>
      <w:r>
        <w:rPr>
          <w:rFonts w:ascii="Times New Roman" w:cs="Times New Roman" w:eastAsia="Times New Roman" w:hAnsi="Times New Roman"/>
          <w:sz w:val="18"/>
          <w:szCs w:val="18"/>
          <w:color w:val="auto"/>
        </w:rPr>
        <w:t xml:space="preserve">, and </w:t>
      </w:r>
      <w:hyperlink r:id="rId20">
        <w:r>
          <w:rPr>
            <w:rFonts w:ascii="Times New Roman" w:cs="Times New Roman" w:eastAsia="Times New Roman" w:hAnsi="Times New Roman"/>
            <w:sz w:val="18"/>
            <w:szCs w:val="18"/>
            <w:u w:val="single" w:color="auto"/>
            <w:color w:val="0000EE"/>
          </w:rPr>
          <w:t>333-263975</w:t>
        </w:r>
      </w:hyperlink>
      <w:r>
        <w:rPr>
          <w:rFonts w:ascii="Times New Roman" w:cs="Times New Roman" w:eastAsia="Times New Roman" w:hAnsi="Times New Roman"/>
          <w:sz w:val="18"/>
          <w:szCs w:val="18"/>
          <w:color w:val="auto"/>
        </w:rPr>
        <w: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340" w:firstLine="63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94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KORNIT DIGITAL LTD.</w:t>
            </w:r>
          </w:p>
        </w:tc>
      </w:tr>
      <w:tr>
        <w:trPr>
          <w:trHeight w:val="43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20, 2023</w:t>
            </w:r>
          </w:p>
        </w:tc>
        <w:tc>
          <w:tcPr>
            <w:tcW w:w="29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Lauri Hanover</w:t>
            </w:r>
          </w:p>
        </w:tc>
      </w:tr>
      <w:tr>
        <w:trPr>
          <w:trHeight w:val="198"/>
        </w:trPr>
        <w:tc>
          <w:tcPr>
            <w:tcW w:w="4300" w:type="dxa"/>
            <w:vAlign w:val="bottom"/>
          </w:tcPr>
          <w:p>
            <w:pPr>
              <w:spacing w:after="0"/>
              <w:rPr>
                <w:sz w:val="17"/>
                <w:szCs w:val="17"/>
                <w:color w:val="auto"/>
              </w:rPr>
            </w:pPr>
          </w:p>
        </w:tc>
        <w:tc>
          <w:tcPr>
            <w:tcW w:w="2980" w:type="dxa"/>
            <w:vAlign w:val="bottom"/>
          </w:tcPr>
          <w:p>
            <w:pPr>
              <w:ind w:left="24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920" w:type="dxa"/>
            <w:vAlign w:val="bottom"/>
            <w:tcBorders>
              <w:top w:val="single" w:sz="8" w:color="auto"/>
            </w:tcBorders>
          </w:tcPr>
          <w:p>
            <w:pPr>
              <w:ind w:left="40"/>
              <w:spacing w:after="0" w:line="198" w:lineRule="exact"/>
              <w:rPr>
                <w:sz w:val="20"/>
                <w:szCs w:val="20"/>
                <w:color w:val="auto"/>
              </w:rPr>
            </w:pPr>
            <w:r>
              <w:rPr>
                <w:rFonts w:ascii="Times New Roman" w:cs="Times New Roman" w:eastAsia="Times New Roman" w:hAnsi="Times New Roman"/>
                <w:sz w:val="18"/>
                <w:szCs w:val="18"/>
                <w:color w:val="auto"/>
              </w:rPr>
              <w:t>Lauri Hanover</w:t>
            </w:r>
          </w:p>
        </w:tc>
      </w:tr>
      <w:tr>
        <w:trPr>
          <w:trHeight w:val="234"/>
        </w:trPr>
        <w:tc>
          <w:tcPr>
            <w:tcW w:w="4300" w:type="dxa"/>
            <w:vAlign w:val="bottom"/>
          </w:tcPr>
          <w:p>
            <w:pPr>
              <w:spacing w:after="0"/>
              <w:rPr>
                <w:sz w:val="20"/>
                <w:szCs w:val="20"/>
                <w:color w:val="auto"/>
              </w:rPr>
            </w:pPr>
          </w:p>
        </w:tc>
        <w:tc>
          <w:tcPr>
            <w:tcW w:w="29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006"/>
        </w:trPr>
        <w:tc>
          <w:tcPr>
            <w:tcW w:w="4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s://www.sec.gov/Archives/edgar/data/000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2023-12-20T15:14:40Z</dcterms:created>
  <dcterms:modified xsi:type="dcterms:W3CDTF">2023-12-20T15:14:40Z</dcterms:modified>
</cp:coreProperties>
</file>