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4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40"/>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540"/>
        <w:spacing w:after="0"/>
        <w:rPr>
          <w:sz w:val="20"/>
          <w:szCs w:val="20"/>
          <w:color w:val="auto"/>
        </w:rPr>
      </w:pPr>
      <w:r>
        <w:rPr>
          <w:rFonts w:ascii="Arial" w:cs="Arial" w:eastAsia="Arial" w:hAnsi="Arial"/>
          <w:sz w:val="32"/>
          <w:szCs w:val="32"/>
          <w:b w:val="1"/>
          <w:bCs w:val="1"/>
          <w:color w:val="auto"/>
        </w:rPr>
        <w:t>FORM 6-K</w:t>
      </w:r>
    </w:p>
    <w:p>
      <w:pPr>
        <w:spacing w:after="0" w:line="236"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540"/>
        <w:spacing w:after="0"/>
        <w:rPr>
          <w:sz w:val="20"/>
          <w:szCs w:val="20"/>
          <w:color w:val="auto"/>
        </w:rPr>
      </w:pPr>
      <w:r>
        <w:rPr>
          <w:rFonts w:ascii="Arial" w:cs="Arial" w:eastAsia="Arial" w:hAnsi="Arial"/>
          <w:sz w:val="18"/>
          <w:szCs w:val="18"/>
          <w:color w:val="auto"/>
        </w:rPr>
        <w:t>For the month of May 2017</w:t>
      </w:r>
    </w:p>
    <w:p>
      <w:pPr>
        <w:spacing w:after="0" w:line="225" w:lineRule="exact"/>
        <w:rPr>
          <w:sz w:val="24"/>
          <w:szCs w:val="24"/>
          <w:color w:val="auto"/>
        </w:rPr>
      </w:pPr>
    </w:p>
    <w:p>
      <w:pPr>
        <w:jc w:val="center"/>
        <w:ind w:right="-540"/>
        <w:spacing w:after="0"/>
        <w:rPr>
          <w:sz w:val="20"/>
          <w:szCs w:val="20"/>
          <w:color w:val="auto"/>
        </w:rPr>
      </w:pPr>
      <w:r>
        <w:rPr>
          <w:rFonts w:ascii="Arial" w:cs="Arial" w:eastAsia="Arial" w:hAnsi="Arial"/>
          <w:sz w:val="18"/>
          <w:szCs w:val="18"/>
          <w:color w:val="auto"/>
        </w:rPr>
        <w:t>Commission File Number: 001-36903</w:t>
      </w:r>
    </w:p>
    <w:p>
      <w:pPr>
        <w:spacing w:after="0" w:line="201" w:lineRule="exact"/>
        <w:rPr>
          <w:sz w:val="24"/>
          <w:szCs w:val="24"/>
          <w:color w:val="auto"/>
        </w:rPr>
      </w:pPr>
    </w:p>
    <w:p>
      <w:pPr>
        <w:jc w:val="center"/>
        <w:ind w:right="-540"/>
        <w:spacing w:after="0"/>
        <w:rPr>
          <w:sz w:val="20"/>
          <w:szCs w:val="20"/>
          <w:color w:val="auto"/>
        </w:rPr>
      </w:pPr>
      <w:r>
        <w:rPr>
          <w:rFonts w:ascii="Arial" w:cs="Arial" w:eastAsia="Arial" w:hAnsi="Arial"/>
          <w:sz w:val="36"/>
          <w:szCs w:val="36"/>
          <w:b w:val="1"/>
          <w:bCs w:val="1"/>
          <w:color w:val="auto"/>
        </w:rPr>
        <w:t>KORNIT DIGITAL LTD.</w:t>
      </w:r>
    </w:p>
    <w:p>
      <w:pPr>
        <w:spacing w:after="0" w:line="45" w:lineRule="exact"/>
        <w:rPr>
          <w:sz w:val="24"/>
          <w:szCs w:val="24"/>
          <w:color w:val="auto"/>
        </w:rPr>
      </w:pPr>
    </w:p>
    <w:p>
      <w:pPr>
        <w:jc w:val="center"/>
        <w:ind w:right="-54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ind w:left="3640"/>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3" w:lineRule="exact"/>
        <w:rPr>
          <w:sz w:val="24"/>
          <w:szCs w:val="24"/>
          <w:color w:val="auto"/>
        </w:rPr>
      </w:pPr>
    </w:p>
    <w:p>
      <w:pPr>
        <w:ind w:left="3920"/>
        <w:spacing w:after="0" w:line="207" w:lineRule="exact"/>
        <w:tabs>
          <w:tab w:leader="none" w:pos="52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187325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204470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659130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59"/>
          </w:cols>
          <w:pgMar w:left="900" w:top="490"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May 16, 2017, Kornit Digital Ltd. (the “Company”) entered into an underwriting agreement (the “Underwriting Agreement”), with Barclays Capital Inc. and Citigroup Global Markets Inc. (the “Underwriters”), and Fortissimo Capital Fund II (Israel), L.P. (“Fortissimo”), relating to an underwritten public offering (the “Offering”), of 4,250,000 shares of the Company being sold by Fortissimo. The offering price to the public is $20.60 per share. Fortissimo has granted the Underwriters a 30-day option to purchase up to an aggregate of 637,500 shares at the public offering price. The Offering is expected to close on or about May 19, 2017.</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foregoing description of the Underwriting Agreement is only a summary and is qualified in its entirety by reference to the Underwriting Agreement, a copy of which is attached as Exhibit 1.1 to this Form 6-K.</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Offering is being made pursuant to the Company’s effective registration statement on Form F-3 (File No. 333-215404), previously filed with the Securities and Exchange Commission (the “SEC”). The Company has filed a final prospectus supplement dated May 16, 2017, relating to the Offering, with the SEC.</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May 15, 2017, the Company issued a press release titled, “Kornit Announces Launch of Secondary Public Offering of Ordinary Shares.” A copy of this press release is attached as Exhibit 99.1 to this Form 6-K.</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May 16, 2017, the Company issued a press release titled, “Kornit Announces Pricing of Secondary Public Offering of Ordinary Shares.” A copy of this press release is attached as Exhibit 99.2 to this Form 6-K.</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Report of Foreign Private Issuer is incorporated by reference in the Company’s registration statements on Form F-3, SEC file number 333-215404, filed with the SEC on January 3, 2017, and on Form S-8, SEC file numbers 333-217039, 333-214015 and 333-203970, filed with the SEC on March 30, 2017, October 6, 2016 and May 7, 2015, respectively.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KORNIT DIGITAL LTD.</w:t>
      </w:r>
    </w:p>
    <w:p>
      <w:pPr>
        <w:spacing w:after="0" w:line="225" w:lineRule="exact"/>
        <w:rPr>
          <w:sz w:val="20"/>
          <w:szCs w:val="20"/>
          <w:color w:val="auto"/>
        </w:rPr>
      </w:pPr>
    </w:p>
    <w:p>
      <w:pPr>
        <w:spacing w:after="0"/>
        <w:tabs>
          <w:tab w:leader="none" w:pos="6840" w:val="left"/>
          <w:tab w:leader="none" w:pos="7300" w:val="left"/>
        </w:tabs>
        <w:rPr>
          <w:sz w:val="20"/>
          <w:szCs w:val="20"/>
          <w:color w:val="auto"/>
        </w:rPr>
      </w:pPr>
      <w:r>
        <w:rPr>
          <w:rFonts w:ascii="Arial" w:cs="Arial" w:eastAsia="Arial" w:hAnsi="Arial"/>
          <w:sz w:val="18"/>
          <w:szCs w:val="18"/>
          <w:color w:val="auto"/>
        </w:rPr>
        <w:t>Date: May 18,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Guy Avidan</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7020" w:type="dxa"/>
            <w:vAlign w:val="bottom"/>
            <w:gridSpan w:val="6"/>
          </w:tcPr>
          <w:p>
            <w:pPr>
              <w:jc w:val="center"/>
              <w:ind w:right="4440"/>
              <w:spacing w:after="0"/>
              <w:rPr>
                <w:sz w:val="20"/>
                <w:szCs w:val="20"/>
                <w:color w:val="auto"/>
              </w:rPr>
            </w:pPr>
            <w:r>
              <w:rPr>
                <w:rFonts w:ascii="Arial" w:cs="Arial" w:eastAsia="Arial" w:hAnsi="Arial"/>
                <w:sz w:val="18"/>
                <w:szCs w:val="18"/>
                <w:b w:val="1"/>
                <w:bCs w:val="1"/>
                <w:color w:val="auto"/>
                <w:w w:val="94"/>
              </w:rPr>
              <w:t>Exhibit Index</w:t>
            </w:r>
          </w:p>
        </w:tc>
        <w:tc>
          <w:tcPr>
            <w:tcW w:w="0" w:type="dxa"/>
            <w:vAlign w:val="bottom"/>
          </w:tcPr>
          <w:p>
            <w:pPr>
              <w:spacing w:after="0"/>
              <w:rPr>
                <w:sz w:val="1"/>
                <w:szCs w:val="1"/>
                <w:color w:val="auto"/>
              </w:rPr>
            </w:pPr>
          </w:p>
        </w:tc>
      </w:tr>
      <w:tr>
        <w:trPr>
          <w:trHeight w:val="453"/>
        </w:trPr>
        <w:tc>
          <w:tcPr>
            <w:tcW w:w="116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100" w:type="dxa"/>
            <w:vAlign w:val="bottom"/>
          </w:tcPr>
          <w:p>
            <w:pPr>
              <w:spacing w:after="0"/>
              <w:rPr>
                <w:sz w:val="24"/>
                <w:szCs w:val="24"/>
                <w:color w:val="auto"/>
              </w:rPr>
            </w:pPr>
          </w:p>
        </w:tc>
        <w:tc>
          <w:tcPr>
            <w:tcW w:w="10180" w:type="dxa"/>
            <w:vAlign w:val="bottom"/>
            <w:gridSpan w:val="7"/>
          </w:tcPr>
          <w:p>
            <w:pPr>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Borders>
              <w:top w:val="single" w:sz="8" w:color="auto"/>
            </w:tcBorders>
          </w:tcPr>
          <w:p>
            <w:pPr>
              <w:spacing w:after="0"/>
              <w:rPr>
                <w:sz w:val="18"/>
                <w:szCs w:val="18"/>
                <w:color w:val="auto"/>
              </w:rPr>
            </w:pPr>
          </w:p>
        </w:tc>
        <w:tc>
          <w:tcPr>
            <w:tcW w:w="2140" w:type="dxa"/>
            <w:vAlign w:val="bottom"/>
            <w:tcBorders>
              <w:top w:val="single" w:sz="8" w:color="auto"/>
            </w:tcBorders>
          </w:tcPr>
          <w:p>
            <w:pPr>
              <w:spacing w:after="0"/>
              <w:rPr>
                <w:sz w:val="18"/>
                <w:szCs w:val="18"/>
                <w:color w:val="auto"/>
              </w:rPr>
            </w:pPr>
          </w:p>
        </w:tc>
        <w:tc>
          <w:tcPr>
            <w:tcW w:w="36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15"/>
                <w:szCs w:val="15"/>
                <w:color w:val="auto"/>
              </w:rPr>
            </w:pPr>
          </w:p>
        </w:tc>
        <w:tc>
          <w:tcPr>
            <w:tcW w:w="10160" w:type="dxa"/>
            <w:vAlign w:val="bottom"/>
            <w:tcBorders>
              <w:bottom w:val="single" w:sz="8" w:color="0000EE"/>
            </w:tcBorders>
            <w:gridSpan w:val="6"/>
            <w:shd w:val="clear" w:color="auto" w:fill="CCEEFF"/>
          </w:tcPr>
          <w:p>
            <w:pPr>
              <w:spacing w:after="0" w:line="176" w:lineRule="exact"/>
              <w:rPr>
                <w:sz w:val="20"/>
                <w:szCs w:val="20"/>
                <w:color w:val="auto"/>
              </w:rPr>
            </w:pPr>
            <w:r>
              <w:rPr>
                <w:rFonts w:ascii="Arial" w:cs="Arial" w:eastAsia="Arial" w:hAnsi="Arial"/>
                <w:sz w:val="18"/>
                <w:szCs w:val="18"/>
                <w:color w:val="0000EE"/>
                <w:w w:val="92"/>
              </w:rPr>
              <w:t>Underwriting Agreement, dated as of May 16, 2017, by and among the Company, Barclays Capital Inc. and Citigroup Global Markets Inc.,</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160" w:type="dxa"/>
            <w:vAlign w:val="bottom"/>
            <w:gridSpan w:val="6"/>
            <w:shd w:val="clear" w:color="auto" w:fill="CCEEFF"/>
          </w:tcPr>
          <w:p>
            <w:pPr>
              <w:spacing w:after="0" w:line="196" w:lineRule="exact"/>
              <w:rPr>
                <w:sz w:val="20"/>
                <w:szCs w:val="20"/>
                <w:color w:val="auto"/>
              </w:rPr>
            </w:pPr>
            <w:r>
              <w:rPr>
                <w:rFonts w:ascii="Arial" w:cs="Arial" w:eastAsia="Arial" w:hAnsi="Arial"/>
                <w:sz w:val="18"/>
                <w:szCs w:val="18"/>
                <w:color w:val="0000EE"/>
              </w:rPr>
              <w:t>and Fortissimo Capital Fund II (Israel), L.P.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160" w:type="dxa"/>
            <w:vAlign w:val="bottom"/>
            <w:tcBorders>
              <w:top w:val="single" w:sz="8" w:color="0000EE"/>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7"/>
                <w:szCs w:val="17"/>
                <w:color w:val="auto"/>
              </w:rPr>
            </w:pPr>
          </w:p>
        </w:tc>
        <w:tc>
          <w:tcPr>
            <w:tcW w:w="101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0000EE"/>
                <w:w w:val="92"/>
              </w:rPr>
              <w:t>Opinion of Meitar Liquornik Geva Leshem Tal, Israeli counsel to the Company, as to the validity of the ordinary shares (including consent).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160" w:type="dxa"/>
            <w:vAlign w:val="bottom"/>
            <w:tcBorders>
              <w:top w:val="single" w:sz="8" w:color="0000EE"/>
            </w:tcBorders>
          </w:tcPr>
          <w:p>
            <w:pPr>
              <w:spacing w:after="0"/>
              <w:rPr>
                <w:sz w:val="18"/>
                <w:szCs w:val="18"/>
                <w:color w:val="auto"/>
              </w:rPr>
            </w:pPr>
          </w:p>
        </w:tc>
        <w:tc>
          <w:tcPr>
            <w:tcW w:w="2140" w:type="dxa"/>
            <w:vAlign w:val="bottom"/>
            <w:tcBorders>
              <w:top w:val="single" w:sz="8" w:color="0000EE"/>
            </w:tcBorders>
          </w:tcPr>
          <w:p>
            <w:pPr>
              <w:spacing w:after="0"/>
              <w:rPr>
                <w:sz w:val="18"/>
                <w:szCs w:val="18"/>
                <w:color w:val="auto"/>
              </w:rPr>
            </w:pPr>
          </w:p>
        </w:tc>
        <w:tc>
          <w:tcPr>
            <w:tcW w:w="36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7"/>
                <w:szCs w:val="17"/>
                <w:color w:val="auto"/>
              </w:rPr>
            </w:pPr>
          </w:p>
        </w:tc>
        <w:tc>
          <w:tcPr>
            <w:tcW w:w="101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0000EE"/>
              </w:rPr>
              <w:t>Consent of Meitar Liquornik Geva Leshem Tal (included in Exhibit 5.1.)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160" w:type="dxa"/>
            <w:vAlign w:val="bottom"/>
            <w:tcBorders>
              <w:top w:val="single" w:sz="8" w:color="0000EE"/>
            </w:tcBorders>
          </w:tcPr>
          <w:p>
            <w:pPr>
              <w:spacing w:after="0"/>
              <w:rPr>
                <w:sz w:val="18"/>
                <w:szCs w:val="18"/>
                <w:color w:val="auto"/>
              </w:rPr>
            </w:pPr>
          </w:p>
        </w:tc>
        <w:tc>
          <w:tcPr>
            <w:tcW w:w="2140" w:type="dxa"/>
            <w:vAlign w:val="bottom"/>
            <w:tcBorders>
              <w:top w:val="single" w:sz="8" w:color="0000EE"/>
            </w:tcBorders>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17"/>
                <w:szCs w:val="17"/>
                <w:color w:val="auto"/>
              </w:rPr>
            </w:pPr>
          </w:p>
        </w:tc>
        <w:tc>
          <w:tcPr>
            <w:tcW w:w="101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0000EE"/>
              </w:rPr>
              <w:t>Press release dated May 15, 2017 and titled, “Kornit Announces Launch of Secondary Public Offering of Ordinary Shares.”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160" w:type="dxa"/>
            <w:vAlign w:val="bottom"/>
            <w:tcBorders>
              <w:top w:val="single" w:sz="8" w:color="0000EE"/>
            </w:tcBorders>
          </w:tcPr>
          <w:p>
            <w:pPr>
              <w:spacing w:after="0"/>
              <w:rPr>
                <w:sz w:val="18"/>
                <w:szCs w:val="18"/>
                <w:color w:val="auto"/>
              </w:rPr>
            </w:pPr>
          </w:p>
        </w:tc>
        <w:tc>
          <w:tcPr>
            <w:tcW w:w="2140" w:type="dxa"/>
            <w:vAlign w:val="bottom"/>
            <w:tcBorders>
              <w:top w:val="single" w:sz="8" w:color="0000EE"/>
            </w:tcBorders>
          </w:tcPr>
          <w:p>
            <w:pPr>
              <w:spacing w:after="0"/>
              <w:rPr>
                <w:sz w:val="18"/>
                <w:szCs w:val="18"/>
                <w:color w:val="auto"/>
              </w:rPr>
            </w:pPr>
          </w:p>
        </w:tc>
        <w:tc>
          <w:tcPr>
            <w:tcW w:w="36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99.2</w:t>
            </w:r>
          </w:p>
        </w:tc>
        <w:tc>
          <w:tcPr>
            <w:tcW w:w="100" w:type="dxa"/>
            <w:vAlign w:val="bottom"/>
            <w:tcBorders>
              <w:bottom w:val="single" w:sz="8" w:color="CCEEFF"/>
            </w:tcBorders>
            <w:shd w:val="clear" w:color="auto" w:fill="CCEEFF"/>
          </w:tcPr>
          <w:p>
            <w:pPr>
              <w:spacing w:after="0"/>
              <w:rPr>
                <w:sz w:val="17"/>
                <w:szCs w:val="17"/>
                <w:color w:val="auto"/>
              </w:rPr>
            </w:pPr>
          </w:p>
        </w:tc>
        <w:tc>
          <w:tcPr>
            <w:tcW w:w="8900" w:type="dxa"/>
            <w:vAlign w:val="bottom"/>
            <w:tcBorders>
              <w:bottom w:val="single" w:sz="8" w:color="0000EE"/>
            </w:tcBorders>
            <w:gridSpan w:val="3"/>
            <w:shd w:val="clear" w:color="auto" w:fill="CCEEFF"/>
          </w:tcPr>
          <w:p>
            <w:pPr>
              <w:spacing w:after="0" w:line="176" w:lineRule="exact"/>
              <w:rPr>
                <w:sz w:val="20"/>
                <w:szCs w:val="20"/>
                <w:color w:val="auto"/>
              </w:rPr>
            </w:pPr>
            <w:r>
              <w:rPr>
                <w:rFonts w:ascii="Arial" w:cs="Arial" w:eastAsia="Arial" w:hAnsi="Arial"/>
                <w:sz w:val="18"/>
                <w:szCs w:val="18"/>
                <w:color w:val="0000EE"/>
                <w:w w:val="91"/>
              </w:rPr>
              <w:t>Press release dated May 16, 2017 and titled, “Kornit Announces Pricing of Secondary Public Offering of Ordinary Shares.”</w:t>
            </w:r>
          </w:p>
        </w:tc>
        <w:tc>
          <w:tcPr>
            <w:tcW w:w="1260" w:type="dxa"/>
            <w:vAlign w:val="bottom"/>
            <w:tcBorders>
              <w:bottom w:val="single" w:sz="8" w:color="CCEEFF"/>
            </w:tcBorders>
            <w:gridSpan w:val="3"/>
            <w:shd w:val="clear" w:color="auto" w:fill="CCEEFF"/>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color w:val="auto"/>
              </w:rPr>
              <w:t>4</w:t>
            </w:r>
          </w:p>
        </w:tc>
        <w:tc>
          <w:tcPr>
            <w:tcW w:w="3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4,250,000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Ordinary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29" w:lineRule="exact"/>
        <w:rPr>
          <w:sz w:val="20"/>
          <w:szCs w:val="20"/>
          <w:color w:val="auto"/>
        </w:rPr>
      </w:pPr>
    </w:p>
    <w:p>
      <w:pPr>
        <w:ind w:left="10420"/>
        <w:spacing w:after="0"/>
        <w:rPr>
          <w:sz w:val="20"/>
          <w:szCs w:val="20"/>
          <w:color w:val="auto"/>
        </w:rPr>
      </w:pPr>
      <w:r>
        <w:rPr>
          <w:rFonts w:ascii="Arial" w:cs="Arial" w:eastAsia="Arial" w:hAnsi="Arial"/>
          <w:sz w:val="16"/>
          <w:szCs w:val="16"/>
          <w:color w:val="auto"/>
        </w:rPr>
        <w:t>May 16, 2017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ARCLAYS</w:t>
      </w:r>
      <w:r>
        <w:rPr>
          <w:rFonts w:ascii="Arial" w:cs="Arial" w:eastAsia="Arial" w:hAnsi="Arial"/>
          <w:sz w:val="18"/>
          <w:szCs w:val="18"/>
          <w:color w:val="auto"/>
        </w:rPr>
        <w:t xml:space="preserve"> C</w:t>
      </w:r>
      <w:r>
        <w:rPr>
          <w:rFonts w:ascii="Arial" w:cs="Arial" w:eastAsia="Arial" w:hAnsi="Arial"/>
          <w:sz w:val="12"/>
          <w:szCs w:val="12"/>
          <w:color w:val="auto"/>
        </w:rPr>
        <w:t>APITAL</w:t>
      </w:r>
      <w:r>
        <w:rPr>
          <w:rFonts w:ascii="Arial" w:cs="Arial" w:eastAsia="Arial" w:hAnsi="Arial"/>
          <w:sz w:val="18"/>
          <w:szCs w:val="18"/>
          <w:color w:val="auto"/>
        </w:rPr>
        <w:t xml:space="preserve"> I</w:t>
      </w:r>
      <w:r>
        <w:rPr>
          <w:rFonts w:ascii="Arial" w:cs="Arial" w:eastAsia="Arial" w:hAnsi="Arial"/>
          <w:sz w:val="12"/>
          <w:szCs w:val="12"/>
          <w:color w:val="auto"/>
        </w:rPr>
        <w:t>NC</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ITIGROUP</w:t>
      </w:r>
      <w:r>
        <w:rPr>
          <w:rFonts w:ascii="Arial" w:cs="Arial" w:eastAsia="Arial" w:hAnsi="Arial"/>
          <w:sz w:val="18"/>
          <w:szCs w:val="18"/>
          <w:color w:val="auto"/>
        </w:rPr>
        <w:t xml:space="preserve"> G</w:t>
      </w:r>
      <w:r>
        <w:rPr>
          <w:rFonts w:ascii="Arial" w:cs="Arial" w:eastAsia="Arial" w:hAnsi="Arial"/>
          <w:sz w:val="12"/>
          <w:szCs w:val="12"/>
          <w:color w:val="auto"/>
        </w:rPr>
        <w:t>LOBAL</w:t>
      </w:r>
      <w:r>
        <w:rPr>
          <w:rFonts w:ascii="Arial" w:cs="Arial" w:eastAsia="Arial" w:hAnsi="Arial"/>
          <w:sz w:val="18"/>
          <w:szCs w:val="18"/>
          <w:color w:val="auto"/>
        </w:rPr>
        <w:t xml:space="preserve"> M</w:t>
      </w:r>
      <w:r>
        <w:rPr>
          <w:rFonts w:ascii="Arial" w:cs="Arial" w:eastAsia="Arial" w:hAnsi="Arial"/>
          <w:sz w:val="12"/>
          <w:szCs w:val="12"/>
          <w:color w:val="auto"/>
        </w:rPr>
        <w:t>ARKETS</w:t>
      </w:r>
      <w:r>
        <w:rPr>
          <w:rFonts w:ascii="Arial" w:cs="Arial" w:eastAsia="Arial" w:hAnsi="Arial"/>
          <w:sz w:val="18"/>
          <w:szCs w:val="18"/>
          <w:color w:val="auto"/>
        </w:rPr>
        <w:t xml:space="preserve"> I</w:t>
      </w:r>
      <w:r>
        <w:rPr>
          <w:rFonts w:ascii="Arial" w:cs="Arial" w:eastAsia="Arial" w:hAnsi="Arial"/>
          <w:sz w:val="12"/>
          <w:szCs w:val="12"/>
          <w:color w:val="auto"/>
        </w:rPr>
        <w:t>NC</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1297"/>
        <w:spacing w:after="0" w:line="298" w:lineRule="auto"/>
        <w:rPr>
          <w:sz w:val="20"/>
          <w:szCs w:val="20"/>
          <w:color w:val="auto"/>
        </w:rPr>
      </w:pPr>
      <w:r>
        <w:rPr>
          <w:rFonts w:ascii="Arial" w:cs="Arial" w:eastAsia="Arial" w:hAnsi="Arial"/>
          <w:sz w:val="16"/>
          <w:szCs w:val="16"/>
          <w:color w:val="auto"/>
        </w:rPr>
        <w:t>Fortissimo Capital Fund II (Israel), L.P. (the “</w:t>
      </w:r>
      <w:r>
        <w:rPr>
          <w:rFonts w:ascii="Arial" w:cs="Arial" w:eastAsia="Arial" w:hAnsi="Arial"/>
          <w:sz w:val="16"/>
          <w:szCs w:val="16"/>
          <w:b w:val="1"/>
          <w:bCs w:val="1"/>
          <w:color w:val="auto"/>
        </w:rPr>
        <w:t>Selling Shareholder</w:t>
      </w:r>
      <w:r>
        <w:rPr>
          <w:rFonts w:ascii="Arial" w:cs="Arial" w:eastAsia="Arial" w:hAnsi="Arial"/>
          <w:sz w:val="16"/>
          <w:szCs w:val="16"/>
          <w:color w:val="auto"/>
        </w:rPr>
        <w:t>”) proposes to sell an aggregate of 4,250,000 of the Company’s ordinary shares (the “</w:t>
      </w:r>
      <w:r>
        <w:rPr>
          <w:rFonts w:ascii="Arial" w:cs="Arial" w:eastAsia="Arial" w:hAnsi="Arial"/>
          <w:sz w:val="16"/>
          <w:szCs w:val="16"/>
          <w:b w:val="1"/>
          <w:bCs w:val="1"/>
          <w:i w:val="1"/>
          <w:iCs w:val="1"/>
          <w:color w:val="auto"/>
        </w:rPr>
        <w:t>Firm Shares</w:t>
      </w:r>
      <w:r>
        <w:rPr>
          <w:rFonts w:ascii="Arial" w:cs="Arial" w:eastAsia="Arial" w:hAnsi="Arial"/>
          <w:sz w:val="16"/>
          <w:szCs w:val="16"/>
          <w:color w:val="auto"/>
        </w:rPr>
        <w:t>”), par value NIS 0.01 per share (the “</w:t>
      </w:r>
      <w:r>
        <w:rPr>
          <w:rFonts w:ascii="Arial" w:cs="Arial" w:eastAsia="Arial" w:hAnsi="Arial"/>
          <w:sz w:val="16"/>
          <w:szCs w:val="16"/>
          <w:b w:val="1"/>
          <w:bCs w:val="1"/>
          <w:color w:val="auto"/>
        </w:rPr>
        <w:t>Ordinary Shares</w:t>
      </w:r>
      <w:r>
        <w:rPr>
          <w:rFonts w:ascii="Arial" w:cs="Arial" w:eastAsia="Arial" w:hAnsi="Arial"/>
          <w:sz w:val="16"/>
          <w:szCs w:val="16"/>
          <w:color w:val="auto"/>
        </w:rPr>
        <w:t>”), to Barclays Capital Inc. and Citigroup Global Markets Inc. (the “</w:t>
      </w:r>
      <w:r>
        <w:rPr>
          <w:rFonts w:ascii="Arial" w:cs="Arial" w:eastAsia="Arial" w:hAnsi="Arial"/>
          <w:sz w:val="16"/>
          <w:szCs w:val="16"/>
          <w:b w:val="1"/>
          <w:bCs w:val="1"/>
          <w:color w:val="auto"/>
        </w:rPr>
        <w:t>Underwriters</w:t>
      </w:r>
      <w:r>
        <w:rPr>
          <w:rFonts w:ascii="Arial" w:cs="Arial" w:eastAsia="Arial" w:hAnsi="Arial"/>
          <w:sz w:val="16"/>
          <w:szCs w:val="16"/>
          <w:color w:val="auto"/>
        </w:rPr>
        <w:t>”). In addition, the Selling Shareholder proposes to grant to the Underwriters an option to purchase an aggregate of 637,500 additional Ordinary Shares on the terms set forth in Section 3 (the “</w:t>
      </w:r>
      <w:r>
        <w:rPr>
          <w:rFonts w:ascii="Arial" w:cs="Arial" w:eastAsia="Arial" w:hAnsi="Arial"/>
          <w:sz w:val="16"/>
          <w:szCs w:val="16"/>
          <w:b w:val="1"/>
          <w:bCs w:val="1"/>
          <w:color w:val="auto"/>
        </w:rPr>
        <w:t>Option Shares</w:t>
      </w:r>
      <w:r>
        <w:rPr>
          <w:rFonts w:ascii="Arial" w:cs="Arial" w:eastAsia="Arial" w:hAnsi="Arial"/>
          <w:sz w:val="16"/>
          <w:szCs w:val="16"/>
          <w:color w:val="auto"/>
        </w:rPr>
        <w:t>”). The Firm Shares and the Option Shares, if purchased, are hereinafter collectively called the “Shares.” This Agreement is to confirm the agreement concerning the purchase of the Shares from the Selling Shareholder by the Underwriters.</w:t>
      </w:r>
    </w:p>
    <w:p>
      <w:pPr>
        <w:spacing w:after="0" w:line="158" w:lineRule="exact"/>
        <w:rPr>
          <w:sz w:val="20"/>
          <w:szCs w:val="20"/>
          <w:color w:val="auto"/>
        </w:rPr>
      </w:pPr>
    </w:p>
    <w:p>
      <w:pPr>
        <w:ind w:left="1280" w:hanging="624"/>
        <w:spacing w:after="0"/>
        <w:tabs>
          <w:tab w:leader="none" w:pos="128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Representations, Warranties and Agreements of the Company</w:t>
      </w:r>
      <w:r>
        <w:rPr>
          <w:rFonts w:ascii="Arial" w:cs="Arial" w:eastAsia="Arial" w:hAnsi="Arial"/>
          <w:sz w:val="18"/>
          <w:szCs w:val="18"/>
          <w:color w:val="auto"/>
        </w:rPr>
        <w:t>. The Company represents, warrants and agrees that:</w:t>
      </w:r>
    </w:p>
    <w:p>
      <w:pPr>
        <w:spacing w:after="0" w:line="225" w:lineRule="exact"/>
        <w:rPr>
          <w:rFonts w:ascii="Arial" w:cs="Arial" w:eastAsia="Arial" w:hAnsi="Arial"/>
          <w:sz w:val="18"/>
          <w:szCs w:val="18"/>
          <w:color w:val="auto"/>
        </w:rPr>
      </w:pPr>
    </w:p>
    <w:p>
      <w:pPr>
        <w:jc w:val="both"/>
        <w:ind w:left="660" w:firstLine="645"/>
        <w:spacing w:after="0" w:line="257" w:lineRule="auto"/>
        <w:tabs>
          <w:tab w:leader="none" w:pos="1999" w:val="left"/>
        </w:tabs>
        <w:numPr>
          <w:ilvl w:val="1"/>
          <w:numId w:val="1"/>
        </w:numPr>
        <w:rPr>
          <w:rFonts w:ascii="Arial" w:cs="Arial" w:eastAsia="Arial" w:hAnsi="Arial"/>
          <w:sz w:val="18"/>
          <w:szCs w:val="18"/>
          <w:color w:val="auto"/>
        </w:rPr>
      </w:pPr>
      <w:r>
        <w:rPr>
          <w:rFonts w:ascii="Arial" w:cs="Arial" w:eastAsia="Arial" w:hAnsi="Arial"/>
          <w:sz w:val="18"/>
          <w:szCs w:val="18"/>
          <w:color w:val="auto"/>
        </w:rPr>
        <w:t>A registration statement on Form F-3 (File No. 333-215404) relating to the Shares has (i) been prepared by the Company in conformity with the requirements of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 the rules and regulations of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thereunder; (ii) been filed with the Commission under the Securities Act; and (iii) become effective under the Securities Act. Copies of such registration statement and any amendment thereto have been delivered by the Company to the Underwriters. As used in this Agreement:</w:t>
      </w:r>
    </w:p>
    <w:p>
      <w:pPr>
        <w:spacing w:after="0" w:line="184" w:lineRule="exact"/>
        <w:rPr>
          <w:rFonts w:ascii="Arial" w:cs="Arial" w:eastAsia="Arial" w:hAnsi="Arial"/>
          <w:sz w:val="18"/>
          <w:szCs w:val="18"/>
          <w:color w:val="auto"/>
        </w:rPr>
      </w:pPr>
    </w:p>
    <w:p>
      <w:pPr>
        <w:ind w:left="2300" w:hanging="490"/>
        <w:spacing w:after="0"/>
        <w:tabs>
          <w:tab w:leader="none" w:pos="2300" w:val="left"/>
        </w:tabs>
        <w:numPr>
          <w:ilvl w:val="2"/>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Time</w:t>
      </w:r>
      <w:r>
        <w:rPr>
          <w:rFonts w:ascii="Arial" w:cs="Arial" w:eastAsia="Arial" w:hAnsi="Arial"/>
          <w:sz w:val="18"/>
          <w:szCs w:val="18"/>
          <w:color w:val="auto"/>
        </w:rPr>
        <w:t>” means 8:15 a.m. (New York City time) May 16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ind w:left="1640" w:hanging="490"/>
        <w:spacing w:after="0"/>
        <w:tabs>
          <w:tab w:leader="none" w:pos="1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Effective Date</w:t>
      </w:r>
      <w:r>
        <w:rPr>
          <w:rFonts w:ascii="Arial" w:cs="Arial" w:eastAsia="Arial" w:hAnsi="Arial"/>
          <w:sz w:val="16"/>
          <w:szCs w:val="16"/>
          <w:color w:val="auto"/>
        </w:rPr>
        <w:t>” means the date and time as of which such registration statement was declared effective by the Commission;</w:t>
      </w:r>
    </w:p>
    <w:p>
      <w:pPr>
        <w:spacing w:after="0" w:line="248" w:lineRule="exact"/>
        <w:rPr>
          <w:rFonts w:ascii="Arial" w:cs="Arial" w:eastAsia="Arial" w:hAnsi="Arial"/>
          <w:sz w:val="16"/>
          <w:szCs w:val="16"/>
          <w:color w:val="auto"/>
        </w:rPr>
      </w:pPr>
    </w:p>
    <w:p>
      <w:pPr>
        <w:ind w:left="1680" w:hanging="530"/>
        <w:spacing w:after="0"/>
        <w:tabs>
          <w:tab w:leader="none" w:pos="1680" w:val="left"/>
        </w:tabs>
        <w:numPr>
          <w:ilvl w:val="0"/>
          <w:numId w:val="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Issuer Free Writing Prospectus</w:t>
      </w:r>
      <w:r>
        <w:rPr>
          <w:rFonts w:ascii="Arial" w:cs="Arial" w:eastAsia="Arial" w:hAnsi="Arial"/>
          <w:sz w:val="16"/>
          <w:szCs w:val="16"/>
          <w:color w:val="auto"/>
        </w:rPr>
        <w:t>” means each “issuer free writing prospectus” (as defined in Rule 433 under the Securities</w:t>
      </w:r>
    </w:p>
    <w:p>
      <w:pPr>
        <w:spacing w:after="0" w:line="5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Act);</w:t>
      </w:r>
    </w:p>
    <w:p>
      <w:pPr>
        <w:spacing w:after="0" w:line="207" w:lineRule="exact"/>
        <w:rPr>
          <w:sz w:val="20"/>
          <w:szCs w:val="20"/>
          <w:color w:val="auto"/>
        </w:rPr>
      </w:pPr>
    </w:p>
    <w:p>
      <w:pPr>
        <w:ind w:left="640" w:firstLine="510"/>
        <w:spacing w:after="0" w:line="282" w:lineRule="auto"/>
        <w:tabs>
          <w:tab w:leader="none" w:pos="1644"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Preliminary Prospectus</w:t>
      </w:r>
      <w:r>
        <w:rPr>
          <w:rFonts w:ascii="Arial" w:cs="Arial" w:eastAsia="Arial" w:hAnsi="Arial"/>
          <w:sz w:val="18"/>
          <w:szCs w:val="18"/>
          <w:color w:val="auto"/>
        </w:rPr>
        <w:t>” means any preliminary prospectus relating to the Shares included in such registration statement or filed with the Commission pursuant to Rule 424(b) under the Securities Act;</w:t>
      </w:r>
    </w:p>
    <w:p>
      <w:pPr>
        <w:spacing w:after="0" w:line="161" w:lineRule="exact"/>
        <w:rPr>
          <w:rFonts w:ascii="Arial" w:cs="Arial" w:eastAsia="Arial" w:hAnsi="Arial"/>
          <w:sz w:val="18"/>
          <w:szCs w:val="18"/>
          <w:color w:val="auto"/>
        </w:rPr>
      </w:pPr>
    </w:p>
    <w:p>
      <w:pPr>
        <w:jc w:val="both"/>
        <w:ind w:left="640" w:firstLine="510"/>
        <w:spacing w:after="0" w:line="261" w:lineRule="auto"/>
        <w:tabs>
          <w:tab w:leader="none" w:pos="1711"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Pricing Disclosure Package</w:t>
      </w:r>
      <w:r>
        <w:rPr>
          <w:rFonts w:ascii="Arial" w:cs="Arial" w:eastAsia="Arial" w:hAnsi="Arial"/>
          <w:sz w:val="18"/>
          <w:szCs w:val="18"/>
          <w:color w:val="auto"/>
        </w:rPr>
        <w:t>” means, as of the Applicable Time, the most recent Preliminary Prospectus, together with the information included in Schedule IV hereto and each Issuer Free Writing Prospectus filed or used by the Company on or before the Applicable Time, other than a road show that is an Issuer Free Writing Prospectus but is not required to be filed under Rule 433 under the Securities Act;</w:t>
      </w:r>
    </w:p>
    <w:p>
      <w:pPr>
        <w:spacing w:after="0" w:line="180" w:lineRule="exact"/>
        <w:rPr>
          <w:rFonts w:ascii="Arial" w:cs="Arial" w:eastAsia="Arial" w:hAnsi="Arial"/>
          <w:sz w:val="18"/>
          <w:szCs w:val="18"/>
          <w:color w:val="auto"/>
        </w:rPr>
      </w:pPr>
    </w:p>
    <w:p>
      <w:pPr>
        <w:ind w:left="640" w:firstLine="510"/>
        <w:spacing w:after="0" w:line="282" w:lineRule="auto"/>
        <w:tabs>
          <w:tab w:leader="none" w:pos="1702"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Prospectus</w:t>
      </w:r>
      <w:r>
        <w:rPr>
          <w:rFonts w:ascii="Arial" w:cs="Arial" w:eastAsia="Arial" w:hAnsi="Arial"/>
          <w:sz w:val="18"/>
          <w:szCs w:val="18"/>
          <w:color w:val="auto"/>
        </w:rPr>
        <w:t>” means the final prospectus relating to the Shares, as filed with the Commission pursuant to Rule 424(b) under the Securities Act;</w:t>
      </w:r>
    </w:p>
    <w:p>
      <w:pPr>
        <w:spacing w:after="0" w:line="161" w:lineRule="exact"/>
        <w:rPr>
          <w:rFonts w:ascii="Arial" w:cs="Arial" w:eastAsia="Arial" w:hAnsi="Arial"/>
          <w:sz w:val="18"/>
          <w:szCs w:val="18"/>
          <w:color w:val="auto"/>
        </w:rPr>
      </w:pPr>
    </w:p>
    <w:p>
      <w:pPr>
        <w:jc w:val="both"/>
        <w:ind w:left="640" w:firstLine="510"/>
        <w:spacing w:after="0" w:line="314" w:lineRule="auto"/>
        <w:tabs>
          <w:tab w:leader="none" w:pos="1680"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Registration Statement</w:t>
      </w:r>
      <w:r>
        <w:rPr>
          <w:rFonts w:ascii="Arial" w:cs="Arial" w:eastAsia="Arial" w:hAnsi="Arial"/>
          <w:sz w:val="16"/>
          <w:szCs w:val="16"/>
          <w:color w:val="auto"/>
        </w:rPr>
        <w:t>” means such registration statement, as amended as of the Effective Date, including any Preliminary Prospectus or the Prospectus, all exhibits to such registration statement, the documents incorporated by reference therein and including the information deemed by virtue of Rule 430A under the Securities Act to be part of such registration statement as of the Effective Date;</w:t>
      </w:r>
    </w:p>
    <w:p>
      <w:pPr>
        <w:spacing w:after="0" w:line="142" w:lineRule="exact"/>
        <w:rPr>
          <w:rFonts w:ascii="Arial" w:cs="Arial" w:eastAsia="Arial" w:hAnsi="Arial"/>
          <w:sz w:val="16"/>
          <w:szCs w:val="16"/>
          <w:color w:val="auto"/>
        </w:rPr>
      </w:pPr>
    </w:p>
    <w:p>
      <w:pPr>
        <w:ind w:left="640" w:right="20" w:firstLine="510"/>
        <w:spacing w:after="0" w:line="282" w:lineRule="auto"/>
        <w:tabs>
          <w:tab w:leader="none" w:pos="1766"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Testing-the-Waters Communication</w:t>
      </w:r>
      <w:r>
        <w:rPr>
          <w:rFonts w:ascii="Arial" w:cs="Arial" w:eastAsia="Arial" w:hAnsi="Arial"/>
          <w:sz w:val="18"/>
          <w:szCs w:val="18"/>
          <w:color w:val="auto"/>
        </w:rPr>
        <w:t>” means any oral or written communication with potential investors undertaken in reliance on Section 5(d) of the Securities Act; and</w:t>
      </w:r>
    </w:p>
    <w:p>
      <w:pPr>
        <w:spacing w:after="0" w:line="161" w:lineRule="exact"/>
        <w:rPr>
          <w:rFonts w:ascii="Arial" w:cs="Arial" w:eastAsia="Arial" w:hAnsi="Arial"/>
          <w:sz w:val="18"/>
          <w:szCs w:val="18"/>
          <w:color w:val="auto"/>
        </w:rPr>
      </w:pPr>
    </w:p>
    <w:p>
      <w:pPr>
        <w:ind w:left="640" w:firstLine="510"/>
        <w:spacing w:after="0" w:line="282" w:lineRule="auto"/>
        <w:tabs>
          <w:tab w:leader="none" w:pos="208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Written Testing-the-Waters Communication</w:t>
      </w:r>
      <w:r>
        <w:rPr>
          <w:rFonts w:ascii="Arial" w:cs="Arial" w:eastAsia="Arial" w:hAnsi="Arial"/>
          <w:sz w:val="18"/>
          <w:szCs w:val="18"/>
          <w:color w:val="auto"/>
        </w:rPr>
        <w:t>” means any Testing-the-Waters Communication that is a written communication within the meaning of Rule 405 under the Securities Act.</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Any reference to any Preliminary Prospectus or the Prospectus shall be deemed to refer to and include any documents incorporated by reference therein pursuant to Form F-3 under the Securities Act as of the date of such Preliminary Prospectus or the Prospectus, as the case may be. Any reference to the “most recent Preliminary Prospectus” shall be deemed to refer to the latest Preliminary Prospectus included in the Registration Statement or filed pursuant to Rule 424(b) under the Securities Act prior to or on the date hereof. Any reference to any amendment or supplement to any Preliminary Prospectus or the Prospectus shall be deemed to refer to and include any document filed under the Securities Exchange Act of 1934, as amended (the “Exchange Act”), after the date of such Preliminary Prospectus or the Prospectus, as the case may be, and before the date of such amendment or supplement and incorporated by reference in such Preliminary Prospectus or the Prospectus, as the case may be; and any reference to any amendment to the Registration Statement shall be deemed to include any document filed with the Commission pursuant to Section 13(a) or 15(d) of the Exchange Act after the Effective Date and before the date of such amendment that is incorporated by reference in the Registration Statement. The Commission has not issued any order preventing or suspending the use of any Preliminary Prospectus or the Prospectus or suspending the effectiveness of the Registration Statement, and no proceeding or examination for such purpose has been instituted or threatened by the Commission. The Commission has not notified the Company of any objection to the use of the form of the Registration Statement or any post-effective amendment thereto.</w:t>
      </w:r>
    </w:p>
    <w:p>
      <w:pPr>
        <w:spacing w:after="0" w:line="200" w:lineRule="exact"/>
        <w:rPr>
          <w:sz w:val="20"/>
          <w:szCs w:val="20"/>
          <w:color w:val="auto"/>
        </w:rPr>
      </w:pPr>
    </w:p>
    <w:p>
      <w:pPr>
        <w:spacing w:after="0" w:line="204"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904" w:right="239" w:bottom="1440" w:gutter="0" w:footer="0" w:header="0"/>
        </w:sectPr>
      </w:pPr>
    </w:p>
    <w:bookmarkStart w:id="6" w:name="page7"/>
    <w:bookmarkEnd w:id="6"/>
    <w:p>
      <w:pPr>
        <w:jc w:val="both"/>
        <w:ind w:left="-540" w:firstLine="645"/>
        <w:spacing w:after="0" w:line="312" w:lineRule="auto"/>
        <w:tabs>
          <w:tab w:leader="none" w:pos="653" w:val="left"/>
        </w:tabs>
        <w:numPr>
          <w:ilvl w:val="0"/>
          <w:numId w:val="4"/>
        </w:numPr>
        <w:rPr>
          <w:rFonts w:ascii="Arial" w:cs="Arial" w:eastAsia="Arial" w:hAnsi="Arial"/>
          <w:sz w:val="16"/>
          <w:szCs w:val="16"/>
          <w:color w:val="auto"/>
        </w:rPr>
      </w:pPr>
      <w:r>
        <w:rPr>
          <w:rFonts w:ascii="Arial" w:cs="Arial" w:eastAsia="Arial" w:hAnsi="Arial"/>
          <w:sz w:val="16"/>
          <w:szCs w:val="16"/>
          <w:color w:val="auto"/>
        </w:rPr>
        <w:t>From the time of initial filing of the Registration Statement with the Commission (or, if earlier, the first date on which the Company engaged directly or through any person authorized to act on its behalf in any Testing-the-Waters Communication) through the date hereof, the Company has been and is an “emerging growth company,” as defined in Section 2(a) of the Securities Act (an “</w:t>
      </w:r>
      <w:r>
        <w:rPr>
          <w:rFonts w:ascii="Arial" w:cs="Arial" w:eastAsia="Arial" w:hAnsi="Arial"/>
          <w:sz w:val="16"/>
          <w:szCs w:val="16"/>
          <w:b w:val="1"/>
          <w:bCs w:val="1"/>
          <w:color w:val="auto"/>
        </w:rPr>
        <w:t>Emerging Growth Company</w:t>
      </w:r>
      <w:r>
        <w:rPr>
          <w:rFonts w:ascii="Arial" w:cs="Arial" w:eastAsia="Arial" w:hAnsi="Arial"/>
          <w:sz w:val="16"/>
          <w:szCs w:val="16"/>
          <w:color w:val="auto"/>
        </w:rPr>
        <w:t>”).</w:t>
      </w:r>
    </w:p>
    <w:p>
      <w:pPr>
        <w:spacing w:after="0" w:line="146" w:lineRule="exact"/>
        <w:rPr>
          <w:rFonts w:ascii="Arial" w:cs="Arial" w:eastAsia="Arial" w:hAnsi="Arial"/>
          <w:sz w:val="16"/>
          <w:szCs w:val="16"/>
          <w:color w:val="auto"/>
        </w:rPr>
      </w:pPr>
    </w:p>
    <w:p>
      <w:pPr>
        <w:ind w:left="-540" w:right="20" w:firstLine="645"/>
        <w:spacing w:after="0" w:line="277" w:lineRule="auto"/>
        <w:tabs>
          <w:tab w:leader="none" w:pos="76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(i) has not engaged in any Testing-the-Waters Communication and (ii) has not authorized anyone other than the Underwriters to engage in Testing-the-Waters Communications.</w:t>
      </w:r>
    </w:p>
    <w:p>
      <w:pPr>
        <w:spacing w:after="0" w:line="170" w:lineRule="exact"/>
        <w:rPr>
          <w:rFonts w:ascii="Arial" w:cs="Arial" w:eastAsia="Arial" w:hAnsi="Arial"/>
          <w:sz w:val="18"/>
          <w:szCs w:val="18"/>
          <w:color w:val="auto"/>
        </w:rPr>
      </w:pPr>
    </w:p>
    <w:p>
      <w:pPr>
        <w:jc w:val="both"/>
        <w:ind w:left="-540" w:right="20" w:firstLine="645"/>
        <w:spacing w:after="0" w:line="312" w:lineRule="auto"/>
        <w:tabs>
          <w:tab w:leader="none" w:pos="672"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The Company was not at the time of initial filing of the Registration Statement and at the earliest time thereafter that the Company or another offering participant made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 (within the meaning of Rule 164(h)(2) under the Securities Act) of the Shares and is not on the date hereof and will not be on the applicable Delivery Date, an “ineligible issuer” (as defined in Rule 405 under the Securities Act).</w:t>
      </w:r>
    </w:p>
    <w:p>
      <w:pPr>
        <w:spacing w:after="0" w:line="146" w:lineRule="exact"/>
        <w:rPr>
          <w:rFonts w:ascii="Arial" w:cs="Arial" w:eastAsia="Arial" w:hAnsi="Arial"/>
          <w:sz w:val="16"/>
          <w:szCs w:val="16"/>
          <w:color w:val="auto"/>
        </w:rPr>
      </w:pPr>
    </w:p>
    <w:p>
      <w:pPr>
        <w:jc w:val="both"/>
        <w:ind w:left="-540" w:firstLine="645"/>
        <w:spacing w:after="0" w:line="254"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Registration Statement conformed and will conform in all material respects on the Effective Date and on the applicable Delivery Date, and any amendment to the Registration Statement filed after the date hereof will conform in all material respects when filed, to the requirements of the Securities Act and the rules and regulations thereunder. The most recent Preliminary Prospectus conformed, and the Prospectus will conform, in all material respects when filed with the Commission pursuant to Rule 424(b) under the Securities Act and on the applicable Delivery Date to the requirements of the Securities Act and the rules and regulations thereunder. The documents incorporated by reference in any Preliminary Prospectus or the Prospectus conformed, and any further documents so incorporated will conform, when filed with the Commission, in all material respects to the requirements of the Exchange Act or the Securities Act, as applicable, and the rules and regulations of the Commission thereunder.</w:t>
      </w:r>
    </w:p>
    <w:p>
      <w:pPr>
        <w:spacing w:after="0" w:line="192" w:lineRule="exact"/>
        <w:rPr>
          <w:rFonts w:ascii="Arial" w:cs="Arial" w:eastAsia="Arial" w:hAnsi="Arial"/>
          <w:sz w:val="18"/>
          <w:szCs w:val="18"/>
          <w:color w:val="auto"/>
        </w:rPr>
      </w:pPr>
    </w:p>
    <w:p>
      <w:pPr>
        <w:jc w:val="both"/>
        <w:ind w:left="-540" w:firstLine="645"/>
        <w:spacing w:after="0" w:line="257" w:lineRule="auto"/>
        <w:tabs>
          <w:tab w:leader="none" w:pos="619"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Registration Statement did not, as of the Effective Date, contain an untrue statement of a material fact or omit to state a material fact required to be stated therein or necessary to make the statements therein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representation or warranty is made as to information contained in or omitted from the Registration Statement in reliance upon and in conformity with written information furnished to the Company through the Underwriters by or on behalf of either Underwriter specifically for inclusion therein, which information is specified in Section 10(f).</w:t>
      </w:r>
    </w:p>
    <w:p>
      <w:pPr>
        <w:spacing w:after="0" w:line="200" w:lineRule="exact"/>
        <w:rPr>
          <w:sz w:val="20"/>
          <w:szCs w:val="20"/>
          <w:color w:val="auto"/>
        </w:rPr>
      </w:pPr>
    </w:p>
    <w:p>
      <w:pPr>
        <w:spacing w:after="0" w:line="20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7" w:name="page8"/>
    <w:bookmarkEnd w:id="7"/>
    <w:p>
      <w:pPr>
        <w:jc w:val="both"/>
        <w:ind w:left="-540" w:firstLine="645"/>
        <w:spacing w:after="0" w:line="257" w:lineRule="auto"/>
        <w:tabs>
          <w:tab w:leader="none" w:pos="611"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Prospectus will not, as of its date or as of the applicable Delivery Date, contain an untrue statement of a material fact or omit to state a material fact necessary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representation or warranty is made as to information contained in or omitted from the Prospectus in reliance upon and in conformity with written information furnished to the Company through the Underwriters by or on behalf of either Underwriter specifically for inclusion therein, which information is specified in Section 10(f).</w:t>
      </w:r>
    </w:p>
    <w:p>
      <w:pPr>
        <w:spacing w:after="0" w:line="188" w:lineRule="exact"/>
        <w:rPr>
          <w:rFonts w:ascii="Arial" w:cs="Arial" w:eastAsia="Arial" w:hAnsi="Arial"/>
          <w:sz w:val="18"/>
          <w:szCs w:val="18"/>
          <w:color w:val="auto"/>
        </w:rPr>
      </w:pPr>
    </w:p>
    <w:p>
      <w:pPr>
        <w:jc w:val="both"/>
        <w:ind w:left="-540" w:firstLine="645"/>
        <w:spacing w:after="0" w:line="286" w:lineRule="auto"/>
        <w:tabs>
          <w:tab w:leader="none" w:pos="63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documents incorporated by reference in any Preliminary Prospectus or the Prospectus did not, and any further documents filed and incorporated by reference therein will not, when filed with the Commission, contain an untrue statement of a material fact or omit to state a material fact necessary to make the statements therein, in the light of the circumstances under which they were made, not misleading.</w:t>
      </w:r>
    </w:p>
    <w:p>
      <w:pPr>
        <w:spacing w:after="0" w:line="165" w:lineRule="exact"/>
        <w:rPr>
          <w:rFonts w:ascii="Arial" w:cs="Arial" w:eastAsia="Arial" w:hAnsi="Arial"/>
          <w:sz w:val="17"/>
          <w:szCs w:val="17"/>
          <w:color w:val="auto"/>
        </w:rPr>
      </w:pPr>
    </w:p>
    <w:p>
      <w:pPr>
        <w:jc w:val="both"/>
        <w:ind w:left="-540" w:firstLine="645"/>
        <w:spacing w:after="0" w:line="257"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Pricing Disclosure Package did not, as of the Applicable Time, contain an untrue statement of a material fact or omit to state a material fact necessary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representation or warranty is made as to information contained in or omitted from the Pricing Disclosure Package in reliance upon and in conformity with written information furnished to the Company through the Underwriters by or on behalf of either Underwriter specifically for inclusion therein, which information is specified in Section 10(f).</w:t>
      </w:r>
    </w:p>
    <w:p>
      <w:pPr>
        <w:spacing w:after="0" w:line="188" w:lineRule="exact"/>
        <w:rPr>
          <w:rFonts w:ascii="Arial" w:cs="Arial" w:eastAsia="Arial" w:hAnsi="Arial"/>
          <w:sz w:val="18"/>
          <w:szCs w:val="18"/>
          <w:color w:val="auto"/>
        </w:rPr>
      </w:pPr>
    </w:p>
    <w:p>
      <w:pPr>
        <w:jc w:val="both"/>
        <w:ind w:left="-540" w:firstLine="645"/>
        <w:spacing w:after="0" w:line="255" w:lineRule="auto"/>
        <w:tabs>
          <w:tab w:leader="none" w:pos="637"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Each Issuer Free Writing Prospectus listed in Schedule V hereto, when taken together with the Pricing Disclosure Package, did not, as of the Applicable Time, contain an untrue statement of a material fact or omit to state a material fact necessary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representation or warranty is made as to information contained in or omitted from such Issuer Free Writing Prospectus listed in Schedule V hereto in reliance upon and in conformity with written information furnished to the Company through the Underwriters by or on behalf of either Underwriter specifically for inclusion therein, which information is specified in Section 10(f).</w:t>
      </w:r>
    </w:p>
    <w:p>
      <w:pPr>
        <w:spacing w:after="0" w:line="193" w:lineRule="exact"/>
        <w:rPr>
          <w:rFonts w:ascii="Arial" w:cs="Arial" w:eastAsia="Arial" w:hAnsi="Arial"/>
          <w:sz w:val="18"/>
          <w:szCs w:val="18"/>
          <w:color w:val="auto"/>
        </w:rPr>
      </w:pPr>
    </w:p>
    <w:p>
      <w:pPr>
        <w:ind w:left="580" w:hanging="475"/>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540" w:firstLine="645"/>
        <w:spacing w:after="0" w:line="273" w:lineRule="auto"/>
        <w:tabs>
          <w:tab w:leader="none" w:pos="611" w:val="left"/>
        </w:tabs>
        <w:numPr>
          <w:ilvl w:val="0"/>
          <w:numId w:val="5"/>
        </w:numPr>
        <w:rPr>
          <w:rFonts w:ascii="Arial" w:cs="Arial" w:eastAsia="Arial" w:hAnsi="Arial"/>
          <w:sz w:val="17"/>
          <w:szCs w:val="17"/>
          <w:color w:val="auto"/>
        </w:rPr>
      </w:pPr>
      <w:r>
        <w:rPr>
          <w:rFonts w:ascii="Arial" w:cs="Arial" w:eastAsia="Arial" w:hAnsi="Arial"/>
          <w:sz w:val="17"/>
          <w:szCs w:val="17"/>
          <w:color w:val="auto"/>
        </w:rPr>
        <w:t>Each Issuer Free Writing Prospectus conformed or will conform in all material respects to the requirements of the Securities Act and the rules and regulations thereunder on the date of first use, and the Company has complied with all prospectus delivery and any filing requirements applicable to such Issuer Free Writing Prospectus pursuant to the Securities Act and rules and regulations thereunder. The Company has not made any offer relating to the Shares that would constitute an Issuer Free Writing Prospectus without the prior written consent of the Underwriters. The Company has retained in accordance with the Securities Act and the rules and regulations thereunder all Issuer Free Writing Prospectuses that were not required to be filed pursuant to the Securities Act and the rules and regulations thereunder.</w:t>
      </w:r>
    </w:p>
    <w:p>
      <w:pPr>
        <w:spacing w:after="0" w:line="39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8" w:name="page9"/>
    <w:bookmarkEnd w:id="8"/>
    <w:p>
      <w:pPr>
        <w:jc w:val="both"/>
        <w:ind w:left="-540" w:firstLine="645"/>
        <w:spacing w:after="0" w:line="268" w:lineRule="auto"/>
        <w:tabs>
          <w:tab w:leader="none" w:pos="816"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 and each of its subsidiaries have been duly organized, are validly existing and, to the extent such concept is applicable, in good standing as a corporation or other business entity, under the laws of its jurisdiction of organization and is duly qualified to do business and in good standing as a foreign corporation or other business entity in each jurisdiction in which its ownership or lease of property or the conduct of its businesses requires such qualification, except where the failure to be so qualified or in good standing could not, in the aggregate, reasonably be expected to have a material adverse effect on the condition (financial or otherwise), results of operations, shareholders’ equity, properties, business or prospects of the Company and its subsidiaries taken as a whole (a “</w:t>
      </w:r>
      <w:r>
        <w:rPr>
          <w:rFonts w:ascii="Arial" w:cs="Arial" w:eastAsia="Arial" w:hAnsi="Arial"/>
          <w:sz w:val="17"/>
          <w:szCs w:val="17"/>
          <w:b w:val="1"/>
          <w:bCs w:val="1"/>
          <w:color w:val="auto"/>
        </w:rPr>
        <w:t>Material Adverse Effect</w:t>
      </w:r>
      <w:r>
        <w:rPr>
          <w:rFonts w:ascii="Arial" w:cs="Arial" w:eastAsia="Arial" w:hAnsi="Arial"/>
          <w:sz w:val="17"/>
          <w:szCs w:val="17"/>
          <w:color w:val="auto"/>
        </w:rPr>
        <w:t>”). The Company and each of its subsidiaries have all power and authority necessary to own or hold their properties and to conduct the businesses in which they are engaged. The Company does not own or control, directly or indirectly, any corporation, association or other entity other than the subsidiaries listed in Exhibit 8.1 to the Company’s Annual Report on Form 20-F for the year ended December 31, 2015. None of the subsidiaries of the Company (other than Kornit Digital Technologies Ltd., Kornit Digital Europe GmbH and Kornit Digital North America Inc. (collectively, the “</w:t>
      </w:r>
      <w:r>
        <w:rPr>
          <w:rFonts w:ascii="Arial" w:cs="Arial" w:eastAsia="Arial" w:hAnsi="Arial"/>
          <w:sz w:val="17"/>
          <w:szCs w:val="17"/>
          <w:b w:val="1"/>
          <w:bCs w:val="1"/>
          <w:color w:val="auto"/>
        </w:rPr>
        <w:t>Significant Subsidiaries</w:t>
      </w:r>
      <w:r>
        <w:rPr>
          <w:rFonts w:ascii="Arial" w:cs="Arial" w:eastAsia="Arial" w:hAnsi="Arial"/>
          <w:sz w:val="17"/>
          <w:szCs w:val="17"/>
          <w:color w:val="auto"/>
        </w:rPr>
        <w:t>”)) is a “significant subsidiary” (as defined in Rule 405 under the Securities Act). The Company and its sole Israeli subsidiary, Kornit Digital Technologies Ltd., are not currently designated as a “breaching company” (within the meaning of the Israeli Companies Law 5759-1999) by the Registrar of Companies of the State of Israel, nor has a proceeding been instituted by the Registrar of Companies in Israel for the dissolution of the Company or Kornit Digital Technologies Ltd.</w:t>
      </w:r>
    </w:p>
    <w:p>
      <w:pPr>
        <w:spacing w:after="0" w:line="185" w:lineRule="exact"/>
        <w:rPr>
          <w:rFonts w:ascii="Arial" w:cs="Arial" w:eastAsia="Arial" w:hAnsi="Arial"/>
          <w:sz w:val="17"/>
          <w:szCs w:val="17"/>
          <w:color w:val="auto"/>
        </w:rPr>
      </w:pPr>
    </w:p>
    <w:p>
      <w:pPr>
        <w:jc w:val="both"/>
        <w:ind w:left="-540" w:firstLine="645"/>
        <w:spacing w:after="0" w:line="269" w:lineRule="auto"/>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 has an authorized capitalization as set forth in each of the most recent Preliminary Prospectus and the Prospectus, and all of the issued share capital of the Company (including the Shares to be sold by the Selling Shareholder) has been duly authorized and validly issued, is fully paid and non-assessable, conforms to the description thereof contained in the most recent Preliminary Prospectus and was issued in compliance with Israeli securities laws and, to the extent applicable, other foreign and U.S. federal and state securities laws and not in violation of any preemptive right, resale right, right of first refusal or similar right. All of the Company’s options, warrants and other rights to purchase or exchange any securities for shares of the Company have been duly authorized and validly issued, conform to the description thereof contained in the most recent Preliminary Prospectus and were issued in compliance with Israeli securities laws and, to the extent applicable, other foreign or U.S. federal and state securities laws. All of the issued share capital or other ownership interest of each subsidiary of the Company have been duly authorized and validly issued, are fully paid and non-assessable and are owned directly or indirectly by the Company, free and clear of all liens, encumbrances, equities or claims, except for such liens, encumbrances, equities or claims as could not, individually or in the aggregate, reasonably be expected to have a Material Adverse Effect.</w:t>
      </w:r>
    </w:p>
    <w:p>
      <w:pPr>
        <w:spacing w:after="0" w:line="182" w:lineRule="exact"/>
        <w:rPr>
          <w:rFonts w:ascii="Arial" w:cs="Arial" w:eastAsia="Arial" w:hAnsi="Arial"/>
          <w:sz w:val="17"/>
          <w:szCs w:val="17"/>
          <w:color w:val="auto"/>
        </w:rPr>
      </w:pPr>
    </w:p>
    <w:p>
      <w:pPr>
        <w:jc w:val="both"/>
        <w:ind w:left="-540" w:firstLine="645"/>
        <w:spacing w:after="0" w:line="259" w:lineRule="auto"/>
        <w:tabs>
          <w:tab w:leader="none" w:pos="66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Shares to be issued and sold by the Company to the Underwriters hereunder have been duly authorized and, upon payment and delivery in accordance with this Agreement, will be validly issued, fully paid and non-assessable, will conform in all material respects to the description thereof contained in the most recent Preliminary Prospectus, will be issued in compliance with federal and state securities laws and will be free of statutory and contractual preemptive rights, rights of first refusal and similar rights.</w:t>
      </w:r>
    </w:p>
    <w:p>
      <w:pPr>
        <w:spacing w:after="0" w:line="200" w:lineRule="exact"/>
        <w:rPr>
          <w:sz w:val="20"/>
          <w:szCs w:val="20"/>
          <w:color w:val="auto"/>
        </w:rPr>
      </w:pPr>
    </w:p>
    <w:p>
      <w:pPr>
        <w:spacing w:after="0" w:line="20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9" w:name="page10"/>
    <w:bookmarkEnd w:id="9"/>
    <w:p>
      <w:pPr>
        <w:jc w:val="both"/>
        <w:ind w:left="-540" w:firstLine="645"/>
        <w:spacing w:after="0" w:line="270" w:lineRule="auto"/>
        <w:tabs>
          <w:tab w:leader="none" w:pos="669" w:val="left"/>
        </w:tabs>
        <w:numPr>
          <w:ilvl w:val="0"/>
          <w:numId w:val="7"/>
        </w:numPr>
        <w:rPr>
          <w:rFonts w:ascii="Arial" w:cs="Arial" w:eastAsia="Arial" w:hAnsi="Arial"/>
          <w:sz w:val="17"/>
          <w:szCs w:val="17"/>
          <w:color w:val="auto"/>
        </w:rPr>
      </w:pPr>
      <w:r>
        <w:rPr>
          <w:rFonts w:ascii="Arial" w:cs="Arial" w:eastAsia="Arial" w:hAnsi="Arial"/>
          <w:sz w:val="17"/>
          <w:szCs w:val="17"/>
          <w:color w:val="auto"/>
        </w:rPr>
        <w:t>All grants and issuances of the Company’s shares to its, or its subsidiaries’, employees were made pursuant to an employee benefit plan, qualified share option plan or other equity compensation plan. With respect to any share options granted (the “</w:t>
      </w:r>
      <w:r>
        <w:rPr>
          <w:rFonts w:ascii="Arial" w:cs="Arial" w:eastAsia="Arial" w:hAnsi="Arial"/>
          <w:sz w:val="17"/>
          <w:szCs w:val="17"/>
          <w:b w:val="1"/>
          <w:bCs w:val="1"/>
          <w:color w:val="auto"/>
        </w:rPr>
        <w:t>Share Options</w:t>
      </w:r>
      <w:r>
        <w:rPr>
          <w:rFonts w:ascii="Arial" w:cs="Arial" w:eastAsia="Arial" w:hAnsi="Arial"/>
          <w:sz w:val="17"/>
          <w:szCs w:val="17"/>
          <w:color w:val="auto"/>
        </w:rPr>
        <w:t>”) (i) each Share Option purported to be issued under Section 102 of the Israel Tax Ordinance qualifies for treatment under that section and for treatment under the capital gains track, (ii) each Share Option intended to qualify as an “incentive stock option” under Section 422 of the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 so qualifies in all material respects, and (iii) each grant of a Share Option was duly authorized no later than the date on which the grant of such Share Option was by its terms to be effective by all necessary corporate action, in each case, in all material respects, including, as applicable, approval by the board of directors of the Company (or a duly constituted and authorized committee thereof) and any required shareholder approval by the necessary number of votes or written consents, and the award agreement governing such grant (if any) was duly executed and delivered by each party thereto.</w:t>
      </w:r>
    </w:p>
    <w:p>
      <w:pPr>
        <w:spacing w:after="0" w:line="181" w:lineRule="exact"/>
        <w:rPr>
          <w:rFonts w:ascii="Arial" w:cs="Arial" w:eastAsia="Arial" w:hAnsi="Arial"/>
          <w:sz w:val="17"/>
          <w:szCs w:val="17"/>
          <w:color w:val="auto"/>
        </w:rPr>
      </w:pPr>
    </w:p>
    <w:p>
      <w:pPr>
        <w:ind w:left="-540" w:right="20" w:firstLine="645"/>
        <w:spacing w:after="0" w:line="342" w:lineRule="auto"/>
        <w:tabs>
          <w:tab w:leader="none" w:pos="675"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has all requisite corporate power and authority and obtained all requisite corporate approvals to execute, deliver and perform its obligations under this Agreement. This Agreement has been duly and validly authorized, executed and delivered by the Company.</w:t>
      </w:r>
    </w:p>
    <w:p>
      <w:pPr>
        <w:spacing w:after="0" w:line="123" w:lineRule="exact"/>
        <w:rPr>
          <w:rFonts w:ascii="Arial" w:cs="Arial" w:eastAsia="Arial" w:hAnsi="Arial"/>
          <w:sz w:val="16"/>
          <w:szCs w:val="16"/>
          <w:color w:val="auto"/>
        </w:rPr>
      </w:pPr>
    </w:p>
    <w:p>
      <w:pPr>
        <w:jc w:val="both"/>
        <w:ind w:left="-540" w:firstLine="645"/>
        <w:spacing w:after="0" w:line="287" w:lineRule="auto"/>
        <w:tabs>
          <w:tab w:leader="none" w:pos="676"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issue and sale of the Shares, the execution, delivery and performance of this Agreement by the Company, the consummation of the transactions contemplated hereby and the application of the proceeds from the sale of the Shares as described under “Use of Proceeds” in the most recent Preliminary Prospectus will not (i) conflict with or result in a breach or violation of any of the terms or provisions of, impose any lien, charge or encumbrance upon any property or assets of the Company and its subsidiaries, or constitute a default under, any indenture, mortgage, deed of trust, loan agreement, license, lease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articles of association, charter or by-laws (or similar organizational documents) of the Company or any of its subsidiaries; or (iii) result in any violation of any statute or any judgment, order, decree, rule or regulation of any court or governmental agency or body having jurisdiction over the Company or any of its subsidiaries or any of their properties or assets, except, for purposes of clauses (i) and (iii) above, any such conflict, breach, violation, default, lien, charge or encumbrance that would not, individually or in the aggregate, reasonably be expected to have a Material Adverse Effect and could not, individually or in the aggregate, reasonably be expected to have a material adverse effect on the Underwriters’ ability to consummate the transactions contemplated hereby.</w:t>
      </w:r>
    </w:p>
    <w:p>
      <w:pPr>
        <w:spacing w:after="0" w:line="38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0" w:name="page11"/>
    <w:bookmarkEnd w:id="10"/>
    <w:p>
      <w:pPr>
        <w:jc w:val="both"/>
        <w:ind w:left="-540" w:firstLine="645"/>
        <w:spacing w:after="0" w:line="255" w:lineRule="auto"/>
        <w:tabs>
          <w:tab w:leader="none" w:pos="757" w:val="left"/>
        </w:tabs>
        <w:numPr>
          <w:ilvl w:val="0"/>
          <w:numId w:val="8"/>
        </w:numPr>
        <w:rPr>
          <w:rFonts w:ascii="Arial" w:cs="Arial" w:eastAsia="Arial" w:hAnsi="Arial"/>
          <w:sz w:val="18"/>
          <w:szCs w:val="18"/>
          <w:color w:val="auto"/>
        </w:rPr>
      </w:pPr>
      <w:r>
        <w:rPr>
          <w:rFonts w:ascii="Arial" w:cs="Arial" w:eastAsia="Arial" w:hAnsi="Arial"/>
          <w:sz w:val="18"/>
          <w:szCs w:val="18"/>
          <w:color w:val="auto"/>
        </w:rPr>
        <w:t>Neither the Company nor any of its subsidiaries (i) has any outstanding obligations to the National Authority of Technological Innovation (formerly the Office of the Chief Scientist) of the Ministry of Economy and Industry of the State of Israel (“</w:t>
      </w:r>
      <w:r>
        <w:rPr>
          <w:rFonts w:ascii="Arial" w:cs="Arial" w:eastAsia="Arial" w:hAnsi="Arial"/>
          <w:sz w:val="18"/>
          <w:szCs w:val="18"/>
          <w:b w:val="1"/>
          <w:bCs w:val="1"/>
          <w:i w:val="1"/>
          <w:iCs w:val="1"/>
          <w:color w:val="auto"/>
        </w:rPr>
        <w:t>NATI</w:t>
      </w:r>
      <w:r>
        <w:rPr>
          <w:rFonts w:ascii="Arial" w:cs="Arial" w:eastAsia="Arial" w:hAnsi="Arial"/>
          <w:sz w:val="18"/>
          <w:szCs w:val="18"/>
          <w:color w:val="auto"/>
        </w:rPr>
        <w:t>”) except as set forth in each of the most recent Preliminary Prospectus and Prospectus nor (ii) is in violation with respect to any instrument of approval granted to it by the Investment Center of the Ministry of Economy of the State of Israel (the “</w:t>
      </w:r>
      <w:r>
        <w:rPr>
          <w:rFonts w:ascii="Arial" w:cs="Arial" w:eastAsia="Arial" w:hAnsi="Arial"/>
          <w:sz w:val="18"/>
          <w:szCs w:val="18"/>
          <w:b w:val="1"/>
          <w:bCs w:val="1"/>
          <w:color w:val="auto"/>
        </w:rPr>
        <w:t>Investment Center</w:t>
      </w:r>
      <w:r>
        <w:rPr>
          <w:rFonts w:ascii="Arial" w:cs="Arial" w:eastAsia="Arial" w:hAnsi="Arial"/>
          <w:sz w:val="18"/>
          <w:szCs w:val="18"/>
          <w:color w:val="auto"/>
        </w:rPr>
        <w:t>”) or by NATI. The Company has not received from the Investment Center any notice denying, revoking or adversely modifying any “approved enterprise” or “benefited enterprise” or “preferred enterprise” status with respect to any of the Company’s facilities or operations (including, in all such cases, notice of proceedings or investigations related thereto).</w:t>
      </w:r>
    </w:p>
    <w:p>
      <w:pPr>
        <w:spacing w:after="0" w:line="189" w:lineRule="exact"/>
        <w:rPr>
          <w:rFonts w:ascii="Arial" w:cs="Arial" w:eastAsia="Arial" w:hAnsi="Arial"/>
          <w:sz w:val="18"/>
          <w:szCs w:val="18"/>
          <w:color w:val="auto"/>
        </w:rPr>
      </w:pPr>
    </w:p>
    <w:p>
      <w:pPr>
        <w:jc w:val="both"/>
        <w:ind w:left="-540" w:firstLine="645"/>
        <w:spacing w:after="0" w:line="253" w:lineRule="auto"/>
        <w:tabs>
          <w:tab w:leader="none" w:pos="746"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consent, approval, authorization or order of, or filing, registration or qualification with, any court or governmental agency or body having jurisdiction over the Company or any of its subsidiaries or any of their properties or assets is required for the issue and sale of the Shares, the execution, delivery and performance of this Agreement by the Company, the consummation of the transactions contemplated hereby, the application of the proceeds from the sale of the Shares as described under “Use of Proceeds” in the most recent Preliminary Prospectus, except for (i) the registration of the Shares under the Securities Act; (ii) such consents, approvals, authorizations, orders, filings, registrations or qualifications as may be required under the Exchange Act, and applicable state or foreign securities laws and/or the bylaws and rules of the Financial Industry Regulatory Authority (the “</w:t>
      </w:r>
      <w:r>
        <w:rPr>
          <w:rFonts w:ascii="Arial" w:cs="Arial" w:eastAsia="Arial" w:hAnsi="Arial"/>
          <w:sz w:val="18"/>
          <w:szCs w:val="18"/>
          <w:b w:val="1"/>
          <w:bCs w:val="1"/>
          <w:color w:val="auto"/>
        </w:rPr>
        <w:t>FINRA</w:t>
      </w:r>
      <w:r>
        <w:rPr>
          <w:rFonts w:ascii="Arial" w:cs="Arial" w:eastAsia="Arial" w:hAnsi="Arial"/>
          <w:sz w:val="18"/>
          <w:szCs w:val="18"/>
          <w:color w:val="auto"/>
        </w:rPr>
        <w:t>”) in connection with the purchase and sale of the Shares by the Underwriters; (iii) the filing of certain information with the Registrar of Companies in the State of Israel, following the Closing, regarding the transfer of the Shares; and (iv) the transaction notification to NASDAQ.</w:t>
      </w:r>
    </w:p>
    <w:p>
      <w:pPr>
        <w:spacing w:after="0" w:line="197" w:lineRule="exact"/>
        <w:rPr>
          <w:rFonts w:ascii="Arial" w:cs="Arial" w:eastAsia="Arial" w:hAnsi="Arial"/>
          <w:sz w:val="18"/>
          <w:szCs w:val="18"/>
          <w:color w:val="auto"/>
        </w:rPr>
      </w:pPr>
    </w:p>
    <w:p>
      <w:pPr>
        <w:jc w:val="both"/>
        <w:ind w:left="-540" w:firstLine="645"/>
        <w:spacing w:after="0" w:line="257" w:lineRule="auto"/>
        <w:tabs>
          <w:tab w:leader="none" w:pos="70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historical financial statements (including the related notes and supporting schedules) included or incorporated by reference in the most recent Preliminary Prospectus comply as to form in all material respects with the requirements of Regulation S-X under the Securities Act and present fairly in all material respects the financial condition, results of operations and cash flows of the entities purported to be shown thereby at the dates and for the periods indicated and have been prepared in conformity with accounting principles generally accepted in the United States applied on a consistent basis throughout the periods involved.</w:t>
      </w:r>
    </w:p>
    <w:p>
      <w:pPr>
        <w:spacing w:after="0" w:line="188" w:lineRule="exact"/>
        <w:rPr>
          <w:rFonts w:ascii="Arial" w:cs="Arial" w:eastAsia="Arial" w:hAnsi="Arial"/>
          <w:sz w:val="18"/>
          <w:szCs w:val="18"/>
          <w:color w:val="auto"/>
        </w:rPr>
      </w:pPr>
    </w:p>
    <w:p>
      <w:pPr>
        <w:jc w:val="both"/>
        <w:ind w:left="-540" w:firstLine="645"/>
        <w:spacing w:after="0" w:line="259" w:lineRule="auto"/>
        <w:tabs>
          <w:tab w:leader="none" w:pos="651" w:val="left"/>
        </w:tabs>
        <w:numPr>
          <w:ilvl w:val="0"/>
          <w:numId w:val="8"/>
        </w:numPr>
        <w:rPr>
          <w:rFonts w:ascii="Arial" w:cs="Arial" w:eastAsia="Arial" w:hAnsi="Arial"/>
          <w:sz w:val="18"/>
          <w:szCs w:val="18"/>
          <w:color w:val="auto"/>
        </w:rPr>
      </w:pPr>
      <w:r>
        <w:rPr>
          <w:rFonts w:ascii="Arial" w:cs="Arial" w:eastAsia="Arial" w:hAnsi="Arial"/>
          <w:sz w:val="18"/>
          <w:szCs w:val="18"/>
          <w:color w:val="auto"/>
        </w:rPr>
        <w:t>Kost Forer Gabbay &amp; Kasierer, a member of Ernst &amp; Young Global, who have certified certain financial statements of the Company and its consolidated subsidiaries, whose report appears in the most recent Preliminary Prospectus, or is incorporated therein, and who have delivered the initial letter referred to in Section 9(i) hereof, are independent public accountants as required by the Securities Act and the rules and regulations thereunder.</w:t>
      </w:r>
    </w:p>
    <w:p>
      <w:pPr>
        <w:spacing w:after="0" w:line="200" w:lineRule="exact"/>
        <w:rPr>
          <w:sz w:val="20"/>
          <w:szCs w:val="20"/>
          <w:color w:val="auto"/>
        </w:rPr>
      </w:pPr>
    </w:p>
    <w:p>
      <w:pPr>
        <w:spacing w:after="0" w:line="20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1" w:name="page12"/>
    <w:bookmarkEnd w:id="11"/>
    <w:p>
      <w:pPr>
        <w:jc w:val="both"/>
        <w:ind w:left="4" w:firstLine="645"/>
        <w:spacing w:after="0" w:line="285" w:lineRule="auto"/>
        <w:tabs>
          <w:tab w:leader="none" w:pos="1254"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Company and each of its subsidiaries maintain a system of internal control over financial reporting (as such term is defined in Rule 13a-15(f) of the Exchange Act) that complies with the requirements of the Exchange Act and that has been designed by, or under the supervision of, the Company’s principal executive and principal financial officers, to provide reasonable assurance regarding the reliability of financial reporting and the preparation of financial statements for external purposes in accordance with generally accepted accounting principles in the United States. The Company and each of its subsidiaries maintain internal accounting controls sufficient to provide reasonable assurance that</w:t>
      </w:r>
    </w:p>
    <w:p>
      <w:pPr>
        <w:spacing w:after="0" w:line="2" w:lineRule="exact"/>
        <w:rPr>
          <w:rFonts w:ascii="Arial" w:cs="Arial" w:eastAsia="Arial" w:hAnsi="Arial"/>
          <w:sz w:val="16"/>
          <w:szCs w:val="16"/>
          <w:color w:val="auto"/>
        </w:rPr>
      </w:pPr>
    </w:p>
    <w:p>
      <w:pPr>
        <w:jc w:val="both"/>
        <w:ind w:left="4" w:hanging="4"/>
        <w:spacing w:after="0" w:line="268" w:lineRule="auto"/>
        <w:tabs>
          <w:tab w:leader="none" w:pos="223" w:val="left"/>
        </w:tabs>
        <w:numPr>
          <w:ilvl w:val="0"/>
          <w:numId w:val="10"/>
        </w:numPr>
        <w:rPr>
          <w:rFonts w:ascii="Arial" w:cs="Arial" w:eastAsia="Arial" w:hAnsi="Arial"/>
          <w:sz w:val="17"/>
          <w:szCs w:val="17"/>
          <w:color w:val="auto"/>
        </w:rPr>
      </w:pPr>
      <w:r>
        <w:rPr>
          <w:rFonts w:ascii="Arial" w:cs="Arial" w:eastAsia="Arial" w:hAnsi="Arial"/>
          <w:sz w:val="17"/>
          <w:szCs w:val="17"/>
          <w:color w:val="auto"/>
        </w:rPr>
        <w:t>transactions are executed in accordance with management’s general or specific authorization, (ii) transactions are recorded as necessary to permit preparation of the Company’s financial statements in conformity with accounting principles generally accepted in the United States and to maintain accountability for its assets, (iii) access to the Company’s assets is permitted only in accordance with management’s general or specific authorization, (iv) the recorded accountability for the Company’s assets is compared with existing assets at reasonable intervals and appropriate action is taken with respect to any differences, and (v) the interactive data in eXtensible Business Reporting Language included or incorporated by reference in the Pricing Disclosure Package and the Prospectus fairly present the information called for in all material respects and are prepared in accordance with the Commission's rules and guidelines applicable thereto. As of the date of the most recent balance sheet of the Company and its consolidated subsidiaries reviewed or audited by Kost Forer Gabbay &amp; Kasierer, a member of Ernst &amp; Young Global and the audit committee of the board of directors of the Company, there were no material weaknesses in the Company’s internal controls.</w:t>
      </w:r>
    </w:p>
    <w:p>
      <w:pPr>
        <w:spacing w:after="0" w:line="182" w:lineRule="exact"/>
        <w:rPr>
          <w:rFonts w:ascii="Arial" w:cs="Arial" w:eastAsia="Arial" w:hAnsi="Arial"/>
          <w:sz w:val="17"/>
          <w:szCs w:val="17"/>
          <w:color w:val="auto"/>
        </w:rPr>
      </w:pPr>
    </w:p>
    <w:p>
      <w:pPr>
        <w:jc w:val="both"/>
        <w:ind w:left="4" w:firstLine="645"/>
        <w:spacing w:after="0" w:line="255" w:lineRule="auto"/>
        <w:tabs>
          <w:tab w:leader="none" w:pos="1228" w:val="left"/>
        </w:tabs>
        <w:numPr>
          <w:ilvl w:val="1"/>
          <w:numId w:val="10"/>
        </w:numPr>
        <w:rPr>
          <w:rFonts w:ascii="Arial" w:cs="Arial" w:eastAsia="Arial" w:hAnsi="Arial"/>
          <w:sz w:val="18"/>
          <w:szCs w:val="18"/>
          <w:color w:val="auto"/>
        </w:rPr>
      </w:pPr>
      <w:r>
        <w:rPr>
          <w:rFonts w:ascii="Arial" w:cs="Arial" w:eastAsia="Arial" w:hAnsi="Arial"/>
          <w:sz w:val="18"/>
          <w:szCs w:val="18"/>
          <w:color w:val="auto"/>
        </w:rPr>
        <w:t>(i) The Company and its subsidiaries maintain disclosure controls and procedures (as such term is defined in Rule 13a-15(e) under the Exchange Act), (ii) such disclosure controls and procedures are designed to ensure that the information required to be disclosed by the Company in reports that it files or submits under the Exchange Act is accumulated and communicated to management of the Company and its subsidiaries, including their respective principal executive officers and principal financial officers, as appropriate, to allow timely decisions regarding required disclosure to be made, and (iii) such disclosure controls and procedures are effective in all material respects to perform the functions for which they were established.</w:t>
      </w:r>
    </w:p>
    <w:p>
      <w:pPr>
        <w:spacing w:after="0" w:line="193" w:lineRule="exact"/>
        <w:rPr>
          <w:rFonts w:ascii="Arial" w:cs="Arial" w:eastAsia="Arial" w:hAnsi="Arial"/>
          <w:sz w:val="18"/>
          <w:szCs w:val="18"/>
          <w:color w:val="auto"/>
        </w:rPr>
      </w:pPr>
    </w:p>
    <w:p>
      <w:pPr>
        <w:jc w:val="both"/>
        <w:ind w:left="4" w:firstLine="645"/>
        <w:spacing w:after="0" w:line="255" w:lineRule="auto"/>
        <w:tabs>
          <w:tab w:leader="none" w:pos="1211" w:val="left"/>
        </w:tabs>
        <w:numPr>
          <w:ilvl w:val="1"/>
          <w:numId w:val="10"/>
        </w:numPr>
        <w:rPr>
          <w:rFonts w:ascii="Arial" w:cs="Arial" w:eastAsia="Arial" w:hAnsi="Arial"/>
          <w:sz w:val="18"/>
          <w:szCs w:val="18"/>
          <w:color w:val="auto"/>
        </w:rPr>
      </w:pPr>
      <w:r>
        <w:rPr>
          <w:rFonts w:ascii="Arial" w:cs="Arial" w:eastAsia="Arial" w:hAnsi="Arial"/>
          <w:sz w:val="18"/>
          <w:szCs w:val="18"/>
          <w:color w:val="auto"/>
        </w:rPr>
        <w:t>Since the date of the most recent balance sheet of the Company and its consolidated subsidiaries reviewed or audited by Kost Forer Gabbay &amp; Kasierer, a member of Ernst &amp; Young Global, (i) the Company has not been advised of or become aware of (A) any material weakness or significant deficiency in internal controls of the Company or its subsidiaries, and (B) any fraud, whether or not material, that involves management or other employees who have a significant role in the internal controls of the Company and each of its subsidiaries; and (ii) there have been no significant adverse changes in internal controls or in other factors that could significantly affect internal controls, including any corrective actions with regard to significant deficiencies and material weaknesses.</w:t>
      </w:r>
    </w:p>
    <w:p>
      <w:pPr>
        <w:spacing w:after="0" w:line="193" w:lineRule="exact"/>
        <w:rPr>
          <w:rFonts w:ascii="Arial" w:cs="Arial" w:eastAsia="Arial" w:hAnsi="Arial"/>
          <w:sz w:val="18"/>
          <w:szCs w:val="18"/>
          <w:color w:val="auto"/>
        </w:rPr>
      </w:pPr>
    </w:p>
    <w:p>
      <w:pPr>
        <w:jc w:val="both"/>
        <w:ind w:left="4" w:right="20" w:firstLine="645"/>
        <w:spacing w:after="0" w:line="342" w:lineRule="auto"/>
        <w:tabs>
          <w:tab w:leader="none" w:pos="1237"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There is and has been no failure on the part of the Company and any of the Company’s directors or officers, in their capacities as such, to comply with any applicable provision of the Sarbanes-Oxley Act of 2002 and the rules and regulations promulgated in connection therewith.</w:t>
      </w:r>
    </w:p>
    <w:p>
      <w:pPr>
        <w:spacing w:after="0" w:line="340" w:lineRule="exact"/>
        <w:rPr>
          <w:sz w:val="20"/>
          <w:szCs w:val="20"/>
          <w:color w:val="auto"/>
        </w:rPr>
      </w:pPr>
    </w:p>
    <w:p>
      <w:pPr>
        <w:ind w:left="5024"/>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12" w:name="page13"/>
    <w:bookmarkEnd w:id="12"/>
    <w:p>
      <w:pPr>
        <w:jc w:val="both"/>
        <w:ind w:left="-540" w:firstLine="645"/>
        <w:spacing w:after="0" w:line="269" w:lineRule="auto"/>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Since the date of the latest audited financial statements included or incorporated by reference in the most recent Preliminary Prospectus, neither the Company nor any of its subsidiaries has (i) sustained any loss or interference with its business from fire, explosion, flood or other calamity, whether or not covered by insurance, or from any labor dispute or court or governmental action, order or decree, (ii) issued or granted any securities, except as set forth in the most recent Preliminary Prospectus, (iii) incurred any material liability or obligation, direct or contingent, other than liabilities and obligations that were incurred in the ordinary course of business or otherwise set forth in the most recent Preliminary Prospectus, (iv) entered into any material transaction not in the ordinary course of business, except as set forth in the most recent Preliminary Prospectus or (v) declared or paid any dividend on its share capital, and since such date, there has not been any change in the share capital (other than the issuance of ordinary shares, if any, pursuant to share option plans or other equity compensation plans or arrangements described in the most recent Preliminary Prospectus) or long-term debt of the Company or any of its subsidiaries or any adverse change, or any development involving a prospective adverse change, in or affecting the condition (financial or otherwise), results of operations, shareholders’ equity, properties, management, business or prospects of the Company and its subsidiaries taken as a whole, in each case except as would not, in the aggregate, reasonably be expected to have a Material Adverse Effect.</w:t>
      </w:r>
    </w:p>
    <w:p>
      <w:pPr>
        <w:spacing w:after="0" w:line="179" w:lineRule="exact"/>
        <w:rPr>
          <w:rFonts w:ascii="Arial" w:cs="Arial" w:eastAsia="Arial" w:hAnsi="Arial"/>
          <w:sz w:val="17"/>
          <w:szCs w:val="17"/>
          <w:color w:val="auto"/>
        </w:rPr>
      </w:pPr>
    </w:p>
    <w:p>
      <w:pPr>
        <w:jc w:val="both"/>
        <w:ind w:left="-540" w:firstLine="645"/>
        <w:spacing w:after="0" w:line="273" w:lineRule="auto"/>
        <w:tabs>
          <w:tab w:leader="none" w:pos="647"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Company and each of its subsidiaries have good and marketable title in fee simple to all real property and good and marketable title to all personal property owned by them, in each case free and clear of all liens, encumbrances and defects, except such liens, encumbrances and defects as are described in the most recent Preliminary Prospectus or such as do not materially affect the value of such property and do not materially interfere with the use made and proposed to be made of such property by the Company and its subsidiaries. All assets held under lease by the Company and its subsidiaries are held by them under valid, subsisting and enforceable leases, with such exceptions as do not materially interfere with the use made and proposed to be made of such assets by the Company and its subsidiaries.</w:t>
      </w:r>
    </w:p>
    <w:p>
      <w:pPr>
        <w:spacing w:after="0" w:line="178" w:lineRule="exact"/>
        <w:rPr>
          <w:rFonts w:ascii="Arial" w:cs="Arial" w:eastAsia="Arial" w:hAnsi="Arial"/>
          <w:sz w:val="17"/>
          <w:szCs w:val="17"/>
          <w:color w:val="auto"/>
        </w:rPr>
      </w:pPr>
    </w:p>
    <w:p>
      <w:pPr>
        <w:jc w:val="both"/>
        <w:ind w:left="-540" w:firstLine="645"/>
        <w:spacing w:after="0" w:line="290" w:lineRule="auto"/>
        <w:tabs>
          <w:tab w:leader="none" w:pos="621"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Company and each of its subsidiaries have such permits, licenses, patents, franchises, certificates of need and other approvals or authorizations of governmental or regulatory authorities (“</w:t>
      </w:r>
      <w:r>
        <w:rPr>
          <w:rFonts w:ascii="Arial" w:cs="Arial" w:eastAsia="Arial" w:hAnsi="Arial"/>
          <w:sz w:val="16"/>
          <w:szCs w:val="16"/>
          <w:b w:val="1"/>
          <w:bCs w:val="1"/>
          <w:i w:val="1"/>
          <w:iCs w:val="1"/>
          <w:color w:val="auto"/>
        </w:rPr>
        <w:t>Permits</w:t>
      </w:r>
      <w:r>
        <w:rPr>
          <w:rFonts w:ascii="Arial" w:cs="Arial" w:eastAsia="Arial" w:hAnsi="Arial"/>
          <w:sz w:val="16"/>
          <w:szCs w:val="16"/>
          <w:color w:val="auto"/>
        </w:rPr>
        <w:t>”) as are necessary under applicable law to own their properties and conduct their businesses in the manner described in the most recent Preliminary Prospectus, except for any of the foregoing that would not, in the aggregate, reasonably be expected to have a Material Adverse Effect. The Company and each of its subsidiaries have fulfilled and performed all of its obligations with respect to the Permits, and no event has occurred that allows, or after notice or lapse of time would allow, revocation or termination thereof or results in any other impairment of the rights of the holder or any such Permits, except for any of the foregoing that would not reasonably be expected to have a Material Adverse Effect. Neither the Company nor any of its subsidiaries has received notice of any revocation or modification of any such Permits or has any reason to believe that any such Permits will not be renewed in the ordinary course.</w:t>
      </w:r>
    </w:p>
    <w:p>
      <w:pPr>
        <w:spacing w:after="0" w:line="38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3" w:name="page14"/>
    <w:bookmarkEnd w:id="13"/>
    <w:p>
      <w:pPr>
        <w:jc w:val="both"/>
        <w:ind w:left="-540" w:firstLine="645"/>
        <w:spacing w:after="0" w:line="273" w:lineRule="auto"/>
        <w:tabs>
          <w:tab w:leader="none" w:pos="641"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Except as would not reasonably be expected to have a Material Adverse Effect, (i) the Company and each of its subsidiaries owns or possesses adequate rights to use all material patents, patent applications, trademarks, service marks, trade names, trademark registrations, service mark registrations, copyrights, licenses, know-how, software, systems and technology (including trade secrets and other unpatented and/or unpatentable proprietary or confidential information, systems or procedures) necessary for the conduct of their respective businesses and (ii) the Company and each of its subsidiaries has no reason to believe that the conduct of their respective businesses will conflict with, and has not received any notice of any claim of conflict with, any such rights of others.</w:t>
      </w:r>
    </w:p>
    <w:p>
      <w:pPr>
        <w:spacing w:after="0" w:line="178" w:lineRule="exact"/>
        <w:rPr>
          <w:rFonts w:ascii="Arial" w:cs="Arial" w:eastAsia="Arial" w:hAnsi="Arial"/>
          <w:sz w:val="17"/>
          <w:szCs w:val="17"/>
          <w:color w:val="auto"/>
        </w:rPr>
      </w:pPr>
    </w:p>
    <w:p>
      <w:pPr>
        <w:jc w:val="both"/>
        <w:ind w:left="-540" w:firstLine="645"/>
        <w:spacing w:after="0" w:line="257" w:lineRule="auto"/>
        <w:tabs>
          <w:tab w:leader="none" w:pos="63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are no legal or governmental proceedings pending to which the Company or any of its subsidiaries is a party or of which any property or assets of the Company or any of its subsidiaries is the subject that could, in the aggregate, reasonably be expected to have a Material Adverse Effect or would, in the aggregate, reasonably be expected to have a material adverse effect on the performance of this Agreement or the consummation of the transactions contemplated hereby; and to the Company’s knowledge, no such proceedings are threatened or contemplated by governmental authorities or others.</w:t>
      </w:r>
    </w:p>
    <w:p>
      <w:pPr>
        <w:spacing w:after="0" w:line="188" w:lineRule="exact"/>
        <w:rPr>
          <w:rFonts w:ascii="Arial" w:cs="Arial" w:eastAsia="Arial" w:hAnsi="Arial"/>
          <w:sz w:val="18"/>
          <w:szCs w:val="18"/>
          <w:color w:val="auto"/>
        </w:rPr>
      </w:pPr>
    </w:p>
    <w:p>
      <w:pPr>
        <w:jc w:val="both"/>
        <w:ind w:left="-540" w:firstLine="645"/>
        <w:spacing w:after="0" w:line="293" w:lineRule="auto"/>
        <w:tabs>
          <w:tab w:leader="none" w:pos="712"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There are no contracts or other documents required to be described in the Registration Statement or the most recent Preliminary Prospectus or filed as exhibits to the Registration Statement, that are not described and filed as required. The statements made in the most recent Preliminary Prospectus, insofar as they purport to constitute summaries of the terms of the contracts and other documents described and filed, constitute accurate summaries of the terms of such contracts and documents in all material respects. Neither the Company nor any of its subsidiaries has knowledge that any other party to any such contract or other document has any intention not to render full performance as contemplated by the terms thereof except as would not, individually or in the aggregate, reasonably be expected to have a Material Adverse Effect.</w:t>
      </w:r>
    </w:p>
    <w:p>
      <w:pPr>
        <w:spacing w:after="0" w:line="164" w:lineRule="exact"/>
        <w:rPr>
          <w:rFonts w:ascii="Arial" w:cs="Arial" w:eastAsia="Arial" w:hAnsi="Arial"/>
          <w:sz w:val="16"/>
          <w:szCs w:val="16"/>
          <w:color w:val="auto"/>
        </w:rPr>
      </w:pPr>
    </w:p>
    <w:p>
      <w:pPr>
        <w:jc w:val="both"/>
        <w:ind w:left="-540" w:firstLine="645"/>
        <w:spacing w:after="0" w:line="272" w:lineRule="auto"/>
        <w:tabs>
          <w:tab w:leader="none" w:pos="794"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statements made, or incorporated by reference, in the most recent Preliminary Prospectus under the captions “Item 4 – Information on the Company – Business Overview - Regulatory Matters”, “Item 6 – Directors, Senior Management and Employees”, “Underwriting”, “Description of Ordinary Shares”, “Item 5 - Operating and Financial Review and Prospects - Taxation and Israeli Government Programs Applicable to our Company—Law for the Encouragement of Capital Investments, 5719-1959.”, “U.S. and Israeli Tax Consequences for our Shareholders” and “Enforceability of Civil Liabilities”, insofar as they purport to constitute summaries of the terms of statutes, rules or regulations, legal or governmental proceedings or contracts and other documents described therein, constitute accurate summaries of the terms of such statutes, rules and regulations, legal and governmental proceedings and contracts and other documents in all material respects.</w:t>
      </w:r>
    </w:p>
    <w:p>
      <w:pPr>
        <w:spacing w:after="0" w:line="394"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4" w:name="page15"/>
    <w:bookmarkEnd w:id="14"/>
    <w:p>
      <w:pPr>
        <w:jc w:val="both"/>
        <w:ind w:left="-540" w:firstLine="645"/>
        <w:spacing w:after="0" w:line="288" w:lineRule="auto"/>
        <w:tabs>
          <w:tab w:leader="none" w:pos="703"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 and its subsidiaries carry, or are covered by, insurance from insurers of recognized financial responsibility in such amounts and covering such risks as is reasonably believed by the Company to be adequate for the conduct of their respective businesses and the value of their respective properties and as is customary for companies engaged in similar businesses in similar industries. All policies of insurance of the Company and its subsidiaries are in full force and effect; the Company and each of its subsidiaries are in compliance with the terms of such policies in all material respects; and neither the Company nor any of its subsidiaries has received notice from any insurer or agent of such insurer that capital improvements or other expenditures are required or necessary to be made in order to continue such insurance; there are no claims by the Company or any of its subsidiaries under any such policy or instrument as to which any insurance company is denying liability or defending under a reservation of rights clause;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w:t>
      </w:r>
    </w:p>
    <w:p>
      <w:pPr>
        <w:spacing w:after="0" w:line="169" w:lineRule="exact"/>
        <w:rPr>
          <w:rFonts w:ascii="Arial" w:cs="Arial" w:eastAsia="Arial" w:hAnsi="Arial"/>
          <w:sz w:val="16"/>
          <w:szCs w:val="16"/>
          <w:color w:val="auto"/>
        </w:rPr>
      </w:pPr>
    </w:p>
    <w:p>
      <w:pPr>
        <w:jc w:val="both"/>
        <w:ind w:left="-540" w:firstLine="645"/>
        <w:spacing w:after="0" w:line="264" w:lineRule="auto"/>
        <w:tabs>
          <w:tab w:leader="none" w:pos="669"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relationship, direct or indirect, exists between or among the Company, on the one hand, and the directors, officers, shareholders, customers or suppliers of the Company, on the other hand, that is required to be described in the most recent Preliminary Prospectus which is not so described.</w:t>
      </w:r>
    </w:p>
    <w:p>
      <w:pPr>
        <w:spacing w:after="0" w:line="181" w:lineRule="exact"/>
        <w:rPr>
          <w:rFonts w:ascii="Arial" w:cs="Arial" w:eastAsia="Arial" w:hAnsi="Arial"/>
          <w:sz w:val="18"/>
          <w:szCs w:val="18"/>
          <w:color w:val="auto"/>
        </w:rPr>
      </w:pPr>
    </w:p>
    <w:p>
      <w:pPr>
        <w:jc w:val="both"/>
        <w:ind w:left="-540" w:firstLine="645"/>
        <w:spacing w:after="0" w:line="259" w:lineRule="auto"/>
        <w:tabs>
          <w:tab w:leader="none" w:pos="687"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labor disturbance by or dispute with the employees of the Company or any of its subsidiaries exists or, to the knowledge of the Company, is imminent that would reasonably be expected to have a Material Adverse Effect. The Company and its subsidiaries are in compliance in all material respects with the labor and employment laws and collective bargaining agreements and extension orders applicable to their employees in the State of Israel.</w:t>
      </w:r>
    </w:p>
    <w:p>
      <w:pPr>
        <w:spacing w:after="0" w:line="186" w:lineRule="exact"/>
        <w:rPr>
          <w:rFonts w:ascii="Arial" w:cs="Arial" w:eastAsia="Arial" w:hAnsi="Arial"/>
          <w:sz w:val="18"/>
          <w:szCs w:val="18"/>
          <w:color w:val="auto"/>
        </w:rPr>
      </w:pPr>
    </w:p>
    <w:p>
      <w:pPr>
        <w:jc w:val="both"/>
        <w:ind w:left="-540" w:firstLine="645"/>
        <w:spacing w:after="0" w:line="290" w:lineRule="auto"/>
        <w:tabs>
          <w:tab w:leader="none" w:pos="763" w:val="left"/>
        </w:tabs>
        <w:numPr>
          <w:ilvl w:val="0"/>
          <w:numId w:val="13"/>
        </w:numPr>
        <w:rPr>
          <w:rFonts w:ascii="Arial" w:cs="Arial" w:eastAsia="Arial" w:hAnsi="Arial"/>
          <w:sz w:val="16"/>
          <w:szCs w:val="16"/>
          <w:color w:val="auto"/>
        </w:rPr>
      </w:pPr>
      <w:r>
        <w:rPr>
          <w:rFonts w:ascii="Arial" w:cs="Arial" w:eastAsia="Arial" w:hAnsi="Arial"/>
          <w:sz w:val="16"/>
          <w:szCs w:val="16"/>
          <w:color w:val="auto"/>
        </w:rPr>
        <w:t>Neither the Company nor any of its subsidiaries (i) is in violation of its articles of association, charter or by-laws (or similar organizational documents), (ii) is in default, and no event has occurred that, with notice or lapse of time or both, would constitute such a default, in the due performance or observance of any term, covenant, condition or other obligation contained in any indenture, mortgage, deed of trust, loan agreement, license or other agreement or instrument to which it is a party or by which it is bound or to which any of its properties or assets is subject, or (iii) is in violation of any statute or any order, rule or regulation of any court or governmental agency or body having jurisdiction over it or its property or assets or has failed to obtain any license, permit, certificate, franchise or other governmental authorization or permit necessary to the ownership of its property or to the conduct of its business, except in the case of clauses (ii) and (iii), to the extent any such conflict, breach, violation or default could not, individually or in the aggregate, reasonably be expected to have a Material Adverse Effect.</w:t>
      </w:r>
    </w:p>
    <w:p>
      <w:pPr>
        <w:spacing w:after="0" w:line="382"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5" w:name="page16"/>
    <w:bookmarkEnd w:id="15"/>
    <w:p>
      <w:pPr>
        <w:jc w:val="both"/>
        <w:ind w:left="-540" w:firstLine="645"/>
        <w:spacing w:after="0" w:line="267" w:lineRule="auto"/>
        <w:tabs>
          <w:tab w:leader="none" w:pos="679"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Company and its subsidiaries (i) are, and at all times prior hereto were, in compliance with all laws, regulations, ordinances, rules, orders, judgments, decrees, permits or other legal requirements of any governmental authority, including without limitation any international, foreign, national, state, provincial, regional, or local authority, relating to pollution, the protection of human health or safety, the environment, or natural resources, or to use, handling, storage, manufacturing, transportation, treatment, discharge, disposal or release of hazardous or toxic substances or wastes, pollutants or contaminants (“</w:t>
      </w:r>
      <w:r>
        <w:rPr>
          <w:rFonts w:ascii="Arial" w:cs="Arial" w:eastAsia="Arial" w:hAnsi="Arial"/>
          <w:sz w:val="17"/>
          <w:szCs w:val="17"/>
          <w:b w:val="1"/>
          <w:bCs w:val="1"/>
          <w:color w:val="auto"/>
        </w:rPr>
        <w:t>Environmental Laws</w:t>
      </w:r>
      <w:r>
        <w:rPr>
          <w:rFonts w:ascii="Arial" w:cs="Arial" w:eastAsia="Arial" w:hAnsi="Arial"/>
          <w:sz w:val="17"/>
          <w:szCs w:val="17"/>
          <w:color w:val="auto"/>
        </w:rPr>
        <w:t>”) applicable to such entity, which compliance includes, without limitation, obtaining, maintaining and complying with all permits and authorizations and approvals required by Environmental Laws to conduct their respective businesses, and (ii) have not received notice or otherwise have knowledge of any actual or alleged violation of Environmental Laws, or of any actual or potential liability for or other obligation concerning the presence, disposal or release of hazardous or toxic substances or wastes, pollutants or contaminants, except, for purposes of clauses (i) and (ii) above, where such non-compliance, violation, liability, or other obligation would not, in the aggregate, reasonably be expected to have a Material Adverse Effect. Except as described in the most recent Preliminary Prospectus, (x) there are no proceedings that are pending, or known to be contemplated, against the Company or any of its subsidiaries under Environmental Laws in which a governmental authority is also a party, other than such proceedings regarding which it is reasonably believed no monetary sanctions of $100,000 or more will be imposed, (y) the Company and its subsidiaries are not aware of any issues regarding compliance with Environmental Laws, including any pending or proposed Environmental Laws, or liabilities or other obligations under Environmental Laws or concerning hazardous or toxic substances or wastes, pollutants or contaminants, that would reasonably be expected to have a material effect on the capital expenditures, earnings or competitive position of the Company and its subsidiaries, and (z) none of the Company and its subsidiaries anticipates material capital expenditures relating to Environmental Laws.</w:t>
      </w:r>
    </w:p>
    <w:p>
      <w:pPr>
        <w:spacing w:after="0" w:line="192" w:lineRule="exact"/>
        <w:rPr>
          <w:rFonts w:ascii="Arial" w:cs="Arial" w:eastAsia="Arial" w:hAnsi="Arial"/>
          <w:sz w:val="17"/>
          <w:szCs w:val="17"/>
          <w:color w:val="auto"/>
        </w:rPr>
      </w:pPr>
    </w:p>
    <w:p>
      <w:pPr>
        <w:jc w:val="both"/>
        <w:ind w:left="-540" w:firstLine="645"/>
        <w:spacing w:after="0" w:line="255" w:lineRule="auto"/>
        <w:tabs>
          <w:tab w:leader="none" w:pos="69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and each of its subsidiaries have: (i) timely filed all federal, state, local and foreign income and all other material tax returns required to be filed through the date hereof, subject to permitted extensions, and such returns are true, correct and complete in all material respects, and (ii) timely paid all material taxes due, except as may be being contested in good faith and by appropriate proceedings and for which adequate reserves have been made under GAAP. The Company does not have any knowledge of any tax deficiencies that have been, or would reasonably be expected to be asserted against the Company or any of its subsidiaries, that could, in the aggregate, reasonably be expected to have a Material Adverse Effect.</w:t>
      </w:r>
    </w:p>
    <w:p>
      <w:pPr>
        <w:spacing w:after="0" w:line="193" w:lineRule="exact"/>
        <w:rPr>
          <w:rFonts w:ascii="Arial" w:cs="Arial" w:eastAsia="Arial" w:hAnsi="Arial"/>
          <w:sz w:val="18"/>
          <w:szCs w:val="18"/>
          <w:color w:val="auto"/>
        </w:rPr>
      </w:pPr>
    </w:p>
    <w:p>
      <w:pPr>
        <w:jc w:val="both"/>
        <w:ind w:left="-540" w:firstLine="645"/>
        <w:spacing w:after="0" w:line="259" w:lineRule="auto"/>
        <w:tabs>
          <w:tab w:leader="none" w:pos="75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is no pending, or threatened in writing, audit, examination, investigation, assessment, claim or other proceeding by any governmental authority with respect to the qualification of the Company or any of its subsidiaries as an Industrial Company or an Industrial Enterprise, as the case may be, pursuant to the Law for the Encouragement of Industry (Taxes), 5729-1969 or the Law for the Encouragement of Capital Investments, 5719-1959, respectively.</w:t>
      </w:r>
    </w:p>
    <w:p>
      <w:pPr>
        <w:spacing w:after="0" w:line="200" w:lineRule="exact"/>
        <w:rPr>
          <w:sz w:val="20"/>
          <w:szCs w:val="20"/>
          <w:color w:val="auto"/>
        </w:rPr>
      </w:pPr>
    </w:p>
    <w:p>
      <w:pPr>
        <w:spacing w:after="0" w:line="20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6" w:name="page17"/>
    <w:bookmarkEnd w:id="16"/>
    <w:p>
      <w:pPr>
        <w:jc w:val="both"/>
        <w:ind w:left="-540" w:firstLine="645"/>
        <w:spacing w:after="0" w:line="286" w:lineRule="auto"/>
        <w:tabs>
          <w:tab w:leader="none" w:pos="89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 Each “employee benefit plan” (within the meaning of Section 3(3) of the Employee Retirement Security Act of 1974, as amended (“</w:t>
      </w:r>
      <w:r>
        <w:rPr>
          <w:rFonts w:ascii="Arial" w:cs="Arial" w:eastAsia="Arial" w:hAnsi="Arial"/>
          <w:sz w:val="16"/>
          <w:szCs w:val="16"/>
          <w:b w:val="1"/>
          <w:bCs w:val="1"/>
          <w:color w:val="auto"/>
        </w:rPr>
        <w:t>ERISA</w:t>
      </w:r>
      <w:r>
        <w:rPr>
          <w:rFonts w:ascii="Arial" w:cs="Arial" w:eastAsia="Arial" w:hAnsi="Arial"/>
          <w:sz w:val="16"/>
          <w:szCs w:val="16"/>
          <w:color w:val="auto"/>
        </w:rPr>
        <w:t>”)) for which the Company or any member of its “Controlled Group” (defined as any organization which is a member of a controlled group of corporations within the meaning of Section 414 of the Code) would have any liability (each a “</w:t>
      </w:r>
      <w:r>
        <w:rPr>
          <w:rFonts w:ascii="Arial" w:cs="Arial" w:eastAsia="Arial" w:hAnsi="Arial"/>
          <w:sz w:val="16"/>
          <w:szCs w:val="16"/>
          <w:b w:val="1"/>
          <w:bCs w:val="1"/>
          <w:color w:val="auto"/>
        </w:rPr>
        <w:t>Plan</w:t>
      </w:r>
      <w:r>
        <w:rPr>
          <w:rFonts w:ascii="Arial" w:cs="Arial" w:eastAsia="Arial" w:hAnsi="Arial"/>
          <w:sz w:val="16"/>
          <w:szCs w:val="16"/>
          <w:color w:val="auto"/>
        </w:rPr>
        <w:t>”) has been maintained in compliance with its terms and with the requirements of all applicable statutes, rules and regulations including ERISA and the Code; (ii) no prohibited transaction, within the meaning of Section 406 of ERISA or Section 4975 of the Code, has occurred with respect to any Plan excluding transactions effected pursuant to a statutory or administrative exemption; (iii) with respect to each Plan subject to Title IV of ERISA (A) no “reportable event” (within the meaning of Section 4043(c) of ERISA) has occurred or is reasonably expected to occur, (B) no “accumulated funding deficiency” (within the meaning of Section 302 of ERISA or Section 412 of the Code), whether or not waived, has occurred or is reasonably expected to occur, (C) the fair market value of the assets under each Plan exceeds the present value of all benefits accrued under such Plan (determined based on those assumptions used to fund such Plan), and (D) neither the Company or any member of its Controlled Group has incurred, or reasonably expects to incur, any liability under Title IV of ERISA (other than contributions to the Plan or premiums to the Pension Benefit Guaranty Corporation in the ordinary course and without default) in respect of a Plan (including a “multiemployer plan”, within the meaning of Section 4001(c)(3) of ERISA); and (iv) each Plan that is intended to be qualified under Section 401(a) of the Code is so qualified and nothing has occurred, whether by action or by failure to act, which would cause the loss of such qualification.</w:t>
      </w:r>
    </w:p>
    <w:p>
      <w:pPr>
        <w:spacing w:after="0" w:line="171" w:lineRule="exact"/>
        <w:rPr>
          <w:rFonts w:ascii="Arial" w:cs="Arial" w:eastAsia="Arial" w:hAnsi="Arial"/>
          <w:sz w:val="16"/>
          <w:szCs w:val="16"/>
          <w:color w:val="auto"/>
        </w:rPr>
      </w:pPr>
    </w:p>
    <w:p>
      <w:pPr>
        <w:ind w:left="-540" w:firstLine="645"/>
        <w:spacing w:after="0" w:line="277" w:lineRule="auto"/>
        <w:tabs>
          <w:tab w:leader="none" w:pos="651"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statistical and market-related data included in the most recent Preliminary Prospectus or incorporated by reference are based on or derived from sources that the Company believes to be reliable in all material respects.</w:t>
      </w:r>
    </w:p>
    <w:p>
      <w:pPr>
        <w:spacing w:after="0" w:line="170" w:lineRule="exact"/>
        <w:rPr>
          <w:rFonts w:ascii="Arial" w:cs="Arial" w:eastAsia="Arial" w:hAnsi="Arial"/>
          <w:sz w:val="18"/>
          <w:szCs w:val="18"/>
          <w:color w:val="auto"/>
        </w:rPr>
      </w:pPr>
    </w:p>
    <w:p>
      <w:pPr>
        <w:jc w:val="both"/>
        <w:ind w:left="-540" w:firstLine="645"/>
        <w:spacing w:after="0" w:line="276" w:lineRule="auto"/>
        <w:tabs>
          <w:tab w:leader="none" w:pos="686" w:val="left"/>
        </w:tabs>
        <w:numPr>
          <w:ilvl w:val="0"/>
          <w:numId w:val="15"/>
        </w:numPr>
        <w:rPr>
          <w:rFonts w:ascii="Arial" w:cs="Arial" w:eastAsia="Arial" w:hAnsi="Arial"/>
          <w:sz w:val="17"/>
          <w:szCs w:val="17"/>
          <w:color w:val="auto"/>
        </w:rPr>
      </w:pPr>
      <w:r>
        <w:rPr>
          <w:rFonts w:ascii="Arial" w:cs="Arial" w:eastAsia="Arial" w:hAnsi="Arial"/>
          <w:sz w:val="17"/>
          <w:szCs w:val="17"/>
          <w:color w:val="auto"/>
        </w:rPr>
        <w:t>Neither the Company nor any of its subsidiaries is, and as of the applicable Delivery Date and, after giving effect to the offer and sale of the Shares and the application of the proceeds therefrom as described under “Use of Proceeds” in the most recent Preliminary Prospectus and the Prospectus, none of them will be, (i) an “investment company” or a company “controlled” by an “investment company” within the meaning of the Investment Company Act of 1940, as amended (the “</w:t>
      </w:r>
      <w:r>
        <w:rPr>
          <w:rFonts w:ascii="Arial" w:cs="Arial" w:eastAsia="Arial" w:hAnsi="Arial"/>
          <w:sz w:val="17"/>
          <w:szCs w:val="17"/>
          <w:b w:val="1"/>
          <w:bCs w:val="1"/>
          <w:color w:val="auto"/>
        </w:rPr>
        <w:t>Investment Company Act</w:t>
      </w:r>
      <w:r>
        <w:rPr>
          <w:rFonts w:ascii="Arial" w:cs="Arial" w:eastAsia="Arial" w:hAnsi="Arial"/>
          <w:sz w:val="17"/>
          <w:szCs w:val="17"/>
          <w:color w:val="auto"/>
        </w:rPr>
        <w:t>”), and the rules and regulations of the Commission thereunder, or (ii) a “business development company” (as defined in Section 2(a)(48) of the Investment Company Act).</w:t>
      </w:r>
    </w:p>
    <w:p>
      <w:pPr>
        <w:spacing w:after="0" w:line="172" w:lineRule="exact"/>
        <w:rPr>
          <w:rFonts w:ascii="Arial" w:cs="Arial" w:eastAsia="Arial" w:hAnsi="Arial"/>
          <w:sz w:val="17"/>
          <w:szCs w:val="17"/>
          <w:color w:val="auto"/>
        </w:rPr>
      </w:pPr>
    </w:p>
    <w:p>
      <w:pPr>
        <w:jc w:val="both"/>
        <w:ind w:left="-540" w:firstLine="645"/>
        <w:spacing w:after="0" w:line="276" w:lineRule="auto"/>
        <w:tabs>
          <w:tab w:leader="none" w:pos="706"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Except as described in the most recent Preliminary Prospectus, there are no contracts, agreements or understandings between the Company and any person granting such person the right (other than rights that have been waived in writing or otherwise satisfied) to require the Company to file a registration statement under the Securities Act with respect to any securities of the Company owned or to be owned by such person or to require the Company to include such securities in the securities registered pursuant to the Registration Statement or in any securities being registered pursuant to any other registration statement filed by the Company under the Securities Act.</w:t>
      </w:r>
    </w:p>
    <w:p>
      <w:pPr>
        <w:spacing w:after="0" w:line="172" w:lineRule="exact"/>
        <w:rPr>
          <w:rFonts w:ascii="Arial" w:cs="Arial" w:eastAsia="Arial" w:hAnsi="Arial"/>
          <w:sz w:val="17"/>
          <w:szCs w:val="17"/>
          <w:color w:val="auto"/>
        </w:rPr>
      </w:pPr>
    </w:p>
    <w:p>
      <w:pPr>
        <w:jc w:val="both"/>
        <w:ind w:left="-540" w:firstLine="645"/>
        <w:spacing w:after="0" w:line="264"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a party to any contract, agreement or understanding with any person (other than this Agreement) that would give rise to a valid claim against any of them or the Underwriters for a brokerage commission, finder’s fee or like payment in connection with the offering and sale of the Shares.</w:t>
      </w:r>
    </w:p>
    <w:p>
      <w:pPr>
        <w:spacing w:after="0" w:line="181" w:lineRule="exact"/>
        <w:rPr>
          <w:rFonts w:ascii="Arial" w:cs="Arial" w:eastAsia="Arial" w:hAnsi="Arial"/>
          <w:sz w:val="18"/>
          <w:szCs w:val="18"/>
          <w:color w:val="auto"/>
        </w:rPr>
      </w:pPr>
    </w:p>
    <w:p>
      <w:pPr>
        <w:ind w:left="-540" w:firstLine="645"/>
        <w:spacing w:after="0" w:line="308" w:lineRule="auto"/>
        <w:tabs>
          <w:tab w:leader="none" w:pos="68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Company has not sold or issued any securities that would be integrated with the offering of the Shares contemplated by this Agreement pursuant to the Securities Act, the rules and regulations thereunder or the interpretations thereof by the Commission.</w:t>
      </w:r>
    </w:p>
    <w:p>
      <w:pPr>
        <w:spacing w:after="0" w:line="36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7" w:name="page18"/>
    <w:bookmarkEnd w:id="17"/>
    <w:p>
      <w:pPr>
        <w:jc w:val="both"/>
        <w:ind w:left="4" w:firstLine="645"/>
        <w:spacing w:after="0" w:line="264" w:lineRule="auto"/>
        <w:tabs>
          <w:tab w:leader="none" w:pos="1257"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Company and its affiliates have not taken, directly or indirectly, any action designed to or that has constituted or that could reasonably be expected to cause or result in the stabilization or manipulation of the price of any security of the Company in connection with the offering of the Shares.</w:t>
      </w:r>
    </w:p>
    <w:p>
      <w:pPr>
        <w:spacing w:after="0" w:line="181" w:lineRule="exact"/>
        <w:rPr>
          <w:rFonts w:ascii="Arial" w:cs="Arial" w:eastAsia="Arial" w:hAnsi="Arial"/>
          <w:sz w:val="18"/>
          <w:szCs w:val="18"/>
          <w:color w:val="auto"/>
        </w:rPr>
      </w:pPr>
    </w:p>
    <w:p>
      <w:pPr>
        <w:jc w:val="both"/>
        <w:ind w:left="4" w:firstLine="645"/>
        <w:spacing w:after="0" w:line="276" w:lineRule="auto"/>
        <w:tabs>
          <w:tab w:leader="none" w:pos="1305" w:val="left"/>
        </w:tabs>
        <w:numPr>
          <w:ilvl w:val="1"/>
          <w:numId w:val="16"/>
        </w:numPr>
        <w:rPr>
          <w:rFonts w:ascii="Arial" w:cs="Arial" w:eastAsia="Arial" w:hAnsi="Arial"/>
          <w:sz w:val="17"/>
          <w:szCs w:val="17"/>
          <w:color w:val="auto"/>
        </w:rPr>
      </w:pPr>
      <w:r>
        <w:rPr>
          <w:rFonts w:ascii="Arial" w:cs="Arial" w:eastAsia="Arial" w:hAnsi="Arial"/>
          <w:sz w:val="17"/>
          <w:szCs w:val="17"/>
          <w:color w:val="auto"/>
        </w:rPr>
        <w:t>Assuming the Underwriters have not offered the Shares other than in accordance with their obligations under Section 6(c) or otherwise engaged in solicitation, advertising or any other action constituting an offer to the public under the Israeli Securities Law 5728-1968, as amended, (the “</w:t>
      </w:r>
      <w:r>
        <w:rPr>
          <w:rFonts w:ascii="Arial" w:cs="Arial" w:eastAsia="Arial" w:hAnsi="Arial"/>
          <w:sz w:val="17"/>
          <w:szCs w:val="17"/>
          <w:b w:val="1"/>
          <w:bCs w:val="1"/>
          <w:color w:val="auto"/>
        </w:rPr>
        <w:t>Israeli Securities Law</w:t>
      </w:r>
      <w:r>
        <w:rPr>
          <w:rFonts w:ascii="Arial" w:cs="Arial" w:eastAsia="Arial" w:hAnsi="Arial"/>
          <w:sz w:val="17"/>
          <w:szCs w:val="17"/>
          <w:color w:val="auto"/>
        </w:rPr>
        <w:t>”) in Israel, the Company has not engaged in any form of solicitation, advertising or any other action constituting an offer under the Israeli Securities Law, and the regulations promulgated thereunder, in connection with the transactions contemplated hereby which would require the Company to publish a prospectus in the State of Israel under the laws of the State of Israel.</w:t>
      </w:r>
    </w:p>
    <w:p>
      <w:pPr>
        <w:spacing w:after="0" w:line="172" w:lineRule="exact"/>
        <w:rPr>
          <w:rFonts w:ascii="Arial" w:cs="Arial" w:eastAsia="Arial" w:hAnsi="Arial"/>
          <w:sz w:val="17"/>
          <w:szCs w:val="17"/>
          <w:color w:val="auto"/>
        </w:rPr>
      </w:pPr>
    </w:p>
    <w:p>
      <w:pPr>
        <w:ind w:left="4" w:firstLine="645"/>
        <w:spacing w:after="0" w:line="277" w:lineRule="auto"/>
        <w:tabs>
          <w:tab w:leader="none" w:pos="1212"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Shares have been approved for listing, subject to official notice of issuance and evidence of satisfactory distribution on, The NASDAQ Global Select Market.</w:t>
      </w:r>
    </w:p>
    <w:p>
      <w:pPr>
        <w:spacing w:after="0" w:line="170" w:lineRule="exact"/>
        <w:rPr>
          <w:rFonts w:ascii="Arial" w:cs="Arial" w:eastAsia="Arial" w:hAnsi="Arial"/>
          <w:sz w:val="18"/>
          <w:szCs w:val="18"/>
          <w:color w:val="auto"/>
        </w:rPr>
      </w:pPr>
    </w:p>
    <w:p>
      <w:pPr>
        <w:jc w:val="both"/>
        <w:ind w:left="4" w:firstLine="645"/>
        <w:spacing w:after="0" w:line="259" w:lineRule="auto"/>
        <w:tabs>
          <w:tab w:leader="none" w:pos="1264"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Company has not distributed and, prior to the later to occur of any Delivery Date and completion of the distribution of the Shares, will not distribute any offering material in connection with the offering and sale of the Shares other than any Preliminary Prospectus, the Prospectus, any Issuer Free Writing Prospectus to which the Underwriters have consented in accordance with Section 1(k) or 6(a)(vi) and any Issuer Free Writing Prospectus set forth on Schedule VI hereto.</w:t>
      </w:r>
    </w:p>
    <w:p>
      <w:pPr>
        <w:spacing w:after="0" w:line="186" w:lineRule="exact"/>
        <w:rPr>
          <w:rFonts w:ascii="Arial" w:cs="Arial" w:eastAsia="Arial" w:hAnsi="Arial"/>
          <w:sz w:val="18"/>
          <w:szCs w:val="18"/>
          <w:color w:val="auto"/>
        </w:rPr>
      </w:pPr>
    </w:p>
    <w:p>
      <w:pPr>
        <w:jc w:val="both"/>
        <w:ind w:left="4" w:firstLine="645"/>
        <w:spacing w:after="0" w:line="259" w:lineRule="auto"/>
        <w:tabs>
          <w:tab w:leader="none" w:pos="1202" w:val="left"/>
        </w:tabs>
        <w:numPr>
          <w:ilvl w:val="1"/>
          <w:numId w:val="16"/>
        </w:numPr>
        <w:rPr>
          <w:rFonts w:ascii="Arial" w:cs="Arial" w:eastAsia="Arial" w:hAnsi="Arial"/>
          <w:sz w:val="18"/>
          <w:szCs w:val="18"/>
          <w:color w:val="auto"/>
        </w:rPr>
      </w:pPr>
      <w:r>
        <w:rPr>
          <w:rFonts w:ascii="Arial" w:cs="Arial" w:eastAsia="Arial" w:hAnsi="Arial"/>
          <w:sz w:val="18"/>
          <w:szCs w:val="18"/>
          <w:color w:val="auto"/>
        </w:rPr>
        <w:t>Neither the Company nor any subsidiary is in violation of or has received notice of any violation with respect to any Israeli, federal or state law relating to discrimination in the hiring, promotion or pay of employees, nor any applicable Israeli, federal or state wage and hour laws, nor any state law precluding the denial of credit due to the neighborhood in which a property is situated, the violation of any of which could reasonably be expected to have a Material Adverse Effect.</w:t>
      </w:r>
    </w:p>
    <w:p>
      <w:pPr>
        <w:spacing w:after="0" w:line="186" w:lineRule="exact"/>
        <w:rPr>
          <w:rFonts w:ascii="Arial" w:cs="Arial" w:eastAsia="Arial" w:hAnsi="Arial"/>
          <w:sz w:val="18"/>
          <w:szCs w:val="18"/>
          <w:color w:val="auto"/>
        </w:rPr>
      </w:pPr>
    </w:p>
    <w:p>
      <w:pPr>
        <w:jc w:val="both"/>
        <w:ind w:left="4" w:firstLine="645"/>
        <w:spacing w:after="0" w:line="288" w:lineRule="auto"/>
        <w:tabs>
          <w:tab w:leader="none" w:pos="1224" w:val="left"/>
        </w:tabs>
        <w:numPr>
          <w:ilvl w:val="1"/>
          <w:numId w:val="16"/>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to the knowledge of the Company, any director, officer, agent, employee or other person acting on behalf of the Company or any of its subsidiaries, has in the course of its actions for, or on behalf of, the Company or any of its subsidiaries: (i) used any corporate funds for any unlawful contribution, gift, entertainment or other unlawful expense relating to political activity;</w:t>
      </w:r>
    </w:p>
    <w:p>
      <w:pPr>
        <w:jc w:val="both"/>
        <w:ind w:left="4" w:hanging="4"/>
        <w:spacing w:after="0" w:line="281" w:lineRule="auto"/>
        <w:tabs>
          <w:tab w:leader="none" w:pos="278" w:val="left"/>
        </w:tabs>
        <w:numPr>
          <w:ilvl w:val="0"/>
          <w:numId w:val="17"/>
        </w:numPr>
        <w:rPr>
          <w:rFonts w:ascii="Arial" w:cs="Arial" w:eastAsia="Arial" w:hAnsi="Arial"/>
          <w:sz w:val="16"/>
          <w:szCs w:val="16"/>
          <w:color w:val="auto"/>
        </w:rPr>
      </w:pPr>
      <w:r>
        <w:rPr>
          <w:rFonts w:ascii="Arial" w:cs="Arial" w:eastAsia="Arial" w:hAnsi="Arial"/>
          <w:sz w:val="16"/>
          <w:szCs w:val="16"/>
          <w:color w:val="auto"/>
        </w:rPr>
        <w:t>made any direct or indirect unlawful payment to any foreign or domestic government official, “foreign official” (as defined in the U.S. Foreign Corrupt Practices Act of 1977, as amended, and the rules and regulations thereunder (collectively, the “</w:t>
      </w:r>
      <w:r>
        <w:rPr>
          <w:rFonts w:ascii="Arial" w:cs="Arial" w:eastAsia="Arial" w:hAnsi="Arial"/>
          <w:sz w:val="16"/>
          <w:szCs w:val="16"/>
          <w:b w:val="1"/>
          <w:bCs w:val="1"/>
          <w:color w:val="auto"/>
        </w:rPr>
        <w:t>FCPA</w:t>
      </w:r>
      <w:r>
        <w:rPr>
          <w:rFonts w:ascii="Arial" w:cs="Arial" w:eastAsia="Arial" w:hAnsi="Arial"/>
          <w:sz w:val="16"/>
          <w:szCs w:val="16"/>
          <w:color w:val="auto"/>
        </w:rPr>
        <w:t>”)) or employee from corporate funds;</w:t>
      </w:r>
    </w:p>
    <w:p>
      <w:pPr>
        <w:spacing w:after="0" w:line="1" w:lineRule="exact"/>
        <w:rPr>
          <w:rFonts w:ascii="Arial" w:cs="Arial" w:eastAsia="Arial" w:hAnsi="Arial"/>
          <w:sz w:val="16"/>
          <w:szCs w:val="16"/>
          <w:color w:val="auto"/>
        </w:rPr>
      </w:pPr>
    </w:p>
    <w:p>
      <w:pPr>
        <w:jc w:val="both"/>
        <w:ind w:left="4" w:hanging="4"/>
        <w:spacing w:after="0" w:line="252" w:lineRule="auto"/>
        <w:tabs>
          <w:tab w:leader="none" w:pos="3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violated or is in violation of any provision of the FCPA, Section 291 and 291A of the Israeli Penal Law 5733-1973, the U.K. Bribery Act 2010, as amended, or any other applicable anti-bribery statute or regulation; or (iv) made any bribe, rebate, payoff, influence payment, kickback or other unlawful payment to any domestic government official, foreign official or employee; and the Company and its subsidiaries and the Company’s controlled affiliates have conducted their respective businesses in compliance with the FCPA, Sections 291 and 291A of the Israeli Penal Law 5733-1973, U.K. Bribery Act 2010, and all other applicable anti-bribery statutes and regulations, and have instituted and maintain policies and procedures designed to promote continued compliance therewith.</w:t>
      </w:r>
    </w:p>
    <w:p>
      <w:pPr>
        <w:spacing w:after="0" w:line="200" w:lineRule="exact"/>
        <w:rPr>
          <w:sz w:val="20"/>
          <w:szCs w:val="20"/>
          <w:color w:val="auto"/>
        </w:rPr>
      </w:pPr>
    </w:p>
    <w:p>
      <w:pPr>
        <w:spacing w:after="0" w:line="210" w:lineRule="exact"/>
        <w:rPr>
          <w:sz w:val="20"/>
          <w:szCs w:val="20"/>
          <w:color w:val="auto"/>
        </w:rPr>
      </w:pPr>
    </w:p>
    <w:p>
      <w:pPr>
        <w:ind w:left="4984"/>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18" w:name="page19"/>
    <w:bookmarkEnd w:id="18"/>
    <w:p>
      <w:pPr>
        <w:jc w:val="both"/>
        <w:ind w:left="-540" w:firstLine="645"/>
        <w:spacing w:after="0" w:line="273" w:lineRule="auto"/>
        <w:tabs>
          <w:tab w:leader="none" w:pos="828"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rules, regulations or guidelines, issued, administered or enforced by any governmental agency (collectively, the “</w:t>
      </w:r>
      <w:r>
        <w:rPr>
          <w:rFonts w:ascii="Arial" w:cs="Arial" w:eastAsia="Arial" w:hAnsi="Arial"/>
          <w:sz w:val="17"/>
          <w:szCs w:val="17"/>
          <w:b w:val="1"/>
          <w:bCs w:val="1"/>
          <w:color w:val="auto"/>
        </w:rPr>
        <w:t>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78" w:lineRule="exact"/>
        <w:rPr>
          <w:rFonts w:ascii="Arial" w:cs="Arial" w:eastAsia="Arial" w:hAnsi="Arial"/>
          <w:sz w:val="17"/>
          <w:szCs w:val="17"/>
          <w:color w:val="auto"/>
        </w:rPr>
      </w:pPr>
    </w:p>
    <w:p>
      <w:pPr>
        <w:jc w:val="both"/>
        <w:ind w:left="-540" w:firstLine="645"/>
        <w:spacing w:after="0" w:line="268" w:lineRule="auto"/>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Neither the Company nor any of its subsidiaries nor, to the knowledge of the Company, any director, officer, agent, employee or controlled affiliate of the Company or any of its subsidiaries is (i) currently subject to any sanctions administered by the Office of Foreign Assets Control of the U.S. Treasury Department (“</w:t>
      </w:r>
      <w:r>
        <w:rPr>
          <w:rFonts w:ascii="Arial" w:cs="Arial" w:eastAsia="Arial" w:hAnsi="Arial"/>
          <w:sz w:val="17"/>
          <w:szCs w:val="17"/>
          <w:b w:val="1"/>
          <w:bCs w:val="1"/>
          <w:color w:val="auto"/>
        </w:rPr>
        <w:t>OFAC</w:t>
      </w:r>
      <w:r>
        <w:rPr>
          <w:rFonts w:ascii="Arial" w:cs="Arial" w:eastAsia="Arial" w:hAnsi="Arial"/>
          <w:sz w:val="17"/>
          <w:szCs w:val="17"/>
          <w:color w:val="auto"/>
        </w:rPr>
        <w:t>”), the U.S. Department of State, the United Nations Security Council (“</w:t>
      </w:r>
      <w:r>
        <w:rPr>
          <w:rFonts w:ascii="Arial" w:cs="Arial" w:eastAsia="Arial" w:hAnsi="Arial"/>
          <w:sz w:val="17"/>
          <w:szCs w:val="17"/>
          <w:b w:val="1"/>
          <w:bCs w:val="1"/>
          <w:color w:val="auto"/>
        </w:rPr>
        <w:t>UNSC</w:t>
      </w:r>
      <w:r>
        <w:rPr>
          <w:rFonts w:ascii="Arial" w:cs="Arial" w:eastAsia="Arial" w:hAnsi="Arial"/>
          <w:sz w:val="17"/>
          <w:szCs w:val="17"/>
          <w:color w:val="auto"/>
        </w:rPr>
        <w:t>”), the European Union (“</w:t>
      </w:r>
      <w:r>
        <w:rPr>
          <w:rFonts w:ascii="Arial" w:cs="Arial" w:eastAsia="Arial" w:hAnsi="Arial"/>
          <w:sz w:val="17"/>
          <w:szCs w:val="17"/>
          <w:b w:val="1"/>
          <w:bCs w:val="1"/>
          <w:color w:val="auto"/>
        </w:rPr>
        <w:t>EU</w:t>
      </w:r>
      <w:r>
        <w:rPr>
          <w:rFonts w:ascii="Arial" w:cs="Arial" w:eastAsia="Arial" w:hAnsi="Arial"/>
          <w:sz w:val="17"/>
          <w:szCs w:val="17"/>
          <w:color w:val="auto"/>
        </w:rPr>
        <w:t>”), Her Majesty’s Treasury (“</w:t>
      </w:r>
      <w:r>
        <w:rPr>
          <w:rFonts w:ascii="Arial" w:cs="Arial" w:eastAsia="Arial" w:hAnsi="Arial"/>
          <w:sz w:val="17"/>
          <w:szCs w:val="17"/>
          <w:b w:val="1"/>
          <w:bCs w:val="1"/>
          <w:color w:val="auto"/>
        </w:rPr>
        <w:t>HMT</w:t>
      </w:r>
      <w:r>
        <w:rPr>
          <w:rFonts w:ascii="Arial" w:cs="Arial" w:eastAsia="Arial" w:hAnsi="Arial"/>
          <w:sz w:val="17"/>
          <w:szCs w:val="17"/>
          <w:color w:val="auto"/>
        </w:rPr>
        <w:t>”), or other relevant sanctions authority (collectively, “</w:t>
      </w:r>
      <w:r>
        <w:rPr>
          <w:rFonts w:ascii="Arial" w:cs="Arial" w:eastAsia="Arial" w:hAnsi="Arial"/>
          <w:sz w:val="17"/>
          <w:szCs w:val="17"/>
          <w:b w:val="1"/>
          <w:bCs w:val="1"/>
          <w:color w:val="auto"/>
        </w:rPr>
        <w:t>Sanctions</w:t>
      </w:r>
      <w:r>
        <w:rPr>
          <w:rFonts w:ascii="Arial" w:cs="Arial" w:eastAsia="Arial" w:hAnsi="Arial"/>
          <w:sz w:val="17"/>
          <w:szCs w:val="17"/>
          <w:color w:val="auto"/>
        </w:rPr>
        <w:t>”); or (ii) located, organized or ordinarily resident in a country that is the subject of comprehensive country-wide Sanctions (including, without limitation, Cuba, Iran, North Korea, Sudan, and Syria); and the Company will not directly or indirectly use the proceeds of the offering, or lend, contribute or otherwise make available such proceeds to any subsidiary, joint venture partner or other person or entity, for the purpose of financing the activities of any person that is the target of Sanctions, or in any country or territory that currently is the subject or target of comprehensive country-wide Sanctions or in any other manner that will result in a violation by any person (including any person participating in the transaction whether as an underwriter, advisor, investor or otherwise) of Sanctions. The Company and its subsidiaries have not knowingly engaged in for the past five years, are not now knowingly engaged in, and will not engage in, any dealings or transactions with any individual or entity that at the time of the dealing or transaction is or was the subject or target of Sanctions or in any country or territory that at the time of the dealing or transaction is or was the subject or target of comprehensive Sanctions, in violation of applicable Sanctions.</w:t>
      </w:r>
    </w:p>
    <w:p>
      <w:pPr>
        <w:spacing w:after="0" w:line="187" w:lineRule="exact"/>
        <w:rPr>
          <w:rFonts w:ascii="Arial" w:cs="Arial" w:eastAsia="Arial" w:hAnsi="Arial"/>
          <w:sz w:val="17"/>
          <w:szCs w:val="17"/>
          <w:color w:val="auto"/>
        </w:rPr>
      </w:pPr>
    </w:p>
    <w:p>
      <w:pPr>
        <w:ind w:left="-540" w:firstLine="645"/>
        <w:spacing w:after="0" w:line="277" w:lineRule="auto"/>
        <w:tabs>
          <w:tab w:leader="none" w:pos="706"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Except as described in the most recent Preliminary Prospectus, no approvals are currently required in the State of Israel in order for the Company to pay dividends or other distributions declared by the Company to the holders of Underlying Securities.</w:t>
      </w:r>
    </w:p>
    <w:p>
      <w:pPr>
        <w:spacing w:after="0" w:line="38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9" w:name="page20"/>
    <w:bookmarkEnd w:id="19"/>
    <w:p>
      <w:pPr>
        <w:jc w:val="both"/>
        <w:ind w:left="660" w:firstLine="645"/>
        <w:spacing w:after="0" w:line="257" w:lineRule="auto"/>
        <w:tabs>
          <w:tab w:leader="none" w:pos="2049"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Subject to the qualifications and assumptions set forth in the Pricing Disclosure Package, the Registration Statement and the Prospectus, the Company does not believe it was, for its most recently completed taxable year, a “passive foreign investment company” (as defined in Section 1297 of the Code, and the regulations promulgated thereunder). Based on the Company’s current projected income, assets and activities, the Company does not expect to be classified as a “passive foreign investment company” for the taxable year starting on January 1, 2017 or for any foreseeable subsequent taxable year.</w:t>
      </w:r>
    </w:p>
    <w:p>
      <w:pPr>
        <w:spacing w:after="0" w:line="188" w:lineRule="exact"/>
        <w:rPr>
          <w:rFonts w:ascii="Arial" w:cs="Arial" w:eastAsia="Arial" w:hAnsi="Arial"/>
          <w:sz w:val="18"/>
          <w:szCs w:val="18"/>
          <w:color w:val="auto"/>
        </w:rPr>
      </w:pPr>
    </w:p>
    <w:p>
      <w:pPr>
        <w:jc w:val="both"/>
        <w:ind w:left="660" w:firstLine="645"/>
        <w:spacing w:after="0" w:line="286" w:lineRule="auto"/>
        <w:tabs>
          <w:tab w:leader="none" w:pos="1888" w:val="left"/>
        </w:tabs>
        <w:numPr>
          <w:ilvl w:val="0"/>
          <w:numId w:val="19"/>
        </w:numPr>
        <w:rPr>
          <w:rFonts w:ascii="Arial" w:cs="Arial" w:eastAsia="Arial" w:hAnsi="Arial"/>
          <w:sz w:val="17"/>
          <w:szCs w:val="17"/>
          <w:color w:val="auto"/>
        </w:rPr>
      </w:pPr>
      <w:r>
        <w:rPr>
          <w:rFonts w:ascii="Arial" w:cs="Arial" w:eastAsia="Arial" w:hAnsi="Arial"/>
          <w:sz w:val="17"/>
          <w:szCs w:val="17"/>
          <w:color w:val="auto"/>
        </w:rPr>
        <w:t>Assuming that the Underwriters are not otherwise subject to taxation in the State of Israel, none of the issuance, delivery and sale of the Shares by the Company or the execution and delivery of this Agreement will be subject to any tax (including interest and penalties) imposed on the Underwriters by the State of Israel or any political subdivision thereof whether imposed directly or through withholding.</w:t>
      </w:r>
    </w:p>
    <w:p>
      <w:pPr>
        <w:spacing w:after="0" w:line="165" w:lineRule="exact"/>
        <w:rPr>
          <w:rFonts w:ascii="Arial" w:cs="Arial" w:eastAsia="Arial" w:hAnsi="Arial"/>
          <w:sz w:val="17"/>
          <w:szCs w:val="17"/>
          <w:color w:val="auto"/>
        </w:rPr>
      </w:pPr>
    </w:p>
    <w:p>
      <w:pPr>
        <w:jc w:val="both"/>
        <w:ind w:left="660" w:firstLine="645"/>
        <w:spacing w:after="0" w:line="264" w:lineRule="auto"/>
        <w:tabs>
          <w:tab w:leader="none" w:pos="1943"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Neither the Company, any of its subsidiaries nor any of its properties or assets has any immunity from the jurisdiction of any court or from any legal process (whether through service or notice, attachment to prior judgment, attachment in aid of execution or otherwise) under the laws of the State of Israel.</w:t>
      </w:r>
    </w:p>
    <w:p>
      <w:pPr>
        <w:spacing w:after="0" w:line="181" w:lineRule="exact"/>
        <w:rPr>
          <w:rFonts w:ascii="Arial" w:cs="Arial" w:eastAsia="Arial" w:hAnsi="Arial"/>
          <w:sz w:val="18"/>
          <w:szCs w:val="18"/>
          <w:color w:val="auto"/>
        </w:rPr>
      </w:pPr>
    </w:p>
    <w:p>
      <w:pPr>
        <w:jc w:val="both"/>
        <w:ind w:left="660" w:firstLine="645"/>
        <w:spacing w:after="0" w:line="259" w:lineRule="auto"/>
        <w:tabs>
          <w:tab w:leader="none" w:pos="1947"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Except as disclosed in the Pricing Disclosure Package and the Prospectus, for a period of twelve months prior to and including the date hereof, the Company has not offered or sold any of its securities in Israel except under the employee benefit plans, qualified share option plans or other equity compensation plans or arrangements existing on the date hereof, including the exercise of options granted under such plans, and disclosed in the Pricing Disclosure Package and the Prospectus.</w:t>
      </w:r>
    </w:p>
    <w:p>
      <w:pPr>
        <w:spacing w:after="0" w:line="186" w:lineRule="exact"/>
        <w:rPr>
          <w:rFonts w:ascii="Arial" w:cs="Arial" w:eastAsia="Arial" w:hAnsi="Arial"/>
          <w:sz w:val="18"/>
          <w:szCs w:val="18"/>
          <w:color w:val="auto"/>
        </w:rPr>
      </w:pPr>
    </w:p>
    <w:p>
      <w:pPr>
        <w:ind w:left="1920" w:hanging="615"/>
        <w:spacing w:after="0"/>
        <w:tabs>
          <w:tab w:leader="none" w:pos="1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qualifies as a “foreign private issuer” within the meaning of Rule 405 under the Act.</w:t>
      </w:r>
    </w:p>
    <w:p>
      <w:pPr>
        <w:spacing w:after="0" w:line="225" w:lineRule="exact"/>
        <w:rPr>
          <w:rFonts w:ascii="Arial" w:cs="Arial" w:eastAsia="Arial" w:hAnsi="Arial"/>
          <w:sz w:val="18"/>
          <w:szCs w:val="18"/>
          <w:color w:val="auto"/>
        </w:rPr>
      </w:pPr>
    </w:p>
    <w:p>
      <w:pPr>
        <w:ind w:left="660" w:firstLine="645"/>
        <w:spacing w:after="0" w:line="277" w:lineRule="auto"/>
        <w:tabs>
          <w:tab w:leader="none" w:pos="201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has duly designated Kornit Digital North America, Inc. as its authorized agent to receive service of process as set forth in Section 21.</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Any certificate signed by any officer of the Company and delivered to the Underwriters or counsel for the Underwriters pursuant to this Agreement in connection with the offering of the Shares shall be deemed a representation and warranty by the Company, as to matters covered thereby, to each Underwriter.</w:t>
      </w:r>
    </w:p>
    <w:p>
      <w:pPr>
        <w:spacing w:after="0" w:line="124" w:lineRule="exact"/>
        <w:rPr>
          <w:sz w:val="20"/>
          <w:szCs w:val="20"/>
          <w:color w:val="auto"/>
        </w:rPr>
      </w:pPr>
    </w:p>
    <w:p>
      <w:pPr>
        <w:ind w:left="1280" w:hanging="624"/>
        <w:spacing w:after="0"/>
        <w:tabs>
          <w:tab w:leader="none" w:pos="128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Representations, Warranties and Agreements of the Selling Shareholder. </w:t>
      </w:r>
      <w:r>
        <w:rPr>
          <w:rFonts w:ascii="Arial" w:cs="Arial" w:eastAsia="Arial" w:hAnsi="Arial"/>
          <w:sz w:val="16"/>
          <w:szCs w:val="16"/>
          <w:color w:val="auto"/>
        </w:rPr>
        <w:t>The Selling Shareholder represents, warrants and agrees that:</w:t>
      </w:r>
    </w:p>
    <w:p>
      <w:pPr>
        <w:spacing w:after="0" w:line="248" w:lineRule="exact"/>
        <w:rPr>
          <w:rFonts w:ascii="Arial" w:cs="Arial" w:eastAsia="Arial" w:hAnsi="Arial"/>
          <w:sz w:val="16"/>
          <w:szCs w:val="16"/>
          <w:color w:val="auto"/>
        </w:rPr>
      </w:pPr>
    </w:p>
    <w:p>
      <w:pPr>
        <w:jc w:val="both"/>
        <w:ind w:left="660" w:firstLine="645"/>
        <w:spacing w:after="0" w:line="264" w:lineRule="auto"/>
        <w:tabs>
          <w:tab w:leader="none" w:pos="1878" w:val="left"/>
        </w:tabs>
        <w:numPr>
          <w:ilvl w:val="1"/>
          <w:numId w:val="20"/>
        </w:numPr>
        <w:rPr>
          <w:rFonts w:ascii="Arial" w:cs="Arial" w:eastAsia="Arial" w:hAnsi="Arial"/>
          <w:sz w:val="18"/>
          <w:szCs w:val="18"/>
          <w:color w:val="auto"/>
        </w:rPr>
      </w:pPr>
      <w:r>
        <w:rPr>
          <w:rFonts w:ascii="Arial" w:cs="Arial" w:eastAsia="Arial" w:hAnsi="Arial"/>
          <w:sz w:val="18"/>
          <w:szCs w:val="18"/>
          <w:color w:val="auto"/>
        </w:rPr>
        <w:t>Neither the Selling Shareholder nor any person acting on behalf of the Selling Shareholder (other than, if applicable, the Company and the Underwriters) has made any offer relating to the Shares which would constitute a “free writing prospectus” (as defined in Rule 405 under the Securities Act).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jc w:val="both"/>
        <w:ind w:left="4" w:firstLine="645"/>
        <w:spacing w:after="0" w:line="273" w:lineRule="auto"/>
        <w:tabs>
          <w:tab w:leader="none" w:pos="1219" w:val="left"/>
        </w:tabs>
        <w:numPr>
          <w:ilvl w:val="1"/>
          <w:numId w:val="21"/>
        </w:numPr>
        <w:rPr>
          <w:rFonts w:ascii="Arial" w:cs="Arial" w:eastAsia="Arial" w:hAnsi="Arial"/>
          <w:sz w:val="17"/>
          <w:szCs w:val="17"/>
          <w:color w:val="auto"/>
        </w:rPr>
      </w:pPr>
      <w:r>
        <w:rPr>
          <w:rFonts w:ascii="Arial" w:cs="Arial" w:eastAsia="Arial" w:hAnsi="Arial"/>
          <w:sz w:val="17"/>
          <w:szCs w:val="17"/>
          <w:color w:val="auto"/>
        </w:rPr>
        <w:t>The Selling Shareholder has in the case of Shares that are not Future Shares, and immediately prior to any Delivery Date on which the Selling Shareholder is selling Shares hereunder, the Selling Shareholder will have, good and valid title to the Shares to be sold by the Selling Shareholder hereunder on such Delivery Date and any “security entitlement” within the meaning of Section 8-501 of the New York Uniform Commercial Code (the “</w:t>
      </w:r>
      <w:r>
        <w:rPr>
          <w:rFonts w:ascii="Arial" w:cs="Arial" w:eastAsia="Arial" w:hAnsi="Arial"/>
          <w:sz w:val="17"/>
          <w:szCs w:val="17"/>
          <w:b w:val="1"/>
          <w:bCs w:val="1"/>
          <w:i w:val="1"/>
          <w:iCs w:val="1"/>
          <w:color w:val="auto"/>
        </w:rPr>
        <w:t>UCC</w:t>
      </w:r>
      <w:r>
        <w:rPr>
          <w:rFonts w:ascii="Arial" w:cs="Arial" w:eastAsia="Arial" w:hAnsi="Arial"/>
          <w:sz w:val="17"/>
          <w:szCs w:val="17"/>
          <w:color w:val="auto"/>
        </w:rPr>
        <w:t>”) in respect thereof, free and clear of all liens, encumbrances, equities, community property rights, restrictions on transfer or claims. “Future Shares” shall be those Shares to be sold by the Selling Shareholder following the exercise of options to purchase such Shares from the Company immediately prior to the applicable Delivery Date.</w:t>
      </w:r>
    </w:p>
    <w:p>
      <w:pPr>
        <w:spacing w:after="0" w:line="178" w:lineRule="exact"/>
        <w:rPr>
          <w:rFonts w:ascii="Arial" w:cs="Arial" w:eastAsia="Arial" w:hAnsi="Arial"/>
          <w:sz w:val="17"/>
          <w:szCs w:val="17"/>
          <w:color w:val="auto"/>
        </w:rPr>
      </w:pPr>
    </w:p>
    <w:p>
      <w:pPr>
        <w:ind w:left="4" w:firstLine="645"/>
        <w:spacing w:after="0" w:line="277" w:lineRule="auto"/>
        <w:tabs>
          <w:tab w:leader="none" w:pos="1213"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obligations of the Selling Shareholder hereunder shall not be terminated by any act of the Selling Shareholder, by operation of law or the occurrence of any other event, except as otherwise provided hereunder.</w:t>
      </w:r>
    </w:p>
    <w:p>
      <w:pPr>
        <w:spacing w:after="0" w:line="170" w:lineRule="exact"/>
        <w:rPr>
          <w:rFonts w:ascii="Arial" w:cs="Arial" w:eastAsia="Arial" w:hAnsi="Arial"/>
          <w:sz w:val="18"/>
          <w:szCs w:val="18"/>
          <w:color w:val="auto"/>
        </w:rPr>
      </w:pPr>
    </w:p>
    <w:p>
      <w:pPr>
        <w:ind w:left="1184" w:hanging="535"/>
        <w:spacing w:after="0"/>
        <w:tabs>
          <w:tab w:leader="none" w:pos="1184" w:val="left"/>
        </w:tabs>
        <w:numPr>
          <w:ilvl w:val="1"/>
          <w:numId w:val="21"/>
        </w:numPr>
        <w:rPr>
          <w:rFonts w:ascii="Arial" w:cs="Arial" w:eastAsia="Arial" w:hAnsi="Arial"/>
          <w:sz w:val="16"/>
          <w:szCs w:val="16"/>
          <w:color w:val="auto"/>
        </w:rPr>
      </w:pPr>
      <w:r>
        <w:rPr>
          <w:rFonts w:ascii="Arial" w:cs="Arial" w:eastAsia="Arial" w:hAnsi="Arial"/>
          <w:sz w:val="16"/>
          <w:szCs w:val="16"/>
          <w:color w:val="auto"/>
        </w:rPr>
        <w:t>Upon payment for the Shares to be sold by the Selling Shareholder, delivery of such Shares, as directed by the Underwriters, to Cede</w:t>
      </w:r>
    </w:p>
    <w:p>
      <w:pPr>
        <w:spacing w:after="0" w:line="46" w:lineRule="exact"/>
        <w:rPr>
          <w:rFonts w:ascii="Arial" w:cs="Arial" w:eastAsia="Arial" w:hAnsi="Arial"/>
          <w:sz w:val="16"/>
          <w:szCs w:val="16"/>
          <w:color w:val="auto"/>
        </w:rPr>
      </w:pPr>
    </w:p>
    <w:p>
      <w:pPr>
        <w:jc w:val="both"/>
        <w:ind w:left="4" w:hanging="4"/>
        <w:spacing w:after="0" w:line="267" w:lineRule="auto"/>
        <w:tabs>
          <w:tab w:leader="none" w:pos="189"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 (“</w:t>
      </w:r>
      <w:r>
        <w:rPr>
          <w:rFonts w:ascii="Arial" w:cs="Arial" w:eastAsia="Arial" w:hAnsi="Arial"/>
          <w:sz w:val="17"/>
          <w:szCs w:val="17"/>
          <w:b w:val="1"/>
          <w:bCs w:val="1"/>
          <w:i w:val="1"/>
          <w:iCs w:val="1"/>
          <w:color w:val="auto"/>
        </w:rPr>
        <w:t>Cede</w:t>
      </w:r>
      <w:r>
        <w:rPr>
          <w:rFonts w:ascii="Arial" w:cs="Arial" w:eastAsia="Arial" w:hAnsi="Arial"/>
          <w:sz w:val="17"/>
          <w:szCs w:val="17"/>
          <w:color w:val="auto"/>
        </w:rPr>
        <w:t>”) or such other nominee as may be designated by The Depository Trust Company (“</w:t>
      </w:r>
      <w:r>
        <w:rPr>
          <w:rFonts w:ascii="Arial" w:cs="Arial" w:eastAsia="Arial" w:hAnsi="Arial"/>
          <w:sz w:val="17"/>
          <w:szCs w:val="17"/>
          <w:b w:val="1"/>
          <w:bCs w:val="1"/>
          <w:i w:val="1"/>
          <w:iCs w:val="1"/>
          <w:color w:val="auto"/>
        </w:rPr>
        <w:t>DTC</w:t>
      </w:r>
      <w:r>
        <w:rPr>
          <w:rFonts w:ascii="Arial" w:cs="Arial" w:eastAsia="Arial" w:hAnsi="Arial"/>
          <w:sz w:val="17"/>
          <w:szCs w:val="17"/>
          <w:color w:val="auto"/>
        </w:rPr>
        <w:t>”), registration of such Shares in the name of Cede or such other nominee and the crediting of such Shares on the books of DTC to securities accounts of the Underwriters (i) DTC will acquire good and valid title to such Shares free and clear of all liens, encumbrances, equities, community property rights, restrictions on transfer or claims, (ii) DTC shall be a “protected purchaser” of such Shares within the meaning of Section 8-303 of the UCC, (iii) under Section 8-501 of the UCC, the Underwriters will acquire a valid security entitlement in respect of such Shares, and (iv) an action based on an adverse claim to such securities entitlement, whether framed in conversion, replevin, constructive trust, equitable lien or other theory may not be asserted against the Underwriters with respect to such security entitlement. For purposes of this representation, the Selling Shareholder may assume that when such payment, delivery and crediting occur, (x) such Shares will have been registered in the name of Cede or another nominee designated by DTC, in each case on the Company’s share registry in accordance with its certificate of incorporation, bylaws and applicable law, (y) DTC will be registered as a “clearing corporation” within the meaning of Section 8-102 of the UCC, and (z) appropriate entries to the accounts of the Underwriters on the records of DTC will have been made pursuant to the UCC.</w:t>
      </w:r>
    </w:p>
    <w:p>
      <w:pPr>
        <w:spacing w:after="0" w:line="186" w:lineRule="exact"/>
        <w:rPr>
          <w:rFonts w:ascii="Arial" w:cs="Arial" w:eastAsia="Arial" w:hAnsi="Arial"/>
          <w:sz w:val="17"/>
          <w:szCs w:val="17"/>
          <w:color w:val="auto"/>
        </w:rPr>
      </w:pPr>
    </w:p>
    <w:p>
      <w:pPr>
        <w:ind w:left="1164" w:hanging="515"/>
        <w:spacing w:after="0"/>
        <w:tabs>
          <w:tab w:leader="none" w:pos="1164" w:val="left"/>
        </w:tabs>
        <w:numPr>
          <w:ilvl w:val="1"/>
          <w:numId w:val="2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144" w:hanging="495"/>
        <w:spacing w:after="0"/>
        <w:tabs>
          <w:tab w:leader="none" w:pos="1144"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Selling Shareholder has full right, power and authority, corporate or otherwise, to enter into this Agreement.</w:t>
      </w:r>
    </w:p>
    <w:p>
      <w:pPr>
        <w:spacing w:after="0" w:line="225" w:lineRule="exact"/>
        <w:rPr>
          <w:rFonts w:ascii="Arial" w:cs="Arial" w:eastAsia="Arial" w:hAnsi="Arial"/>
          <w:sz w:val="18"/>
          <w:szCs w:val="18"/>
          <w:color w:val="auto"/>
        </w:rPr>
      </w:pPr>
    </w:p>
    <w:p>
      <w:pPr>
        <w:ind w:left="1164" w:hanging="515"/>
        <w:spacing w:after="0"/>
        <w:tabs>
          <w:tab w:leader="none" w:pos="1164" w:val="left"/>
        </w:tabs>
        <w:numPr>
          <w:ilvl w:val="1"/>
          <w:numId w:val="22"/>
        </w:numPr>
        <w:rPr>
          <w:rFonts w:ascii="Arial" w:cs="Arial" w:eastAsia="Arial" w:hAnsi="Arial"/>
          <w:sz w:val="17"/>
          <w:szCs w:val="17"/>
          <w:color w:val="auto"/>
        </w:rPr>
      </w:pPr>
      <w:r>
        <w:rPr>
          <w:rFonts w:ascii="Arial" w:cs="Arial" w:eastAsia="Arial" w:hAnsi="Arial"/>
          <w:sz w:val="17"/>
          <w:szCs w:val="17"/>
          <w:color w:val="auto"/>
        </w:rPr>
        <w:t>This Agreement has been duly and validly authorized, executed and delivered by or on behalf of the Selling Shareholder.</w:t>
      </w:r>
    </w:p>
    <w:p>
      <w:pPr>
        <w:spacing w:after="0" w:line="236" w:lineRule="exact"/>
        <w:rPr>
          <w:rFonts w:ascii="Arial" w:cs="Arial" w:eastAsia="Arial" w:hAnsi="Arial"/>
          <w:sz w:val="17"/>
          <w:szCs w:val="17"/>
          <w:color w:val="auto"/>
        </w:rPr>
      </w:pPr>
    </w:p>
    <w:p>
      <w:pPr>
        <w:ind w:left="1164" w:hanging="515"/>
        <w:spacing w:after="0"/>
        <w:tabs>
          <w:tab w:leader="none" w:pos="1164" w:val="left"/>
        </w:tabs>
        <w:numPr>
          <w:ilvl w:val="1"/>
          <w:numId w:val="22"/>
        </w:numPr>
        <w:rPr>
          <w:rFonts w:ascii="Arial" w:cs="Arial" w:eastAsia="Arial" w:hAnsi="Arial"/>
          <w:sz w:val="18"/>
          <w:szCs w:val="18"/>
          <w:color w:val="auto"/>
        </w:rPr>
      </w:pPr>
      <w:r>
        <w:rPr>
          <w:rFonts w:ascii="Arial" w:cs="Arial" w:eastAsia="Arial" w:hAnsi="Arial"/>
          <w:sz w:val="18"/>
          <w:szCs w:val="18"/>
          <w:color w:val="auto"/>
        </w:rPr>
        <w:t>[Reserved]</w:t>
      </w:r>
    </w:p>
    <w:p>
      <w:pPr>
        <w:spacing w:after="0" w:line="200" w:lineRule="exact"/>
        <w:rPr>
          <w:sz w:val="20"/>
          <w:szCs w:val="20"/>
          <w:color w:val="auto"/>
        </w:rPr>
      </w:pPr>
    </w:p>
    <w:p>
      <w:pPr>
        <w:spacing w:after="0" w:line="241" w:lineRule="exact"/>
        <w:rPr>
          <w:sz w:val="20"/>
          <w:szCs w:val="20"/>
          <w:color w:val="auto"/>
        </w:rPr>
      </w:pPr>
    </w:p>
    <w:p>
      <w:pPr>
        <w:ind w:left="4984"/>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21" w:name="page22"/>
    <w:bookmarkEnd w:id="21"/>
    <w:p>
      <w:pPr>
        <w:jc w:val="both"/>
        <w:ind w:left="-540" w:firstLine="645"/>
        <w:spacing w:after="0" w:line="255" w:lineRule="auto"/>
        <w:tabs>
          <w:tab w:leader="none" w:pos="71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sale of the Shares to be sold by the Selling Shareholder, the execution, delivery and performance of this Agreement by the Selling Shareholder and the consummation by the Selling Shareholder of the transactions contemplated hereby do not and will not (i) conflict with or result in a breach or violation of any of the terms or provisions of, or constitute a default under, any indenture, mortgage, deed of trust, loan agreement, license, lease or other agreement or instrument to which the Selling Shareholder is a party or by which the Selling Shareholder is bound or to which any of the property or assets of the Selling Shareholder is subject, or (ii) result in any violation of any statute or any judgment, order, decree, rule or regulation of any court or governmental agency or body having jurisdiction over the Selling Shareholder or the property or assets of the Selling Shareholder.</w:t>
      </w:r>
    </w:p>
    <w:p>
      <w:pPr>
        <w:spacing w:after="0" w:line="189" w:lineRule="exact"/>
        <w:rPr>
          <w:rFonts w:ascii="Arial" w:cs="Arial" w:eastAsia="Arial" w:hAnsi="Arial"/>
          <w:sz w:val="18"/>
          <w:szCs w:val="18"/>
          <w:color w:val="auto"/>
        </w:rPr>
      </w:pPr>
    </w:p>
    <w:p>
      <w:pPr>
        <w:jc w:val="both"/>
        <w:ind w:left="-540" w:firstLine="645"/>
        <w:spacing w:after="0" w:line="254" w:lineRule="auto"/>
        <w:tabs>
          <w:tab w:leader="none" w:pos="713"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 consent, approval, authorization or order of, or filing or registration with, any court or governmental agency or body having jurisdiction over the Selling Shareholder or the property or assets of the Selling Shareholder is required for the sale of the Shares by the Selling Shareholder, the execution, delivery and performance of this Agreement by the Selling Shareholder and the consummation by the Selling Shareholder of the transactions contemplated hereby, except for (i) the registration of the Shares under the Securities Act and such consents, approvals, authorizations, orders, filings, registrations or qualifications as may be required under the Exchange Act and applicable state or foreign securities laws in connection with the purchase and sale of the Shares by the Underwriters (including but not limited to, the approval by and rules of the FINRA and the rules of the NASDAQ Stock Market LLC) and (ii) such consents, approvals, authorizations and orders that have been already obtained.</w:t>
      </w:r>
    </w:p>
    <w:p>
      <w:pPr>
        <w:spacing w:after="0" w:line="192" w:lineRule="exact"/>
        <w:rPr>
          <w:rFonts w:ascii="Arial" w:cs="Arial" w:eastAsia="Arial" w:hAnsi="Arial"/>
          <w:sz w:val="18"/>
          <w:szCs w:val="18"/>
          <w:color w:val="auto"/>
        </w:rPr>
      </w:pPr>
    </w:p>
    <w:p>
      <w:pPr>
        <w:jc w:val="both"/>
        <w:ind w:left="-540" w:firstLine="645"/>
        <w:spacing w:after="0" w:line="273" w:lineRule="auto"/>
        <w:tabs>
          <w:tab w:leader="none" w:pos="819"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To the knowledge of the Selling Shareholder, the Registration Statement did not, as of the Effective Date, contain an untrue statement of a material fact or omit to state a material fact required to be stated therein or necessary to make the statements therein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representations and warranties set forth in this subsection (k) apply only to statements or omissions made in reliance upon and in conformity with information relating to the Selling Shareholder furnished in writing by or on behalf of the Selling Shareholder expressly for use in the Prospectus, it being understood that the only such information furnished by the Selling Shareholder consists of the statements contained with respect to the Selling Shareholder under the caption “Selling shareholder”.</w:t>
      </w:r>
    </w:p>
    <w:p>
      <w:pPr>
        <w:spacing w:after="0" w:line="178" w:lineRule="exact"/>
        <w:rPr>
          <w:rFonts w:ascii="Arial" w:cs="Arial" w:eastAsia="Arial" w:hAnsi="Arial"/>
          <w:sz w:val="17"/>
          <w:szCs w:val="17"/>
          <w:color w:val="auto"/>
        </w:rPr>
      </w:pPr>
    </w:p>
    <w:p>
      <w:pPr>
        <w:jc w:val="both"/>
        <w:ind w:left="-540" w:firstLine="645"/>
        <w:spacing w:after="0" w:line="293" w:lineRule="auto"/>
        <w:tabs>
          <w:tab w:leader="none" w:pos="663"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To the knowledge of the Selling Shareholder, the Prospectus will not, as of its date or as of the applicable Delivery Date, contain an untrue statement of a material fact or omit to state a material fact necessary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representations and warranties set forth in this subsection (l) apply only to statements or omissions made in reliance upon and in conformity with information relating to the Selling Shareholder furnished in writing by or on behalf of the Selling Shareholder expressly for use in the Prospectus, it being understood that the only such information furnished by the Selling Shareholder consists of the statements contained with respect to the Selling Shareholder under the caption “Selling shareholder”.</w:t>
      </w:r>
    </w:p>
    <w:p>
      <w:pPr>
        <w:spacing w:after="0" w:line="164" w:lineRule="exact"/>
        <w:rPr>
          <w:rFonts w:ascii="Arial" w:cs="Arial" w:eastAsia="Arial" w:hAnsi="Arial"/>
          <w:sz w:val="16"/>
          <w:szCs w:val="16"/>
          <w:color w:val="auto"/>
        </w:rPr>
      </w:pPr>
    </w:p>
    <w:p>
      <w:pPr>
        <w:jc w:val="both"/>
        <w:ind w:left="-540" w:firstLine="645"/>
        <w:spacing w:after="0" w:line="293" w:lineRule="auto"/>
        <w:tabs>
          <w:tab w:leader="none" w:pos="682"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To the knowledge of the Selling Shareholder, the Pricing Disclosure Package did not, as of the Applicable Time, contain an untrue statement of a material fact or omit to state a material fact necessary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representations and warranties set forth in this subsection (m) apply only to statements or omissions made in reliance upon and in conformity with information relating to the Selling Shareholder furnished in writing by or on behalf of the Selling Shareholder expressly for use in the Pricing Disclosure Package, it being understood that the only such information furnished by the Selling Shareholder consists of the statements contained with respect to the Selling Shareholder under the caption “Selling shareholder”.</w:t>
      </w:r>
    </w:p>
    <w:p>
      <w:pPr>
        <w:spacing w:after="0" w:line="38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22" w:name="page23"/>
    <w:bookmarkEnd w:id="22"/>
    <w:p>
      <w:pPr>
        <w:jc w:val="both"/>
        <w:ind w:left="660" w:firstLine="645"/>
        <w:spacing w:after="0" w:line="272" w:lineRule="auto"/>
        <w:tabs>
          <w:tab w:leader="none" w:pos="1917"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To the knowledge of the Selling Shareholder, the Pricing Disclosure Package, when taken together with each Issuer Free Writing Prospectus listed in Schedule V hereto, did not, as of the Applicable Time, contain an untrue statement of a material fact or omit to state a material fact necessary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representations and warranties set forth in this subsection (n) apply only to statements or omissions made in reliance upon and in conformity with information relating to the Selling Shareholder furnished in writing by or on behalf of the Selling Shareholder expressly for use in the Pricing Disclosure Package (or any Issuer Free Writing Package), it being understood that the only such information furnished by the Selling Shareholder consists of the statements contained with respect to the Selling Shareholder under the caption “Selling shareholder”.</w:t>
      </w:r>
    </w:p>
    <w:p>
      <w:pPr>
        <w:spacing w:after="0" w:line="177" w:lineRule="exact"/>
        <w:rPr>
          <w:rFonts w:ascii="Arial" w:cs="Arial" w:eastAsia="Arial" w:hAnsi="Arial"/>
          <w:sz w:val="17"/>
          <w:szCs w:val="17"/>
          <w:color w:val="auto"/>
        </w:rPr>
      </w:pPr>
    </w:p>
    <w:p>
      <w:pPr>
        <w:ind w:left="660" w:firstLine="645"/>
        <w:spacing w:after="0" w:line="277" w:lineRule="auto"/>
        <w:tabs>
          <w:tab w:leader="none" w:pos="187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Selling Shareholder is not prompted to sell Shares by any material non-public information concerning the Company that is not set forth in the Registration Statement, the Pricing Disclosure Package or the Prospectus.</w:t>
      </w:r>
    </w:p>
    <w:p>
      <w:pPr>
        <w:spacing w:after="0" w:line="170" w:lineRule="exact"/>
        <w:rPr>
          <w:rFonts w:ascii="Arial" w:cs="Arial" w:eastAsia="Arial" w:hAnsi="Arial"/>
          <w:sz w:val="18"/>
          <w:szCs w:val="18"/>
          <w:color w:val="auto"/>
        </w:rPr>
      </w:pPr>
    </w:p>
    <w:p>
      <w:pPr>
        <w:jc w:val="both"/>
        <w:ind w:left="660" w:firstLine="645"/>
        <w:spacing w:after="0" w:line="272" w:lineRule="auto"/>
        <w:tabs>
          <w:tab w:leader="none" w:pos="1879" w:val="left"/>
        </w:tabs>
        <w:numPr>
          <w:ilvl w:val="0"/>
          <w:numId w:val="24"/>
        </w:numPr>
        <w:rPr>
          <w:rFonts w:ascii="Arial" w:cs="Arial" w:eastAsia="Arial" w:hAnsi="Arial"/>
          <w:sz w:val="17"/>
          <w:szCs w:val="17"/>
          <w:color w:val="auto"/>
        </w:rPr>
      </w:pPr>
      <w:r>
        <w:rPr>
          <w:rFonts w:ascii="Arial" w:cs="Arial" w:eastAsia="Arial" w:hAnsi="Arial"/>
          <w:sz w:val="17"/>
          <w:szCs w:val="17"/>
          <w:color w:val="auto"/>
        </w:rPr>
        <w:t>Assuming that the Underwriters are not otherwise subject to taxation in the State of Israel, other than any withholding taxes which may be necessary pursuant to Israeli law on account of gains of the Selling Shareholder arising under clauses (1) and (2) below, no stamp or other issuance of transfer taxes or duties and no capital gains, income or other taxes are payable by or on behalf of the Underwriters, or otherwise imposed on any payments made to the Underwriters, to the State of Israel or to any political subdivision or taxing authority thereof in connection with (1) the execution, delivery or performance of this Agreement by the Selling Shareholder, or (2) the sale or delivery of the Shares to be sold by the Selling Shareholder to or for the respective accounts of the Underwriters as disclosed in the Registration Statement, the Pricing Disclosure Package and the Prospectus, and pursuant to the terms of this Agreement.</w:t>
      </w:r>
    </w:p>
    <w:p>
      <w:pPr>
        <w:spacing w:after="0" w:line="177" w:lineRule="exact"/>
        <w:rPr>
          <w:rFonts w:ascii="Arial" w:cs="Arial" w:eastAsia="Arial" w:hAnsi="Arial"/>
          <w:sz w:val="17"/>
          <w:szCs w:val="17"/>
          <w:color w:val="auto"/>
        </w:rPr>
      </w:pPr>
    </w:p>
    <w:p>
      <w:pPr>
        <w:jc w:val="both"/>
        <w:ind w:left="660" w:firstLine="645"/>
        <w:spacing w:after="0" w:line="257" w:lineRule="auto"/>
        <w:tabs>
          <w:tab w:leader="none" w:pos="195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Selling Shareholder has not taken, directly or indirectly, any action that is designed to or that has constituted or that could reasonably be expected to cause or result in the stabilization or manipulation of the price of any security of the Company in connection with the offering of the Shares. In addition, the Selling Shareholder has not engaged in any form of solicitation, advertising or any other action constituting an offer to the public under the Israeli Securities Law in connection with the transactions contemplated hereby which would require the publication of a prospectus in the State of Israel under the laws of the State of Israel.</w:t>
      </w:r>
    </w:p>
    <w:p>
      <w:pPr>
        <w:spacing w:after="0" w:line="188"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Any certificate signed by the Selling Shareholder and delivered to the Underwriters or counsel for the Underwriters in connection with the offering of the Shares shall be deemed a representation and warranty by the Selling Shareholder, as to matters covered thereby, to each Underwriter.</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jc w:val="both"/>
        <w:ind w:firstLine="656"/>
        <w:spacing w:after="0" w:line="291" w:lineRule="auto"/>
        <w:tabs>
          <w:tab w:leader="none" w:pos="1193"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Purchase of the Shares by the Underwriters</w:t>
      </w:r>
      <w:r>
        <w:rPr>
          <w:rFonts w:ascii="Arial" w:cs="Arial" w:eastAsia="Arial" w:hAnsi="Arial"/>
          <w:sz w:val="16"/>
          <w:szCs w:val="16"/>
          <w:color w:val="auto"/>
        </w:rPr>
        <w:t>. On the basis of the representations, warranties and covenants contained in, and subject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terms and conditions of, this Agreement, the Selling Shareholder agrees to sell 4,250,000 Firm Shares to the Underwriters, and each of the Underwriters, severally and not jointly, agrees to purchase the number of Firm Shares set forth opposite that Underwriter’s name in Schedule I hereto. Each Underwriter shall be obligated to purchase from the Selling Shareholder that number of Firm Shares that represents the same proportion of the number of Firm Shares to be sold by the Selling Shareholder as the number of Firm Shares set forth opposite the name of such Underwriter in Schedule I represents to the total number of Firm Shares to be purchased by all of the Underwriters pursuant to this Agreement. The respective purchase obligations of the Underwriters with respect to the Firm Shares shall be rounded among the Underwriters to avoid fractional shares, as the Underwriters may determine.</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the Selling Shareholder grants to the Underwriters an option to purchase up to 637,500 additional Option Shares. Any such election to purchase Option Shares shall be made in proportion to the maximum number of Option Shares to be sold by the Selling Shareholder. Each Underwriter agrees, severally and not jointly, to purchase the number of Option Shares (subject to such adjustments to eliminate fractional shares as the Underwriters may determine) that bears the same proportion to the total number of Option Shares to be sold on such Delivery Date as the number of Firm Shares set forth in Schedule I hereto opposite the name of such Underwriter bears to the total number of Firm Shares.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purchase price payable by the Underwriters for both the Firm Shares and any Option Shares is $20.17 per share.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Selling Shareholder is not obligated to deliver any of the Firm Shares or Option Shares to be delivered on the applicable Delivery Date, except upon payment for all such Shares to be purchased on such Delivery Date as provided herein.</w:t>
      </w:r>
    </w:p>
    <w:p>
      <w:pPr>
        <w:spacing w:after="0" w:line="170" w:lineRule="exact"/>
        <w:rPr>
          <w:sz w:val="20"/>
          <w:szCs w:val="20"/>
          <w:color w:val="auto"/>
        </w:rPr>
      </w:pPr>
    </w:p>
    <w:p>
      <w:pPr>
        <w:ind w:right="20" w:firstLine="656"/>
        <w:spacing w:after="0" w:line="277" w:lineRule="auto"/>
        <w:tabs>
          <w:tab w:leader="none" w:pos="1166"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Offering of Shares by the Underwriters</w:t>
      </w:r>
      <w:r>
        <w:rPr>
          <w:rFonts w:ascii="Arial" w:cs="Arial" w:eastAsia="Arial" w:hAnsi="Arial"/>
          <w:sz w:val="18"/>
          <w:szCs w:val="18"/>
          <w:color w:val="auto"/>
        </w:rPr>
        <w:t>. Upon authorization by the Underwriters of the release of the Firm Shares, the several Underwriters</w:t>
      </w:r>
      <w:r>
        <w:rPr>
          <w:rFonts w:ascii="Arial" w:cs="Arial" w:eastAsia="Arial" w:hAnsi="Arial"/>
          <w:sz w:val="18"/>
          <w:szCs w:val="18"/>
          <w:i w:val="1"/>
          <w:iCs w:val="1"/>
          <w:color w:val="auto"/>
        </w:rPr>
        <w:t xml:space="preserve"> </w:t>
      </w:r>
      <w:r>
        <w:rPr>
          <w:rFonts w:ascii="Arial" w:cs="Arial" w:eastAsia="Arial" w:hAnsi="Arial"/>
          <w:sz w:val="18"/>
          <w:szCs w:val="18"/>
          <w:color w:val="auto"/>
        </w:rPr>
        <w:t>propose to offer the Firm Shares for sale upon the terms and conditions to be set forth in the Prospectus.</w:t>
      </w:r>
    </w:p>
    <w:p>
      <w:pPr>
        <w:spacing w:after="0" w:line="170" w:lineRule="exact"/>
        <w:rPr>
          <w:rFonts w:ascii="Arial" w:cs="Arial" w:eastAsia="Arial" w:hAnsi="Arial"/>
          <w:sz w:val="18"/>
          <w:szCs w:val="18"/>
          <w:color w:val="auto"/>
        </w:rPr>
      </w:pPr>
    </w:p>
    <w:p>
      <w:pPr>
        <w:jc w:val="both"/>
        <w:ind w:firstLine="656"/>
        <w:spacing w:after="0" w:line="271" w:lineRule="auto"/>
        <w:tabs>
          <w:tab w:leader="none" w:pos="1139"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Delivery of and Payment for the Shares</w:t>
      </w:r>
      <w:r>
        <w:rPr>
          <w:rFonts w:ascii="Arial" w:cs="Arial" w:eastAsia="Arial" w:hAnsi="Arial"/>
          <w:sz w:val="17"/>
          <w:szCs w:val="17"/>
          <w:color w:val="auto"/>
        </w:rPr>
        <w:t>. Delivery of and payment for the Firm Shares shall be made at 10:00 A.M., New York City time, on</w:t>
      </w:r>
      <w:r>
        <w:rPr>
          <w:rFonts w:ascii="Arial" w:cs="Arial" w:eastAsia="Arial" w:hAnsi="Arial"/>
          <w:sz w:val="17"/>
          <w:szCs w:val="17"/>
          <w:i w:val="1"/>
          <w:iCs w:val="1"/>
          <w:color w:val="auto"/>
        </w:rPr>
        <w:t xml:space="preserve"> </w:t>
      </w:r>
      <w:r>
        <w:rPr>
          <w:rFonts w:ascii="Arial" w:cs="Arial" w:eastAsia="Arial" w:hAnsi="Arial"/>
          <w:sz w:val="17"/>
          <w:szCs w:val="17"/>
          <w:color w:val="auto"/>
        </w:rPr>
        <w:t>the third full business day following the date of this Agreement or at such other date or place as shall be determined by agreement between the Underwriters, the Selling Shareholder and the Company. This date and time are sometimes referred to as the “</w:t>
      </w:r>
      <w:r>
        <w:rPr>
          <w:rFonts w:ascii="Arial" w:cs="Arial" w:eastAsia="Arial" w:hAnsi="Arial"/>
          <w:sz w:val="17"/>
          <w:szCs w:val="17"/>
          <w:b w:val="1"/>
          <w:bCs w:val="1"/>
          <w:color w:val="auto"/>
        </w:rPr>
        <w:t>Initial Delivery Date</w:t>
      </w:r>
      <w:r>
        <w:rPr>
          <w:rFonts w:ascii="Arial" w:cs="Arial" w:eastAsia="Arial" w:hAnsi="Arial"/>
          <w:sz w:val="17"/>
          <w:szCs w:val="17"/>
          <w:color w:val="auto"/>
        </w:rPr>
        <w:t>”. Delivery of the Firm Shares shall be made to the Underwriters for the account of each Underwriter against payment by the Underwriters and of the respective aggregate purchase prices of the Firm Shares being sold by the Selling Shareholder to or upon the order of the Selling Shareholder of the purchase price by wire transfer in immediately available funds to the accounts specified by the Selling Shareholder. Time shall be of the essence, and delivery at the time and place specified pursuant to this Agreement is a further condition of the obligation of each Underwriter hereunder. The Selling Shareholder shall deliver the Firm Shares through the facilities of the Depository Trust Company (“</w:t>
      </w:r>
      <w:r>
        <w:rPr>
          <w:rFonts w:ascii="Arial" w:cs="Arial" w:eastAsia="Arial" w:hAnsi="Arial"/>
          <w:sz w:val="17"/>
          <w:szCs w:val="17"/>
          <w:b w:val="1"/>
          <w:bCs w:val="1"/>
          <w:color w:val="auto"/>
        </w:rPr>
        <w:t>DTC</w:t>
      </w:r>
      <w:r>
        <w:rPr>
          <w:rFonts w:ascii="Arial" w:cs="Arial" w:eastAsia="Arial" w:hAnsi="Arial"/>
          <w:sz w:val="17"/>
          <w:szCs w:val="17"/>
          <w:color w:val="auto"/>
        </w:rPr>
        <w:t>”) unless the Underwriters shall otherwise instruct.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jc w:val="both"/>
        <w:ind w:firstLine="648"/>
        <w:spacing w:after="0" w:line="270" w:lineRule="auto"/>
        <w:rPr>
          <w:sz w:val="20"/>
          <w:szCs w:val="20"/>
          <w:color w:val="auto"/>
        </w:rPr>
      </w:pPr>
      <w:r>
        <w:rPr>
          <w:rFonts w:ascii="Arial" w:cs="Arial" w:eastAsia="Arial" w:hAnsi="Arial"/>
          <w:sz w:val="17"/>
          <w:szCs w:val="17"/>
          <w:color w:val="auto"/>
        </w:rPr>
        <w:t xml:space="preserve">The options granted in Section 3 will expire 30 days after the date of this Agreement and may be exercised in whole or from time to time in part by written notice being given to the Company and the Selling Shareholder by the Underwriters within such 30-day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date falls on a day that is not a business day, the options granted in Section 3 will expire on the next succeeding business day. Such notice shall set forth the aggregate number of Option Shares as to which the options are being exercised, the names in which the Option Shares are to be registered, the denominations in which the Option Shares are to be issued and the date and time, as determined by the Underwriters, when the Option Shares are to be delivered;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this date and time shall not be earlier than the Initial Delivery Date nor earlier than the second business day after the date on which the options shall have been exercised nor later than the fifth business day after the date on which the options shall have been exercised. Each date and time the Option Shares are delivered is sometimes referred to as an “</w:t>
      </w:r>
      <w:r>
        <w:rPr>
          <w:rFonts w:ascii="Arial" w:cs="Arial" w:eastAsia="Arial" w:hAnsi="Arial"/>
          <w:sz w:val="17"/>
          <w:szCs w:val="17"/>
          <w:b w:val="1"/>
          <w:bCs w:val="1"/>
          <w:color w:val="auto"/>
        </w:rPr>
        <w:t>Option Shares Delivery Date</w:t>
      </w:r>
      <w:r>
        <w:rPr>
          <w:rFonts w:ascii="Arial" w:cs="Arial" w:eastAsia="Arial" w:hAnsi="Arial"/>
          <w:sz w:val="17"/>
          <w:szCs w:val="17"/>
          <w:color w:val="auto"/>
        </w:rPr>
        <w:t>”, and the Initial Delivery Date and any Option Shares Delivery Date are sometimes each referred to as a “</w:t>
      </w:r>
      <w:r>
        <w:rPr>
          <w:rFonts w:ascii="Arial" w:cs="Arial" w:eastAsia="Arial" w:hAnsi="Arial"/>
          <w:sz w:val="17"/>
          <w:szCs w:val="17"/>
          <w:b w:val="1"/>
          <w:bCs w:val="1"/>
          <w:color w:val="auto"/>
        </w:rPr>
        <w:t>Delivery Date</w:t>
      </w:r>
      <w:r>
        <w:rPr>
          <w:rFonts w:ascii="Arial" w:cs="Arial" w:eastAsia="Arial" w:hAnsi="Arial"/>
          <w:sz w:val="17"/>
          <w:szCs w:val="17"/>
          <w:color w:val="auto"/>
        </w:rPr>
        <w:t>”.</w:t>
      </w:r>
    </w:p>
    <w:p>
      <w:pPr>
        <w:spacing w:after="0" w:line="18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Delivery of the Option Shares by the Selling Shareholder and payment for the Option Shares by the Underwriters shall be made at 10:00 A.M., New York City time, on the date specified in the corresponding notice described in the preceding paragraph or at such other date or place as shall be determined by agreement between the Underwriters and the Company. On each Option Shares Delivery Date, the Selling Shareholder shall deliver or cause to be delivered the Option Shares to the Underwriters against payment by the Underwriters and of the respective aggregate purchase prices of the Option Shares being sold by the Selling Shareholder to or upon the order of the Selling Shareholder of the purchase price by wire transfer in immediately available funds to the accounts specified by the Selling Shareholder. Time shall be of the essence, and delivery at the time and place specified pursuant to this Agreement is a further condition of the obligation of each Underwriter hereunder. The Selling Shareholder shall deliver the Option Shares through the facilities of DTC unless the Underwriters shall otherwise instruct.</w:t>
      </w:r>
    </w:p>
    <w:p>
      <w:pPr>
        <w:spacing w:after="0" w:line="179" w:lineRule="exact"/>
        <w:rPr>
          <w:sz w:val="20"/>
          <w:szCs w:val="20"/>
          <w:color w:val="auto"/>
        </w:rPr>
      </w:pPr>
    </w:p>
    <w:p>
      <w:pPr>
        <w:ind w:left="1240" w:hanging="584"/>
        <w:spacing w:after="0"/>
        <w:tabs>
          <w:tab w:leader="none" w:pos="124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Further Agreements of the Company and the Underwriters</w:t>
      </w:r>
      <w:r>
        <w:rPr>
          <w:rFonts w:ascii="Arial" w:cs="Arial" w:eastAsia="Arial" w:hAnsi="Arial"/>
          <w:sz w:val="18"/>
          <w:szCs w:val="18"/>
          <w:color w:val="auto"/>
        </w:rPr>
        <w:t>. (a) The Company agrees:</w:t>
      </w:r>
    </w:p>
    <w:p>
      <w:pPr>
        <w:spacing w:after="0" w:line="225" w:lineRule="exact"/>
        <w:rPr>
          <w:rFonts w:ascii="Arial" w:cs="Arial" w:eastAsia="Arial" w:hAnsi="Arial"/>
          <w:sz w:val="18"/>
          <w:szCs w:val="18"/>
          <w:color w:val="auto"/>
        </w:rPr>
      </w:pPr>
    </w:p>
    <w:p>
      <w:pPr>
        <w:jc w:val="both"/>
        <w:ind w:left="1300" w:firstLine="653"/>
        <w:spacing w:after="0" w:line="287" w:lineRule="auto"/>
        <w:tabs>
          <w:tab w:leader="none" w:pos="2437" w:val="left"/>
        </w:tabs>
        <w:numPr>
          <w:ilvl w:val="1"/>
          <w:numId w:val="27"/>
        </w:numPr>
        <w:rPr>
          <w:rFonts w:ascii="Arial" w:cs="Arial" w:eastAsia="Arial" w:hAnsi="Arial"/>
          <w:sz w:val="16"/>
          <w:szCs w:val="16"/>
          <w:color w:val="auto"/>
        </w:rPr>
      </w:pPr>
      <w:r>
        <w:rPr>
          <w:rFonts w:ascii="Arial" w:cs="Arial" w:eastAsia="Arial" w:hAnsi="Arial"/>
          <w:sz w:val="16"/>
          <w:szCs w:val="16"/>
          <w:color w:val="auto"/>
        </w:rPr>
        <w:t>To prepare the Prospectus in a form approved by the Underwriters and to file such Prospectus pursuant to Rule 424(b) under the Securities Act not later than the Commission’s close of business on the second business day following the execution and delivery of this Agreement; to make no further amendment or any supplement to the Registration Statement or the Prospectus prior to the last Delivery Date except as provided herein; to advise the Underwriters, promptly after it receives notice thereof, of the time when any amendment or supplement to the Registration Statement or the Prospectus has been filed and to furnish the Underwriters with copies thereof; to advise the Underwriters, promptly after it receives notice thereof, of the issuance by the Commission of any stop order or of any order preventing or suspending the use of the Prospectus or any Issuer Free Writing Prospectus, of the suspension of the qualification of the Shares for offering or sale in any jurisdiction, of the initiation or threatening of any proceeding or examination for any such purpose or of any request by the Commission for the amending or supplementing of the Registration Statement, the Prospectus or any Issuer Free Writing Prospectus or for additional information; and, in the event of the issuance of any stop order or of any order preventing or suspending the use of the Prospectus or any Issuer Free Writing Prospectus or suspending any such qualification, to use promptly its best efforts to obtain its withdrawal.</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jc w:val="both"/>
        <w:ind w:left="100" w:firstLine="653"/>
        <w:spacing w:after="0" w:line="264" w:lineRule="auto"/>
        <w:tabs>
          <w:tab w:leader="none" w:pos="138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furnish promptly upon request to each of the Underwriters and to counsel for the Underwriters a signed copy of the Registration Statement as originally filed with the Commission, and each amendment thereto filed with the Commission, including all consents and exhibits filed therewith.</w:t>
      </w:r>
    </w:p>
    <w:p>
      <w:pPr>
        <w:spacing w:after="0" w:line="181" w:lineRule="exact"/>
        <w:rPr>
          <w:rFonts w:ascii="Arial" w:cs="Arial" w:eastAsia="Arial" w:hAnsi="Arial"/>
          <w:sz w:val="18"/>
          <w:szCs w:val="18"/>
          <w:color w:val="auto"/>
        </w:rPr>
      </w:pPr>
    </w:p>
    <w:p>
      <w:pPr>
        <w:jc w:val="both"/>
        <w:ind w:left="100" w:firstLine="653"/>
        <w:spacing w:after="0" w:line="287" w:lineRule="auto"/>
        <w:tabs>
          <w:tab w:leader="none" w:pos="1433" w:val="left"/>
        </w:tabs>
        <w:numPr>
          <w:ilvl w:val="0"/>
          <w:numId w:val="28"/>
        </w:numPr>
        <w:rPr>
          <w:rFonts w:ascii="Arial" w:cs="Arial" w:eastAsia="Arial" w:hAnsi="Arial"/>
          <w:sz w:val="16"/>
          <w:szCs w:val="16"/>
          <w:color w:val="auto"/>
        </w:rPr>
      </w:pPr>
      <w:r>
        <w:rPr>
          <w:rFonts w:ascii="Arial" w:cs="Arial" w:eastAsia="Arial" w:hAnsi="Arial"/>
          <w:sz w:val="16"/>
          <w:szCs w:val="16"/>
          <w:color w:val="auto"/>
        </w:rPr>
        <w:t>To deliver promptly to the Underwriters such number of the following documents as the Underwriters shall reasonably request: (A) conformed copies of the Registration Statement as originally filed with the Commission and each amendment thereto (in each case excluding exhibits other than this Agreement and the computation of per share earnings), (B) each Preliminary Prospectus, the Prospectus and any amended or supplemented Prospectus, (C) each Issuer Free Writing Prospectus, and (D) any document incorporated by reference in any Preliminary Prospectus or the Prospectus; and, if the delivery of a prospectus is required at any time after the date hereof in connection with the offering or sale of the Shares or any other securities relating thereto and if at such time any events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shall be necessary to amend or supplement the Prospectus in order to comply with the Securities Act, to notify the Underwriters and, upon their request, to file such document and to prepare and furnish without charge to each Underwriter and to any dealer in securities as many copies as the Underwriters may from time to time reasonably request of an amended or supplemented Prospectus that will correct such statement or omission or effect such compliance.</w:t>
      </w:r>
    </w:p>
    <w:p>
      <w:pPr>
        <w:spacing w:after="0" w:line="168" w:lineRule="exact"/>
        <w:rPr>
          <w:rFonts w:ascii="Arial" w:cs="Arial" w:eastAsia="Arial" w:hAnsi="Arial"/>
          <w:sz w:val="16"/>
          <w:szCs w:val="16"/>
          <w:color w:val="auto"/>
        </w:rPr>
      </w:pPr>
    </w:p>
    <w:p>
      <w:pPr>
        <w:ind w:left="100" w:firstLine="653"/>
        <w:spacing w:after="0" w:line="308" w:lineRule="auto"/>
        <w:tabs>
          <w:tab w:leader="none" w:pos="1321" w:val="left"/>
        </w:tabs>
        <w:numPr>
          <w:ilvl w:val="0"/>
          <w:numId w:val="28"/>
        </w:numPr>
        <w:rPr>
          <w:rFonts w:ascii="Arial" w:cs="Arial" w:eastAsia="Arial" w:hAnsi="Arial"/>
          <w:sz w:val="17"/>
          <w:szCs w:val="17"/>
          <w:color w:val="auto"/>
        </w:rPr>
      </w:pPr>
      <w:r>
        <w:rPr>
          <w:rFonts w:ascii="Arial" w:cs="Arial" w:eastAsia="Arial" w:hAnsi="Arial"/>
          <w:sz w:val="17"/>
          <w:szCs w:val="17"/>
          <w:color w:val="auto"/>
        </w:rPr>
        <w:t>To file promptly with the Commission any amendment or supplement to the Registration Statement or the Prospectus that may, in the judgment of the Company or the Underwriters, be required by the Securities Act or requested by the Commission.</w:t>
      </w:r>
    </w:p>
    <w:p>
      <w:pPr>
        <w:spacing w:after="0" w:line="146" w:lineRule="exact"/>
        <w:rPr>
          <w:rFonts w:ascii="Arial" w:cs="Arial" w:eastAsia="Arial" w:hAnsi="Arial"/>
          <w:sz w:val="17"/>
          <w:szCs w:val="17"/>
          <w:color w:val="auto"/>
        </w:rPr>
      </w:pPr>
    </w:p>
    <w:p>
      <w:pPr>
        <w:jc w:val="both"/>
        <w:ind w:left="100" w:firstLine="653"/>
        <w:spacing w:after="0" w:line="259" w:lineRule="auto"/>
        <w:tabs>
          <w:tab w:leader="none" w:pos="1421"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Prior to filing with the Commission any amendment or supplement to the Registration Statement, the Prospectus, any document incorporated by reference in the Prospectus or any amendment to any document incorporated by reference in the Prospectus, to furnish a copy thereof to the Underwriters and counsel for the Underwriters and not to file any such amendment or supplement to which the Underwriters shall reasonably object.</w:t>
      </w:r>
    </w:p>
    <w:p>
      <w:pPr>
        <w:spacing w:after="0" w:line="200" w:lineRule="exact"/>
        <w:rPr>
          <w:sz w:val="20"/>
          <w:szCs w:val="20"/>
          <w:color w:val="auto"/>
        </w:rPr>
      </w:pPr>
    </w:p>
    <w:p>
      <w:pPr>
        <w:spacing w:after="0" w:line="20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26" w:name="page27"/>
    <w:bookmarkEnd w:id="26"/>
    <w:p>
      <w:pPr>
        <w:ind w:left="100" w:firstLine="653"/>
        <w:spacing w:after="0" w:line="277" w:lineRule="auto"/>
        <w:tabs>
          <w:tab w:leader="none" w:pos="1443"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Not to make any offer relating to the Shares that would constitute an Issuer Free Writing Prospectus without the prior written consent of the Underwriters.</w:t>
      </w:r>
    </w:p>
    <w:p>
      <w:pPr>
        <w:spacing w:after="0" w:line="170" w:lineRule="exact"/>
        <w:rPr>
          <w:rFonts w:ascii="Arial" w:cs="Arial" w:eastAsia="Arial" w:hAnsi="Arial"/>
          <w:sz w:val="18"/>
          <w:szCs w:val="18"/>
          <w:color w:val="auto"/>
        </w:rPr>
      </w:pPr>
    </w:p>
    <w:p>
      <w:pPr>
        <w:jc w:val="both"/>
        <w:ind w:left="100" w:firstLine="653"/>
        <w:spacing w:after="0" w:line="253" w:lineRule="auto"/>
        <w:tabs>
          <w:tab w:leader="none" w:pos="1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comply with all applicable requirements of Rule 433 under the Securities Act with respect to any Issuer Free Writing Prospectus. If at any time after the date hereof any events shall have occurred as a result of which any Issuer Free Writing Prospectus, as then amended or supplemented, would conflict with the information in the Registration Statement, the most recent Preliminary Prospectus or the Prospectus or would include an untrue statement of a material fact or omit to state any material fact necessary in order to make the statements therein, in the light of the circumstances under which they were made, not misleading, or, if for any other reason it shall be necessary to amend or supplement any Issuer Free Writing Prospectus, to notify the Underwriters and, upon their request, to file such document and to prepare and furnish without charge to each Underwriter as many copies as the Underwriters may from time to time reasonably request of an amended or supplemented Issuer Free Writing Prospectus that will correct such conflict, statement or omission or effect such compliance.</w:t>
      </w:r>
    </w:p>
    <w:p>
      <w:pPr>
        <w:spacing w:after="0" w:line="197" w:lineRule="exact"/>
        <w:rPr>
          <w:rFonts w:ascii="Arial" w:cs="Arial" w:eastAsia="Arial" w:hAnsi="Arial"/>
          <w:sz w:val="18"/>
          <w:szCs w:val="18"/>
          <w:color w:val="auto"/>
        </w:rPr>
      </w:pPr>
    </w:p>
    <w:p>
      <w:pPr>
        <w:jc w:val="both"/>
        <w:ind w:left="100" w:firstLine="653"/>
        <w:spacing w:after="0" w:line="276" w:lineRule="auto"/>
        <w:tabs>
          <w:tab w:leader="none" w:pos="1344" w:val="left"/>
        </w:tabs>
        <w:numPr>
          <w:ilvl w:val="0"/>
          <w:numId w:val="29"/>
        </w:numPr>
        <w:rPr>
          <w:rFonts w:ascii="Arial" w:cs="Arial" w:eastAsia="Arial" w:hAnsi="Arial"/>
          <w:sz w:val="17"/>
          <w:szCs w:val="17"/>
          <w:color w:val="auto"/>
        </w:rPr>
      </w:pPr>
      <w:r>
        <w:rPr>
          <w:rFonts w:ascii="Arial" w:cs="Arial" w:eastAsia="Arial" w:hAnsi="Arial"/>
          <w:sz w:val="17"/>
          <w:szCs w:val="17"/>
          <w:color w:val="auto"/>
        </w:rPr>
        <w:t>As soon as practicable after the Effective Date (it being understood that the Company shall have until at least 410 days or, if the fourth quarter following the fiscal quarter that includes the Effective Date is the last fiscal quarter of the Company’s fiscal year, 455 days after the end of the Company’s current fiscal quarter), to make generally available to the Company’s security holders and to deliver to the Underwriters an earnings statement of the Company and its subsidiaries (which need not be audited) complying with Section 11(a) of the Securities Act and the rules and regulations thereunder (including, at the option of the Company, Rule 158).</w:t>
      </w:r>
    </w:p>
    <w:p>
      <w:pPr>
        <w:spacing w:after="0" w:line="172" w:lineRule="exact"/>
        <w:rPr>
          <w:rFonts w:ascii="Arial" w:cs="Arial" w:eastAsia="Arial" w:hAnsi="Arial"/>
          <w:sz w:val="17"/>
          <w:szCs w:val="17"/>
          <w:color w:val="auto"/>
        </w:rPr>
      </w:pPr>
    </w:p>
    <w:p>
      <w:pPr>
        <w:jc w:val="both"/>
        <w:ind w:left="100" w:firstLine="653"/>
        <w:spacing w:after="0" w:line="273" w:lineRule="auto"/>
        <w:tabs>
          <w:tab w:leader="none" w:pos="1465"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Promptly from time to time to take such action as the Underwriters may reasonably request to qualify the Shares for offering and sale under the securities or Blue Sky laws of Canada and such other jurisdictions as the Underwriters may request and to comply with such laws so as to permit the continuance of sales and dealings therein in such jurisdictions for as long as may be necessary to complete the distribution of the Shares;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connection therewith the Company shall not be required to (i) qualify as a foreign corporation in any jurisdiction in which it would not otherwise be required to so qualify, (ii) file a general consent to service of process in any such jurisdiction, or (iii) subject itself to taxation in any jurisdiction in which it would not otherwise be subject.</w:t>
      </w:r>
    </w:p>
    <w:p>
      <w:pPr>
        <w:spacing w:after="0" w:line="39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27" w:name="page28"/>
    <w:bookmarkEnd w:id="27"/>
    <w:p>
      <w:pPr>
        <w:jc w:val="both"/>
        <w:ind w:left="100" w:firstLine="653"/>
        <w:spacing w:after="0" w:line="285" w:lineRule="auto"/>
        <w:tabs>
          <w:tab w:leader="none" w:pos="1357" w:val="left"/>
        </w:tabs>
        <w:numPr>
          <w:ilvl w:val="0"/>
          <w:numId w:val="30"/>
        </w:numPr>
        <w:rPr>
          <w:rFonts w:ascii="Arial" w:cs="Arial" w:eastAsia="Arial" w:hAnsi="Arial"/>
          <w:sz w:val="16"/>
          <w:szCs w:val="16"/>
          <w:color w:val="auto"/>
        </w:rPr>
      </w:pPr>
      <w:r>
        <w:rPr>
          <w:rFonts w:ascii="Arial" w:cs="Arial" w:eastAsia="Arial" w:hAnsi="Arial"/>
          <w:sz w:val="16"/>
          <w:szCs w:val="16"/>
          <w:color w:val="auto"/>
        </w:rPr>
        <w:t>For a period commencing on the date hereof and ending on the 90th day after the date of the Prospectus (the “</w:t>
      </w:r>
      <w:r>
        <w:rPr>
          <w:rFonts w:ascii="Arial" w:cs="Arial" w:eastAsia="Arial" w:hAnsi="Arial"/>
          <w:sz w:val="16"/>
          <w:szCs w:val="16"/>
          <w:b w:val="1"/>
          <w:bCs w:val="1"/>
          <w:color w:val="auto"/>
        </w:rPr>
        <w:t>Lock-Up</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 not to, directly or indirectly, (A) offer for sale, sell, pledge, or otherwise dispose of (or enter into any transaction or device that is</w:t>
      </w:r>
      <w:r>
        <w:rPr>
          <w:rFonts w:ascii="Arial" w:cs="Arial" w:eastAsia="Arial" w:hAnsi="Arial"/>
          <w:sz w:val="16"/>
          <w:szCs w:val="16"/>
          <w:b w:val="1"/>
          <w:bCs w:val="1"/>
          <w:color w:val="auto"/>
        </w:rPr>
        <w:t xml:space="preserve"> </w:t>
      </w:r>
      <w:r>
        <w:rPr>
          <w:rFonts w:ascii="Arial" w:cs="Arial" w:eastAsia="Arial" w:hAnsi="Arial"/>
          <w:sz w:val="16"/>
          <w:szCs w:val="16"/>
          <w:color w:val="auto"/>
        </w:rPr>
        <w:t>designed to, or could be expected to, result in the disposition by any person at any time in the future of) any Ordinary Shares or securities convertible into or exercisable or exchangeable for Ordinary Shares (other than (i) the Shares, (ii) Ordinary Shares or other securities issued pursuant to employee benefit plans, qualified share option plans or other employee compensation plans existing on the date hereof (“</w:t>
      </w:r>
      <w:r>
        <w:rPr>
          <w:rFonts w:ascii="Arial" w:cs="Arial" w:eastAsia="Arial" w:hAnsi="Arial"/>
          <w:sz w:val="16"/>
          <w:szCs w:val="16"/>
          <w:b w:val="1"/>
          <w:bCs w:val="1"/>
          <w:color w:val="auto"/>
        </w:rPr>
        <w:t>Existing Plans</w:t>
      </w:r>
      <w:r>
        <w:rPr>
          <w:rFonts w:ascii="Arial" w:cs="Arial" w:eastAsia="Arial" w:hAnsi="Arial"/>
          <w:sz w:val="16"/>
          <w:szCs w:val="16"/>
          <w:color w:val="auto"/>
        </w:rPr>
        <w:t xml:space="preserve">”) or upon exercise of currently outstanding options, warrants or rights and (iii) Ordinary Shares or other securities issued in connection with acquisitions, strategic partnerships or lending, leasing or other commercial transactions (including joint ventures, marketing or distribution arrangements, collaboration agreements or intellectual property license agreements) in an amount not to exceed 5% of the Company’s outstanding Ordinary Shares as of the Initial Delivery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the recipient of such Ordinary Shares or other securities executes and delivers a lock-up agreement in the form of Exhibit A hereto), or sell or grant options, rights or warrants with respect to any Ordinary Shares or securities convertible into or exchangeable for Ordinary Shares (other than the grant of options or rights pursuant to Existing Plans;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the recipient of such options or rights executes and delivers a lock-up agreement in the form of Exhibit A hereto), (B) enter into any swap or other derivatives transaction that transfers to another, in whole or in part, any of the economic benefits or risks of ownership of such Ordinary Shares, whether any such transaction described in clause (A) or (B) above is to be settled by delivery of Ordinary Shares or other securities, in cash or otherwise, (C) file or cause to be filed a registration statement, including any amendments thereto, with respect to the registration of any Ordinary Shares or securities convertible, exercisable or exchangeable into Ordinary Shares or any other securities of the Company (other than any registration statement on Form S-8), or (D) publicly disclose the intention to do any of the foregoing, in each case without the prior written consent of Barclays Capital Inc. and Citigroup Global Markets Inc., on behalf of the Underwriters, and to cause each officer, director and shareholder of the Company set forth on Schedule II hereto to furnish to the Underwriters, prior to the Initial Delivery Date, a letter or letters, substantially in the form of Exhibit A hereto (the “</w:t>
      </w:r>
      <w:r>
        <w:rPr>
          <w:rFonts w:ascii="Arial" w:cs="Arial" w:eastAsia="Arial" w:hAnsi="Arial"/>
          <w:sz w:val="16"/>
          <w:szCs w:val="16"/>
          <w:b w:val="1"/>
          <w:bCs w:val="1"/>
          <w:color w:val="auto"/>
        </w:rPr>
        <w:t>Lock-Up Agreements</w:t>
      </w:r>
      <w:r>
        <w:rPr>
          <w:rFonts w:ascii="Arial" w:cs="Arial" w:eastAsia="Arial" w:hAnsi="Arial"/>
          <w:sz w:val="16"/>
          <w:szCs w:val="16"/>
          <w:color w:val="auto"/>
        </w:rPr>
        <w:t>”).</w:t>
      </w:r>
    </w:p>
    <w:p>
      <w:pPr>
        <w:spacing w:after="0" w:line="388" w:lineRule="exact"/>
        <w:rPr>
          <w:rFonts w:ascii="Arial" w:cs="Arial" w:eastAsia="Arial" w:hAnsi="Arial"/>
          <w:sz w:val="16"/>
          <w:szCs w:val="16"/>
          <w:color w:val="auto"/>
        </w:rPr>
      </w:pPr>
    </w:p>
    <w:p>
      <w:pPr>
        <w:ind w:left="1320" w:hanging="567"/>
        <w:spacing w:after="0"/>
        <w:tabs>
          <w:tab w:leader="none" w:pos="1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00" w:firstLine="653"/>
        <w:spacing w:after="0" w:line="277" w:lineRule="auto"/>
        <w:tabs>
          <w:tab w:leader="none" w:pos="1421"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apply the net proceeds from the sale of the Shares being sold by the Company substantially in accordance with the description as set forth in the Prospectus under the caption “Use of Proceeds.”</w:t>
      </w:r>
    </w:p>
    <w:p>
      <w:pPr>
        <w:spacing w:after="0" w:line="170" w:lineRule="exact"/>
        <w:rPr>
          <w:rFonts w:ascii="Arial" w:cs="Arial" w:eastAsia="Arial" w:hAnsi="Arial"/>
          <w:sz w:val="18"/>
          <w:szCs w:val="18"/>
          <w:color w:val="auto"/>
        </w:rPr>
      </w:pPr>
    </w:p>
    <w:p>
      <w:pPr>
        <w:ind w:left="1440" w:hanging="687"/>
        <w:spacing w:after="0"/>
        <w:tabs>
          <w:tab w:leader="none" w:pos="14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To file with the Commission such information on Form 6-K or Form 20-F as may be required by Rule 463 under the</w:t>
      </w:r>
    </w:p>
    <w:p>
      <w:pPr>
        <w:spacing w:after="0" w:line="34"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8"/>
          <w:szCs w:val="18"/>
          <w:color w:val="auto"/>
        </w:rPr>
        <w:t>Securities Act.</w:t>
      </w:r>
    </w:p>
    <w:p>
      <w:pPr>
        <w:spacing w:after="0" w:line="210" w:lineRule="exact"/>
        <w:rPr>
          <w:rFonts w:ascii="Arial" w:cs="Arial" w:eastAsia="Arial" w:hAnsi="Arial"/>
          <w:sz w:val="17"/>
          <w:szCs w:val="17"/>
          <w:color w:val="auto"/>
        </w:rPr>
      </w:pPr>
    </w:p>
    <w:p>
      <w:pPr>
        <w:jc w:val="both"/>
        <w:ind w:left="100" w:firstLine="653"/>
        <w:spacing w:after="0" w:line="259" w:lineRule="auto"/>
        <w:tabs>
          <w:tab w:leader="none" w:pos="1582"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the Company elects to rely upon Rule 462(b) under the Securities Act, the Company shall file a Rule 462(b) Registration Statement with the Commission in compliance with Rule 462(b) under the Securities Act by 10:00 P.M., Washington, D.C. time, on the date of this Agreement, and the Company shall at the time of filing pay the Commission the filing fee for the Rule 462(b) Registration Statement.</w:t>
      </w:r>
    </w:p>
    <w:p>
      <w:pPr>
        <w:spacing w:after="0" w:line="200" w:lineRule="exact"/>
        <w:rPr>
          <w:sz w:val="20"/>
          <w:szCs w:val="20"/>
          <w:color w:val="auto"/>
        </w:rPr>
      </w:pPr>
    </w:p>
    <w:p>
      <w:pPr>
        <w:spacing w:after="0" w:line="20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28" w:name="page29"/>
    <w:bookmarkEnd w:id="28"/>
    <w:p>
      <w:pPr>
        <w:jc w:val="both"/>
        <w:ind w:left="100" w:firstLine="653"/>
        <w:spacing w:after="0" w:line="259" w:lineRule="auto"/>
        <w:tabs>
          <w:tab w:leader="none" w:pos="1417"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Company will promptly notify the Underwriters if the Company ceases to be an Emerging Growth Company at any time prior to the later of (A) the time when a prospectus relating to the offering or sale of the Shares or any other securities relating thereto is not required by the Securities Act to be delivered (whether physically or through compliance with Rule 172 under the Securities Act or any similar rule) and (B) completion of the Lock-Up Period.</w:t>
      </w:r>
    </w:p>
    <w:p>
      <w:pPr>
        <w:spacing w:after="0" w:line="186" w:lineRule="exact"/>
        <w:rPr>
          <w:rFonts w:ascii="Arial" w:cs="Arial" w:eastAsia="Arial" w:hAnsi="Arial"/>
          <w:sz w:val="18"/>
          <w:szCs w:val="18"/>
          <w:color w:val="auto"/>
        </w:rPr>
      </w:pPr>
    </w:p>
    <w:p>
      <w:pPr>
        <w:ind w:left="1420" w:hanging="667"/>
        <w:spacing w:after="0"/>
        <w:tabs>
          <w:tab w:leader="none" w:pos="14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100" w:firstLine="653"/>
        <w:spacing w:after="0" w:line="264" w:lineRule="auto"/>
        <w:tabs>
          <w:tab w:leader="none" w:pos="1468"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Company and its affiliates will not take, directly or indirectly, any action designed to or that has constituted or that reasonably would be expected to cause or result in the stabilization or manipulation of the price of any security of the Company in connection with the offering of the Shares.</w:t>
      </w:r>
    </w:p>
    <w:p>
      <w:pPr>
        <w:spacing w:after="0" w:line="181" w:lineRule="exact"/>
        <w:rPr>
          <w:rFonts w:ascii="Arial" w:cs="Arial" w:eastAsia="Arial" w:hAnsi="Arial"/>
          <w:sz w:val="18"/>
          <w:szCs w:val="18"/>
          <w:color w:val="auto"/>
        </w:rPr>
      </w:pPr>
    </w:p>
    <w:p>
      <w:pPr>
        <w:ind w:left="100" w:firstLine="653"/>
        <w:spacing w:after="0" w:line="342" w:lineRule="auto"/>
        <w:tabs>
          <w:tab w:leader="none" w:pos="1484"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Company will do and perform all things required or necessary to be done and performed under this Agreement by it prior to each Delivery Date, and to satisfy all conditions precedent to the Underwriters’ obligations hereunder to purchase the Shares.</w:t>
      </w:r>
    </w:p>
    <w:p>
      <w:pPr>
        <w:spacing w:after="0" w:line="123" w:lineRule="exact"/>
        <w:rPr>
          <w:rFonts w:ascii="Arial" w:cs="Arial" w:eastAsia="Arial" w:hAnsi="Arial"/>
          <w:sz w:val="16"/>
          <w:szCs w:val="16"/>
          <w:color w:val="auto"/>
        </w:rPr>
      </w:pPr>
    </w:p>
    <w:p>
      <w:pPr>
        <w:jc w:val="both"/>
        <w:ind w:left="-540" w:firstLine="645"/>
        <w:spacing w:after="0" w:line="293" w:lineRule="auto"/>
        <w:tabs>
          <w:tab w:leader="none" w:pos="807" w:val="left"/>
        </w:tabs>
        <w:numPr>
          <w:ilvl w:val="0"/>
          <w:numId w:val="32"/>
        </w:numPr>
        <w:rPr>
          <w:rFonts w:ascii="Arial" w:cs="Arial" w:eastAsia="Arial" w:hAnsi="Arial"/>
          <w:sz w:val="16"/>
          <w:szCs w:val="16"/>
          <w:color w:val="auto"/>
        </w:rPr>
      </w:pPr>
      <w:r>
        <w:rPr>
          <w:rFonts w:ascii="Arial" w:cs="Arial" w:eastAsia="Arial" w:hAnsi="Arial"/>
          <w:sz w:val="16"/>
          <w:szCs w:val="16"/>
          <w:color w:val="auto"/>
        </w:rPr>
        <w:t>Each Underwriter severally agrees that such Underwriter shall not include any “issuer information” (as defined in Rule 433 under the Securities Act) in any “free writing prospectus” (as defined in Rule 405 under the Securities Act) used or referred to by such Underwriter without the prior consent of the Company (any such issuer information with respect to whose use the Company has given its consent, “</w:t>
      </w:r>
      <w:r>
        <w:rPr>
          <w:rFonts w:ascii="Arial" w:cs="Arial" w:eastAsia="Arial" w:hAnsi="Arial"/>
          <w:sz w:val="16"/>
          <w:szCs w:val="16"/>
          <w:b w:val="1"/>
          <w:bCs w:val="1"/>
          <w:color w:val="auto"/>
        </w:rPr>
        <w:t>Permitted Issuer</w:t>
      </w:r>
      <w:r>
        <w:rPr>
          <w:rFonts w:ascii="Arial" w:cs="Arial" w:eastAsia="Arial" w:hAnsi="Arial"/>
          <w:sz w:val="16"/>
          <w:szCs w:val="16"/>
          <w:color w:val="auto"/>
        </w:rPr>
        <w:t xml:space="preserve"> </w:t>
      </w:r>
      <w:r>
        <w:rPr>
          <w:rFonts w:ascii="Arial" w:cs="Arial" w:eastAsia="Arial" w:hAnsi="Arial"/>
          <w:sz w:val="16"/>
          <w:szCs w:val="16"/>
          <w:b w:val="1"/>
          <w:bCs w:val="1"/>
          <w:color w:val="auto"/>
        </w:rPr>
        <w:t>Information</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 (i) no such consent shall be required with respect to any such issuer information contained in any document filed by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with the Commission prior to the use of such free writing prospectus, and (ii) “issuer information”, as used in this Section 6(b), shall not be deemed to include information prepared by or on behalf of such Underwriter on the basis of or derived from issuer information.</w:t>
      </w:r>
    </w:p>
    <w:p>
      <w:pPr>
        <w:spacing w:after="0" w:line="164" w:lineRule="exact"/>
        <w:rPr>
          <w:rFonts w:ascii="Arial" w:cs="Arial" w:eastAsia="Arial" w:hAnsi="Arial"/>
          <w:sz w:val="16"/>
          <w:szCs w:val="16"/>
          <w:color w:val="auto"/>
        </w:rPr>
      </w:pPr>
    </w:p>
    <w:p>
      <w:pPr>
        <w:jc w:val="both"/>
        <w:ind w:left="-540" w:firstLine="645"/>
        <w:spacing w:after="0" w:line="289" w:lineRule="auto"/>
        <w:tabs>
          <w:tab w:leader="none" w:pos="803" w:val="left"/>
        </w:tabs>
        <w:numPr>
          <w:ilvl w:val="0"/>
          <w:numId w:val="32"/>
        </w:numPr>
        <w:rPr>
          <w:rFonts w:ascii="Arial" w:cs="Arial" w:eastAsia="Arial" w:hAnsi="Arial"/>
          <w:sz w:val="16"/>
          <w:szCs w:val="16"/>
          <w:color w:val="auto"/>
        </w:rPr>
      </w:pPr>
      <w:r>
        <w:rPr>
          <w:rFonts w:ascii="Arial" w:cs="Arial" w:eastAsia="Arial" w:hAnsi="Arial"/>
          <w:sz w:val="16"/>
          <w:szCs w:val="16"/>
          <w:color w:val="auto"/>
        </w:rPr>
        <w:t>Each Underwriter severally agrees that other than as set forth in this Section 6(c), it will not offer any Shares to offerees in Israel, other than to investors listed in the First Addendum to the Israeli Securities Law (the “</w:t>
      </w:r>
      <w:r>
        <w:rPr>
          <w:rFonts w:ascii="Arial" w:cs="Arial" w:eastAsia="Arial" w:hAnsi="Arial"/>
          <w:sz w:val="16"/>
          <w:szCs w:val="16"/>
          <w:b w:val="1"/>
          <w:bCs w:val="1"/>
          <w:color w:val="auto"/>
        </w:rPr>
        <w:t>Addendum</w:t>
      </w:r>
      <w:r>
        <w:rPr>
          <w:rFonts w:ascii="Arial" w:cs="Arial" w:eastAsia="Arial" w:hAnsi="Arial"/>
          <w:sz w:val="16"/>
          <w:szCs w:val="16"/>
          <w:color w:val="auto"/>
        </w:rPr>
        <w:t>”). The Company and the Selling Shareholder acknowledge, understand and agree that Shares may be sold in Israel only by the Underwriters and only to such Israeli investors listed in the Addendum; all of whom are to be specifically identified and approved by the Underwriters, and provided further that as a prerequisite to sale of Shares by the Underwriters to such Israeli investors, each of them shall be required to submit written confirmation to the Underwriters, the Company and the Selling Shareholder that such investor (i) falls within the scope of the Addendum; and (ii) is acquiring the Shares being offered to it for investment for its own account or, if applicable, for investment for clients who are institutional investors and in any event not as a nominee, market maker or agent and not with a view to, or for the resale in connection with, any distribution thereof. The Underwriters, the Company and the Selling Shareholder acknowledge and agree that any failure to comply with the above procedure may result in a violation of Israeli Securities Law.</w:t>
      </w:r>
    </w:p>
    <w:p>
      <w:pPr>
        <w:spacing w:after="0" w:line="38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29" w:name="page30"/>
    <w:bookmarkEnd w:id="29"/>
    <w:p>
      <w:pPr>
        <w:ind w:left="444" w:hanging="444"/>
        <w:spacing w:after="0"/>
        <w:tabs>
          <w:tab w:leader="none" w:pos="444"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Further Agreements of the Selling Shareholder. </w:t>
      </w:r>
      <w:r>
        <w:rPr>
          <w:rFonts w:ascii="Arial" w:cs="Arial" w:eastAsia="Arial" w:hAnsi="Arial"/>
          <w:sz w:val="18"/>
          <w:szCs w:val="18"/>
          <w:color w:val="auto"/>
        </w:rPr>
        <w:t>The Selling Shareholder agrees:</w:t>
      </w:r>
    </w:p>
    <w:p>
      <w:pPr>
        <w:spacing w:after="0" w:line="225" w:lineRule="exact"/>
        <w:rPr>
          <w:rFonts w:ascii="Arial" w:cs="Arial" w:eastAsia="Arial" w:hAnsi="Arial"/>
          <w:sz w:val="18"/>
          <w:szCs w:val="18"/>
          <w:color w:val="auto"/>
        </w:rPr>
      </w:pPr>
    </w:p>
    <w:p>
      <w:pPr>
        <w:ind w:left="1264" w:hanging="615"/>
        <w:spacing w:after="0"/>
        <w:tabs>
          <w:tab w:leader="none" w:pos="1264" w:val="left"/>
        </w:tabs>
        <w:numPr>
          <w:ilvl w:val="1"/>
          <w:numId w:val="33"/>
        </w:numPr>
        <w:rPr>
          <w:rFonts w:ascii="Arial" w:cs="Arial" w:eastAsia="Arial" w:hAnsi="Arial"/>
          <w:sz w:val="17"/>
          <w:szCs w:val="17"/>
          <w:color w:val="auto"/>
        </w:rPr>
      </w:pPr>
      <w:r>
        <w:rPr>
          <w:rFonts w:ascii="Arial" w:cs="Arial" w:eastAsia="Arial" w:hAnsi="Arial"/>
          <w:sz w:val="17"/>
          <w:szCs w:val="17"/>
          <w:color w:val="auto"/>
        </w:rPr>
        <w:t>To execute and deliver to Barclays Capital Inc. and Citigroup Global Markets Inc. a lock-up agreement in the form of Exhibit A</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hereto.</w:t>
      </w:r>
    </w:p>
    <w:p>
      <w:pPr>
        <w:spacing w:after="0" w:line="210" w:lineRule="exact"/>
        <w:rPr>
          <w:rFonts w:ascii="Arial" w:cs="Arial" w:eastAsia="Arial" w:hAnsi="Arial"/>
          <w:sz w:val="17"/>
          <w:szCs w:val="17"/>
          <w:color w:val="auto"/>
        </w:rPr>
      </w:pPr>
    </w:p>
    <w:p>
      <w:pPr>
        <w:jc w:val="both"/>
        <w:ind w:left="4" w:firstLine="645"/>
        <w:spacing w:after="0" w:line="264" w:lineRule="auto"/>
        <w:tabs>
          <w:tab w:leader="none" w:pos="1212"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Selling Shareholder nor any person acting on behalf of the Selling Shareholder (other than, if applicable, the Company and the Underwriters) has made any offer relating to the Shares which would constitute a “free writing prospectus” (as defined in Rule 405 under the Securities Act), relating to the Shares.</w:t>
      </w:r>
    </w:p>
    <w:p>
      <w:pPr>
        <w:spacing w:after="0" w:line="181" w:lineRule="exact"/>
        <w:rPr>
          <w:rFonts w:ascii="Arial" w:cs="Arial" w:eastAsia="Arial" w:hAnsi="Arial"/>
          <w:sz w:val="18"/>
          <w:szCs w:val="18"/>
          <w:color w:val="auto"/>
        </w:rPr>
      </w:pPr>
    </w:p>
    <w:p>
      <w:pPr>
        <w:jc w:val="both"/>
        <w:ind w:left="4" w:firstLine="645"/>
        <w:spacing w:after="0" w:line="273" w:lineRule="auto"/>
        <w:tabs>
          <w:tab w:leader="none" w:pos="1383" w:val="left"/>
        </w:tabs>
        <w:numPr>
          <w:ilvl w:val="1"/>
          <w:numId w:val="33"/>
        </w:numPr>
        <w:rPr>
          <w:rFonts w:ascii="Arial" w:cs="Arial" w:eastAsia="Arial" w:hAnsi="Arial"/>
          <w:sz w:val="17"/>
          <w:szCs w:val="17"/>
          <w:color w:val="auto"/>
        </w:rPr>
      </w:pPr>
      <w:r>
        <w:rPr>
          <w:rFonts w:ascii="Arial" w:cs="Arial" w:eastAsia="Arial" w:hAnsi="Arial"/>
          <w:sz w:val="17"/>
          <w:szCs w:val="17"/>
          <w:color w:val="auto"/>
        </w:rPr>
        <w:t>To deliver to the Underwriters prior to the Initial Delivery Date a properly completed and executed United States Treasury Department Form W-8 (if the Selling Shareholder is a non-United States person) or Form W-9 (if the Selling Shareholder is a United States person) and a Valid Certificate issued by the Israeli tax authority (the “</w:t>
      </w:r>
      <w:r>
        <w:rPr>
          <w:rFonts w:ascii="Arial" w:cs="Arial" w:eastAsia="Arial" w:hAnsi="Arial"/>
          <w:sz w:val="17"/>
          <w:szCs w:val="17"/>
          <w:b w:val="1"/>
          <w:bCs w:val="1"/>
          <w:color w:val="auto"/>
        </w:rPr>
        <w:t>ITA</w:t>
      </w:r>
      <w:r>
        <w:rPr>
          <w:rFonts w:ascii="Arial" w:cs="Arial" w:eastAsia="Arial" w:hAnsi="Arial"/>
          <w:sz w:val="17"/>
          <w:szCs w:val="17"/>
          <w:color w:val="auto"/>
        </w:rPr>
        <w:t>”), if obtained. A “Valid Certificate” shall be a valid certification or ruling issued by the ITA, (x) exempting from the duty to withhold Israeli Taxes, (y) determining the applicable rate of Israeli tax to be withheld, or (z) providing any other instructions regarding the payment or withholding. The Underwriters may, at their reasonable discretion, withhold (or not withhold) Israeli taxes in accordance with Israeli law or a Valid Certificate, if obtained, through the Company’s withholding tax file.</w:t>
      </w:r>
    </w:p>
    <w:p>
      <w:pPr>
        <w:spacing w:after="0" w:line="178" w:lineRule="exact"/>
        <w:rPr>
          <w:rFonts w:ascii="Arial" w:cs="Arial" w:eastAsia="Arial" w:hAnsi="Arial"/>
          <w:sz w:val="17"/>
          <w:szCs w:val="17"/>
          <w:color w:val="auto"/>
        </w:rPr>
      </w:pPr>
    </w:p>
    <w:p>
      <w:pPr>
        <w:jc w:val="both"/>
        <w:ind w:left="4" w:firstLine="645"/>
        <w:spacing w:after="0" w:line="264" w:lineRule="auto"/>
        <w:tabs>
          <w:tab w:leader="none" w:pos="1219"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Selling Shareholder will not take, directly or indirectly, any action designed to or that has constituted or that reasonably would be expected to cause or result in the stabilization or manipulation of the price of any security of the Company in connection with the offering of the Shares.</w:t>
      </w:r>
    </w:p>
    <w:p>
      <w:pPr>
        <w:spacing w:after="0" w:line="181" w:lineRule="exact"/>
        <w:rPr>
          <w:rFonts w:ascii="Arial" w:cs="Arial" w:eastAsia="Arial" w:hAnsi="Arial"/>
          <w:sz w:val="18"/>
          <w:szCs w:val="18"/>
          <w:color w:val="auto"/>
        </w:rPr>
      </w:pPr>
    </w:p>
    <w:p>
      <w:pPr>
        <w:jc w:val="both"/>
        <w:ind w:left="4" w:firstLine="645"/>
        <w:spacing w:after="0" w:line="264" w:lineRule="auto"/>
        <w:tabs>
          <w:tab w:leader="none" w:pos="1184"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Selling Shareholder will do and perform all things required or necessary to be done and performed under this Agreement by the Selling Shareholder prior to each Delivery Date, and to satisfy all conditions precedent to the Underwriters’ obligations hereunder to purchase the Shares.</w:t>
      </w:r>
    </w:p>
    <w:p>
      <w:pPr>
        <w:spacing w:after="0" w:line="181" w:lineRule="exact"/>
        <w:rPr>
          <w:rFonts w:ascii="Arial" w:cs="Arial" w:eastAsia="Arial" w:hAnsi="Arial"/>
          <w:sz w:val="18"/>
          <w:szCs w:val="18"/>
          <w:color w:val="auto"/>
        </w:rPr>
      </w:pPr>
    </w:p>
    <w:p>
      <w:pPr>
        <w:ind w:left="4" w:firstLine="645"/>
        <w:spacing w:after="0" w:line="277" w:lineRule="auto"/>
        <w:tabs>
          <w:tab w:leader="none" w:pos="1217"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Selling Shareholder acknowledges, understands and agrees that Shares may be sold in Israel only by the Underwriters and only to such Israeli investors listed in the Addendum.</w:t>
      </w:r>
    </w:p>
    <w:p>
      <w:pPr>
        <w:spacing w:after="0" w:line="387" w:lineRule="exact"/>
        <w:rPr>
          <w:sz w:val="20"/>
          <w:szCs w:val="20"/>
          <w:color w:val="auto"/>
        </w:rPr>
      </w:pPr>
    </w:p>
    <w:p>
      <w:pPr>
        <w:ind w:left="4984"/>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30" w:name="page31"/>
    <w:bookmarkEnd w:id="30"/>
    <w:p>
      <w:pPr>
        <w:jc w:val="both"/>
        <w:ind w:left="-20" w:firstLine="656"/>
        <w:spacing w:after="0" w:line="284" w:lineRule="auto"/>
        <w:tabs>
          <w:tab w:leader="none" w:pos="1335"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The Company agrees, whether or not the transactions contemplated by this Agreement are consummated or this Agreement 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terminated, to pay all expenses, costs, fees and taxes incident to and in connection with (a) the authorization, issuance, sale and delivery of the Shares and any stamp duties or other taxes payable in that connection, and the preparation and printing of certificates for the Shares; (b) the preparation, printing and filing under the Securities Act of the Registration Statement (including any exhibits thereto), any Preliminary Prospectus, the Prospectus, any Issuer Free Writing Prospectus, any Written Testing-the-Waters Communication, and any amendment or supplement thereto; (c) the distribution of the Registration Statement (including any exhibits thereto), any Preliminary Prospectus, the Prospectus, any Issuer Free Writing Prospectus, any Written Testing-the-Waters Communication, and any amendment or supplement thereto, or any document incorporated by reference therein, all as provided in this Agreement; (d) the production and distribution of this Agreement, any supplemental agreement among Underwriters, and any other related documents in connection with the offering, purchase, sale and delivery of the Shares; (e) any required review by the FINRA of the terms of sale of the Shares (including related fees and expenses of counsel to the Underwriters in an amount that, together with the fees and expenses of counsel to the Underwriters pursuant to clauses (h) and (g) of this Section 8 shall not exceed $15,000); (f) the listing of the Shares on The NASDAQ Global Select Market and/or any other exchange; (g) the qualification of the Shares under the securities laws of the several jurisdictions as provided in Section 6(a)(ix) and the preparation, printing and distribution of a Blue Sky Memorandum (including related fees and expenses of counsel to the Underwriters, which, together with the fees and expenses of counsel to the Underwriters pursuant to clauses (e) and (h) of this Section 8, shall not exceed $15,000); (h) the preparation, printing and distribution of one or more versions of the Preliminary Prospectus and the Prospectus for distribution in Canada, including in the form of a Canadian “wrapper” (including related fees and expenses of Canadian counsel to the Underwriters, which, together with the fees and expenses of counsel to the Underwriters pursuant to clauses (e) and (g) of this Section 8, shall not exceed $15,000); (i) the investor presentations on any “road show” or any Testing-the-Waters Communication, undertaken in connection with the marketing of the Shares, including, without limitation, expenses associated with any electronic road show, travel and lodging expenses of the representatives and officers of the Company and 50% of the cost of any aircraft chartered in connection with the road show; and (j) all other costs and expenses incident to the performance of the obligations of the Company and the Selling Shareholder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except as provided in this Section 8 and in Section 13, the Underwriters shall pay their own costs and expenses, including the costs and expenses of their counsel, any transfer taxes on the Shares which they may sell and the expenses of advertising any offering of the Shares made by the Underwriters, and the travel and lodging expenses of their representatives including 50% of the cost of any aircraft chartered in connection with the roadshow.</w:t>
      </w:r>
    </w:p>
    <w:p>
      <w:pPr>
        <w:spacing w:after="0" w:line="178" w:lineRule="exact"/>
        <w:rPr>
          <w:rFonts w:ascii="Arial" w:cs="Arial" w:eastAsia="Arial" w:hAnsi="Arial"/>
          <w:sz w:val="16"/>
          <w:szCs w:val="16"/>
          <w:color w:val="auto"/>
        </w:rPr>
      </w:pPr>
    </w:p>
    <w:p>
      <w:pPr>
        <w:jc w:val="both"/>
        <w:ind w:left="-20" w:firstLine="656"/>
        <w:spacing w:after="0" w:line="312" w:lineRule="auto"/>
        <w:tabs>
          <w:tab w:leader="none" w:pos="1267"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Conditions of Underwriters’ Obligations</w:t>
      </w:r>
      <w:r>
        <w:rPr>
          <w:rFonts w:ascii="Arial" w:cs="Arial" w:eastAsia="Arial" w:hAnsi="Arial"/>
          <w:sz w:val="16"/>
          <w:szCs w:val="16"/>
          <w:color w:val="auto"/>
        </w:rPr>
        <w:t>. The respective obligations of the Underwriters hereunder are subject to the accuracy, when made</w:t>
      </w:r>
      <w:r>
        <w:rPr>
          <w:rFonts w:ascii="Arial" w:cs="Arial" w:eastAsia="Arial" w:hAnsi="Arial"/>
          <w:sz w:val="16"/>
          <w:szCs w:val="16"/>
          <w:i w:val="1"/>
          <w:iCs w:val="1"/>
          <w:color w:val="auto"/>
        </w:rPr>
        <w:t xml:space="preserve"> </w:t>
      </w:r>
      <w:r>
        <w:rPr>
          <w:rFonts w:ascii="Arial" w:cs="Arial" w:eastAsia="Arial" w:hAnsi="Arial"/>
          <w:sz w:val="16"/>
          <w:szCs w:val="16"/>
          <w:color w:val="auto"/>
        </w:rPr>
        <w:t>and on each Delivery Date, of the representations and warranties of the Company and the Selling Shareholder contained herein, to the performance by the Company and the Selling Shareholder of their respective obligations hereunder, and to each of the following additional terms and conditions:</w:t>
      </w:r>
    </w:p>
    <w:p>
      <w:pPr>
        <w:spacing w:after="0" w:line="146" w:lineRule="exact"/>
        <w:rPr>
          <w:rFonts w:ascii="Arial" w:cs="Arial" w:eastAsia="Arial" w:hAnsi="Arial"/>
          <w:sz w:val="16"/>
          <w:szCs w:val="16"/>
          <w:color w:val="auto"/>
        </w:rPr>
      </w:pPr>
    </w:p>
    <w:p>
      <w:pPr>
        <w:jc w:val="both"/>
        <w:ind w:left="640" w:firstLine="645"/>
        <w:spacing w:after="0" w:line="272" w:lineRule="auto"/>
        <w:tabs>
          <w:tab w:leader="none" w:pos="1940" w:val="left"/>
        </w:tabs>
        <w:numPr>
          <w:ilvl w:val="1"/>
          <w:numId w:val="34"/>
        </w:numPr>
        <w:rPr>
          <w:rFonts w:ascii="Arial" w:cs="Arial" w:eastAsia="Arial" w:hAnsi="Arial"/>
          <w:sz w:val="17"/>
          <w:szCs w:val="17"/>
          <w:color w:val="auto"/>
        </w:rPr>
      </w:pPr>
      <w:r>
        <w:rPr>
          <w:rFonts w:ascii="Arial" w:cs="Arial" w:eastAsia="Arial" w:hAnsi="Arial"/>
          <w:sz w:val="17"/>
          <w:szCs w:val="17"/>
          <w:color w:val="auto"/>
        </w:rPr>
        <w:t>The Prospectus shall have been timely filed with the Commission in accordance with Section 6(a)(i). The Company shall have complied with all filing requirements applicable to any Issuer Free Writing Prospectus used or referred to after the date hereof; no stop order suspending the effectiveness of the Registration Statement or preventing or suspending the use of the Prospectus or any Issuer Free Writing Prospectus shall have been issued and no proceeding or examination for such purpose shall have been initiated or threatened by the Commission; and any request of the Commission for inclusion of additional information in the Registration Statement or the Prospectus or otherwise shall have been complied with. If the Company has elected to rely upon Rule 462(b) under the Securities Act, the Rule 462(b) Registration Statement shall have become effective by 10:00 P.M., Washington, D.C. time, on the date of this Agreement.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31" w:name="page32"/>
    <w:bookmarkEnd w:id="31"/>
    <w:p>
      <w:pPr>
        <w:jc w:val="both"/>
        <w:ind w:left="-540" w:firstLine="645"/>
        <w:spacing w:after="0" w:line="312" w:lineRule="auto"/>
        <w:tabs>
          <w:tab w:leader="none" w:pos="819" w:val="left"/>
        </w:tabs>
        <w:numPr>
          <w:ilvl w:val="0"/>
          <w:numId w:val="35"/>
        </w:numPr>
        <w:rPr>
          <w:rFonts w:ascii="Arial" w:cs="Arial" w:eastAsia="Arial" w:hAnsi="Arial"/>
          <w:sz w:val="16"/>
          <w:szCs w:val="16"/>
          <w:color w:val="auto"/>
        </w:rPr>
      </w:pPr>
      <w:r>
        <w:rPr>
          <w:rFonts w:ascii="Arial" w:cs="Arial" w:eastAsia="Arial" w:hAnsi="Arial"/>
          <w:sz w:val="16"/>
          <w:szCs w:val="16"/>
          <w:color w:val="auto"/>
        </w:rPr>
        <w:t>No Underwriter shall have discovered and disclosed to the Company on or prior to such Delivery Date that the Registration Statement, the Prospectus or the Pricing Disclosure Package, or any amendment or supplement thereto, contains an untrue statement of a fact which is material or omits to state a fact which is material and is required to be stated therein or is necessary to make the statements therein not misleading.</w:t>
      </w:r>
    </w:p>
    <w:p>
      <w:pPr>
        <w:spacing w:after="0" w:line="146" w:lineRule="exact"/>
        <w:rPr>
          <w:rFonts w:ascii="Arial" w:cs="Arial" w:eastAsia="Arial" w:hAnsi="Arial"/>
          <w:sz w:val="16"/>
          <w:szCs w:val="16"/>
          <w:color w:val="auto"/>
        </w:rPr>
      </w:pPr>
    </w:p>
    <w:p>
      <w:pPr>
        <w:jc w:val="both"/>
        <w:ind w:left="-540" w:firstLine="645"/>
        <w:spacing w:after="0" w:line="257" w:lineRule="auto"/>
        <w:tabs>
          <w:tab w:leader="none" w:pos="664"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corporate proceedings and other legal matters incident to the authorization, form and validity of this Agreement the Shares, the Registration Statement, the Prospectus and any Issuer Free Writing Prospectus, and all other legal matters relating to this Agreement and the transactions contemplated hereby shall be reasonably satisfactory in all material respects to counsel for the Underwriters, and the Company and the Selling Shareholder shall have furnished to such counsel all documents and information that they may reasonably request to enable them to pass upon such matters.</w:t>
      </w:r>
    </w:p>
    <w:p>
      <w:pPr>
        <w:spacing w:after="0" w:line="188" w:lineRule="exact"/>
        <w:rPr>
          <w:rFonts w:ascii="Arial" w:cs="Arial" w:eastAsia="Arial" w:hAnsi="Arial"/>
          <w:sz w:val="18"/>
          <w:szCs w:val="18"/>
          <w:color w:val="auto"/>
        </w:rPr>
      </w:pPr>
    </w:p>
    <w:p>
      <w:pPr>
        <w:ind w:left="-540" w:firstLine="645"/>
        <w:spacing w:after="0" w:line="308" w:lineRule="auto"/>
        <w:tabs>
          <w:tab w:leader="none" w:pos="664" w:val="left"/>
        </w:tabs>
        <w:numPr>
          <w:ilvl w:val="0"/>
          <w:numId w:val="35"/>
        </w:numPr>
        <w:rPr>
          <w:rFonts w:ascii="Arial" w:cs="Arial" w:eastAsia="Arial" w:hAnsi="Arial"/>
          <w:sz w:val="17"/>
          <w:szCs w:val="17"/>
          <w:color w:val="auto"/>
        </w:rPr>
      </w:pPr>
      <w:r>
        <w:rPr>
          <w:rFonts w:ascii="Arial" w:cs="Arial" w:eastAsia="Arial" w:hAnsi="Arial"/>
          <w:sz w:val="17"/>
          <w:szCs w:val="17"/>
          <w:color w:val="auto"/>
        </w:rPr>
        <w:t>White &amp; Case LLP shall have furnished to the Underwriters its written opinion and negative assurance letter, as U.S. counsel to the Company, addressed to the Underwriters and dated such Delivery Date, in form and substance reasonably satisfactory to the Underwriters.</w:t>
      </w:r>
    </w:p>
    <w:p>
      <w:pPr>
        <w:spacing w:after="0" w:line="146" w:lineRule="exact"/>
        <w:rPr>
          <w:rFonts w:ascii="Arial" w:cs="Arial" w:eastAsia="Arial" w:hAnsi="Arial"/>
          <w:sz w:val="17"/>
          <w:szCs w:val="17"/>
          <w:color w:val="auto"/>
        </w:rPr>
      </w:pPr>
    </w:p>
    <w:p>
      <w:pPr>
        <w:jc w:val="both"/>
        <w:ind w:left="-540" w:firstLine="645"/>
        <w:spacing w:after="0" w:line="264" w:lineRule="auto"/>
        <w:tabs>
          <w:tab w:leader="none" w:pos="678" w:val="left"/>
        </w:tabs>
        <w:numPr>
          <w:ilvl w:val="0"/>
          <w:numId w:val="35"/>
        </w:numPr>
        <w:rPr>
          <w:rFonts w:ascii="Arial" w:cs="Arial" w:eastAsia="Arial" w:hAnsi="Arial"/>
          <w:sz w:val="18"/>
          <w:szCs w:val="18"/>
          <w:color w:val="auto"/>
        </w:rPr>
      </w:pPr>
      <w:r>
        <w:rPr>
          <w:rFonts w:ascii="Arial" w:cs="Arial" w:eastAsia="Arial" w:hAnsi="Arial"/>
          <w:sz w:val="18"/>
          <w:szCs w:val="18"/>
          <w:color w:val="auto"/>
        </w:rPr>
        <w:t>Meitar Liquornik Geva Leshem Tal shall have furnished to the Underwriters its written opinion, as Israeli counsel to the Company and the Selling Shareholder, addressed to the Underwriters and dated such Delivery Date, in form and substance reasonably satisfactory to the Underwriters.</w:t>
      </w:r>
    </w:p>
    <w:p>
      <w:pPr>
        <w:spacing w:after="0" w:line="181" w:lineRule="exact"/>
        <w:rPr>
          <w:rFonts w:ascii="Arial" w:cs="Arial" w:eastAsia="Arial" w:hAnsi="Arial"/>
          <w:sz w:val="18"/>
          <w:szCs w:val="18"/>
          <w:color w:val="auto"/>
        </w:rPr>
      </w:pPr>
    </w:p>
    <w:p>
      <w:pPr>
        <w:ind w:left="-540" w:firstLine="645"/>
        <w:spacing w:after="0" w:line="308" w:lineRule="auto"/>
        <w:tabs>
          <w:tab w:leader="none" w:pos="815" w:val="left"/>
        </w:tabs>
        <w:numPr>
          <w:ilvl w:val="0"/>
          <w:numId w:val="35"/>
        </w:numPr>
        <w:rPr>
          <w:rFonts w:ascii="Arial" w:cs="Arial" w:eastAsia="Arial" w:hAnsi="Arial"/>
          <w:sz w:val="17"/>
          <w:szCs w:val="17"/>
          <w:color w:val="auto"/>
        </w:rPr>
      </w:pPr>
      <w:r>
        <w:rPr>
          <w:rFonts w:ascii="Arial" w:cs="Arial" w:eastAsia="Arial" w:hAnsi="Arial"/>
          <w:sz w:val="17"/>
          <w:szCs w:val="17"/>
          <w:color w:val="auto"/>
        </w:rPr>
        <w:t>G.E. Ehrlich (1995) Ltd. shall have furnished to the Underwriters its written opinion, as intellectual property counsel to the Company, addressed to the Underwriters and dated such Delivery Date, in form and substance reasonably satisfactory to the Underwriters.</w:t>
      </w:r>
    </w:p>
    <w:p>
      <w:pPr>
        <w:spacing w:after="0" w:line="146" w:lineRule="exact"/>
        <w:rPr>
          <w:rFonts w:ascii="Arial" w:cs="Arial" w:eastAsia="Arial" w:hAnsi="Arial"/>
          <w:sz w:val="17"/>
          <w:szCs w:val="17"/>
          <w:color w:val="auto"/>
        </w:rPr>
      </w:pPr>
    </w:p>
    <w:p>
      <w:pPr>
        <w:jc w:val="both"/>
        <w:ind w:left="-540" w:firstLine="645"/>
        <w:spacing w:after="0" w:line="257"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Underwriters shall have received from Skadden, Arps, Slate, Meagher &amp; Flom LLP, as U.S. counsel to the Underwriters, such opinion or opinions and negative assurance letter, dated such Delivery Date, with respect to the issuance and sale of the Shares, the Registration Statement, the Prospectus and the Pricing Disclosure Package and other related matters as the Underwriters may reasonably require, and the Company shall have furnished to such counsel such documents as they reasonably request for the purpose of enabling them to pass upon such matters.</w:t>
      </w:r>
    </w:p>
    <w:p>
      <w:pPr>
        <w:spacing w:after="0" w:line="188" w:lineRule="exact"/>
        <w:rPr>
          <w:rFonts w:ascii="Arial" w:cs="Arial" w:eastAsia="Arial" w:hAnsi="Arial"/>
          <w:sz w:val="18"/>
          <w:szCs w:val="18"/>
          <w:color w:val="auto"/>
        </w:rPr>
      </w:pPr>
    </w:p>
    <w:p>
      <w:pPr>
        <w:jc w:val="both"/>
        <w:ind w:left="-540" w:firstLine="645"/>
        <w:spacing w:after="0" w:line="302" w:lineRule="auto"/>
        <w:tabs>
          <w:tab w:leader="none" w:pos="843"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Underwriters shall have received from Gross, Kleinhendler, Hodak, Halevy, Greenberg &amp; Co., as Israeli counsel to the Underwriters, such opinion or opinions, dated such Delivery Date, with respect to the issuance and sale of the Shares, the Registration Statement, the Prospectus and the Pricing Disclosure Package and other related matters as the Underwriters may reasonably require, and the Company shall have furnished to such counsel such documents as they reasonably request for the purpose of enabling them to pass upon such matters.</w:t>
      </w:r>
    </w:p>
    <w:p>
      <w:pPr>
        <w:spacing w:after="0" w:line="370"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32" w:name="page33"/>
    <w:bookmarkEnd w:id="32"/>
    <w:p>
      <w:pPr>
        <w:jc w:val="both"/>
        <w:ind w:left="-540" w:firstLine="645"/>
        <w:spacing w:after="0" w:line="254" w:lineRule="auto"/>
        <w:tabs>
          <w:tab w:leader="none" w:pos="624"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 the time of execution of this Agreement, the Underwriters shall have received from Kost Forer Gabbay &amp; Kasierer, a member of Ernst &amp; Young Global, a letter, in form and substance satisfactory to the Underwriters, addressed to the Underwriters and dated the date hereof (i) confirming that they are independent public accountants within the meaning of the Securities Act and are in compliance with the applicable requirements relating to the qualification of accountants under Rule 2-01 of Regulation S-X of the Commission, and (ii) stating, as of the date hereof (or, with respect to matters involving changes or developments since the respective dates as of which specified financial information is given in the most recent Preliminary Prospectus, as of a date not more than three days prior to the date hereof), the conclusions and findings of such firm with respect to the financial information and other matters ordinarily covered by accountants’ “comfort letters” to underwriters in connection with registered public offerings.</w:t>
      </w:r>
    </w:p>
    <w:p>
      <w:pPr>
        <w:spacing w:after="0" w:line="192" w:lineRule="exact"/>
        <w:rPr>
          <w:rFonts w:ascii="Arial" w:cs="Arial" w:eastAsia="Arial" w:hAnsi="Arial"/>
          <w:sz w:val="18"/>
          <w:szCs w:val="18"/>
          <w:color w:val="auto"/>
        </w:rPr>
      </w:pPr>
    </w:p>
    <w:p>
      <w:pPr>
        <w:jc w:val="both"/>
        <w:ind w:left="-540" w:firstLine="645"/>
        <w:spacing w:after="0" w:line="270" w:lineRule="auto"/>
        <w:tabs>
          <w:tab w:leader="none" w:pos="769" w:val="left"/>
        </w:tabs>
        <w:numPr>
          <w:ilvl w:val="0"/>
          <w:numId w:val="36"/>
        </w:numPr>
        <w:rPr>
          <w:rFonts w:ascii="Arial" w:cs="Arial" w:eastAsia="Arial" w:hAnsi="Arial"/>
          <w:sz w:val="17"/>
          <w:szCs w:val="17"/>
          <w:color w:val="auto"/>
        </w:rPr>
      </w:pPr>
      <w:r>
        <w:rPr>
          <w:rFonts w:ascii="Arial" w:cs="Arial" w:eastAsia="Arial" w:hAnsi="Arial"/>
          <w:sz w:val="17"/>
          <w:szCs w:val="17"/>
          <w:color w:val="auto"/>
        </w:rPr>
        <w:t>With respect to the letter of Kost Forer Gabbay &amp; Kasierer, a member of Ernst &amp; Young Global referred to in the preceding paragraph and delivered to the Underwriters concurrently with the execution of this Agreement (the “</w:t>
      </w:r>
      <w:r>
        <w:rPr>
          <w:rFonts w:ascii="Arial" w:cs="Arial" w:eastAsia="Arial" w:hAnsi="Arial"/>
          <w:sz w:val="17"/>
          <w:szCs w:val="17"/>
          <w:b w:val="1"/>
          <w:bCs w:val="1"/>
          <w:color w:val="auto"/>
        </w:rPr>
        <w:t>initial letter</w:t>
      </w:r>
      <w:r>
        <w:rPr>
          <w:rFonts w:ascii="Arial" w:cs="Arial" w:eastAsia="Arial" w:hAnsi="Arial"/>
          <w:sz w:val="17"/>
          <w:szCs w:val="17"/>
          <w:color w:val="auto"/>
        </w:rPr>
        <w:t>”), the Company shall have furnished to the Underwriters a letter (the “</w:t>
      </w:r>
      <w:r>
        <w:rPr>
          <w:rFonts w:ascii="Arial" w:cs="Arial" w:eastAsia="Arial" w:hAnsi="Arial"/>
          <w:sz w:val="17"/>
          <w:szCs w:val="17"/>
          <w:b w:val="1"/>
          <w:bCs w:val="1"/>
          <w:color w:val="auto"/>
        </w:rPr>
        <w:t>bring-down letter</w:t>
      </w:r>
      <w:r>
        <w:rPr>
          <w:rFonts w:ascii="Arial" w:cs="Arial" w:eastAsia="Arial" w:hAnsi="Arial"/>
          <w:sz w:val="17"/>
          <w:szCs w:val="17"/>
          <w:color w:val="auto"/>
        </w:rPr>
        <w:t>”) of such accountants, addressed to the Underwriters and dated such Delivery Date (i) confirming that they are independent public accountants within the meaning of the Securities Act and are in compliance with the applicable requirements relating to the qualification of accountants under Rule 2-01 of Regulation S-X of the Commission, (ii) stating, as of the date of the bring-down letter (or, with respect to matters involving changes or developments since the respective dates as of which specified financial information is given in the Prospectus, as of a date not more than three days prior to the date of the bring-down letter), the conclusions and findings of such firm with respect to the financial information and other matters covered by the initial letter, and (iii) confirming in all material respects the conclusions and findings set forth in the initial letter.</w:t>
      </w:r>
    </w:p>
    <w:p>
      <w:pPr>
        <w:spacing w:after="0" w:line="181" w:lineRule="exact"/>
        <w:rPr>
          <w:rFonts w:ascii="Arial" w:cs="Arial" w:eastAsia="Arial" w:hAnsi="Arial"/>
          <w:sz w:val="17"/>
          <w:szCs w:val="17"/>
          <w:color w:val="auto"/>
        </w:rPr>
      </w:pPr>
    </w:p>
    <w:p>
      <w:pPr>
        <w:ind w:left="-540" w:right="20" w:firstLine="645"/>
        <w:spacing w:after="0" w:line="308" w:lineRule="auto"/>
        <w:tabs>
          <w:tab w:leader="none" w:pos="647"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Company shall have furnished to the Underwriters a certificate, dated such Delivery Date, of its Chief Executive Officer and its Chief Financial Officer as to such matters as the Underwriters may reasonably request, including, without limitation, a statement:</w:t>
      </w:r>
    </w:p>
    <w:p>
      <w:pPr>
        <w:spacing w:after="0" w:line="146" w:lineRule="exact"/>
        <w:rPr>
          <w:rFonts w:ascii="Arial" w:cs="Arial" w:eastAsia="Arial" w:hAnsi="Arial"/>
          <w:sz w:val="17"/>
          <w:szCs w:val="17"/>
          <w:color w:val="auto"/>
        </w:rPr>
      </w:pPr>
    </w:p>
    <w:p>
      <w:pPr>
        <w:jc w:val="both"/>
        <w:ind w:left="100" w:firstLine="653"/>
        <w:spacing w:after="0" w:line="264" w:lineRule="auto"/>
        <w:tabs>
          <w:tab w:leader="none" w:pos="1331"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That the representations, warranties and agreements of the Company in Section 1 are true and correct on and as of such Delivery Date, and the Company has complied with all its agreements contained herein and satisfied all the conditions on its part to be performed or satisfied hereunder at or prior to such Delivery Date;</w:t>
      </w:r>
    </w:p>
    <w:p>
      <w:pPr>
        <w:spacing w:after="0" w:line="181" w:lineRule="exact"/>
        <w:rPr>
          <w:rFonts w:ascii="Arial" w:cs="Arial" w:eastAsia="Arial" w:hAnsi="Arial"/>
          <w:sz w:val="18"/>
          <w:szCs w:val="18"/>
          <w:color w:val="auto"/>
        </w:rPr>
      </w:pPr>
    </w:p>
    <w:p>
      <w:pPr>
        <w:jc w:val="both"/>
        <w:ind w:left="100" w:firstLine="653"/>
        <w:spacing w:after="0" w:line="312" w:lineRule="auto"/>
        <w:tabs>
          <w:tab w:leader="none" w:pos="1426" w:val="left"/>
        </w:tabs>
        <w:numPr>
          <w:ilvl w:val="1"/>
          <w:numId w:val="36"/>
        </w:numPr>
        <w:rPr>
          <w:rFonts w:ascii="Arial" w:cs="Arial" w:eastAsia="Arial" w:hAnsi="Arial"/>
          <w:sz w:val="16"/>
          <w:szCs w:val="16"/>
          <w:color w:val="auto"/>
        </w:rPr>
      </w:pPr>
      <w:r>
        <w:rPr>
          <w:rFonts w:ascii="Arial" w:cs="Arial" w:eastAsia="Arial" w:hAnsi="Arial"/>
          <w:sz w:val="16"/>
          <w:szCs w:val="16"/>
          <w:color w:val="auto"/>
        </w:rPr>
        <w:t>That no stop order suspending the effectiveness of the Registration Statement has been issued; and no proceedings or examination for that purpose have been instituted or, to the knowledge of such officers, threatened and the Commission shall not have notified the Company of any objection to the use of the form of the Registration Statement or any post-effective amendment thereto;</w:t>
      </w:r>
    </w:p>
    <w:p>
      <w:pPr>
        <w:spacing w:after="0" w:line="36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33" w:name="page34"/>
    <w:bookmarkEnd w:id="33"/>
    <w:p>
      <w:pPr>
        <w:jc w:val="both"/>
        <w:ind w:left="100" w:firstLine="653"/>
        <w:spacing w:after="0" w:line="272" w:lineRule="auto"/>
        <w:tabs>
          <w:tab w:leader="none" w:pos="1461" w:val="left"/>
        </w:tabs>
        <w:numPr>
          <w:ilvl w:val="1"/>
          <w:numId w:val="37"/>
        </w:numPr>
        <w:rPr>
          <w:rFonts w:ascii="Arial" w:cs="Arial" w:eastAsia="Arial" w:hAnsi="Arial"/>
          <w:sz w:val="17"/>
          <w:szCs w:val="17"/>
          <w:color w:val="auto"/>
        </w:rPr>
      </w:pPr>
      <w:r>
        <w:rPr>
          <w:rFonts w:ascii="Arial" w:cs="Arial" w:eastAsia="Arial" w:hAnsi="Arial"/>
          <w:sz w:val="17"/>
          <w:szCs w:val="17"/>
          <w:color w:val="auto"/>
        </w:rPr>
        <w:t>That they have examined the Registration Statement, the Prospectus and the Pricing Disclosure Package, and, in their opinion, (A) (1) the Registration Statement, as of the Effective Date, (2) the Prospectus, as of its date and on the applicable Delivery Date, and (3) the Pricing Disclosure Package, as of the Applicable Time, did not and do not contain any untrue statement of a material fact and did not and do not omit to state a material fact required to be stated therein or necessary to make the statements therein (except in the case of the Registration Statement, in the light of the circumstances under which they were made) not misleading, and (B) since the Effective Date, no event has occurred that should have been set forth in a supplement or amendment to the Registration Statement, the Prospectus or any Issuer Free Writing Prospectus that has not been so set forth; and</w:t>
      </w:r>
    </w:p>
    <w:p>
      <w:pPr>
        <w:spacing w:after="0" w:line="177" w:lineRule="exact"/>
        <w:rPr>
          <w:rFonts w:ascii="Arial" w:cs="Arial" w:eastAsia="Arial" w:hAnsi="Arial"/>
          <w:sz w:val="17"/>
          <w:szCs w:val="17"/>
          <w:color w:val="auto"/>
        </w:rPr>
      </w:pPr>
    </w:p>
    <w:p>
      <w:pPr>
        <w:ind w:left="1400" w:hanging="647"/>
        <w:spacing w:after="0"/>
        <w:tabs>
          <w:tab w:leader="none" w:pos="14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To the effect of Section 9(m) (provided that no representation with respect to the judgment of the Underwriters need be</w:t>
      </w:r>
    </w:p>
    <w:p>
      <w:pPr>
        <w:spacing w:after="0" w:line="46" w:lineRule="exact"/>
        <w:rPr>
          <w:rFonts w:ascii="Arial" w:cs="Arial" w:eastAsia="Arial" w:hAnsi="Arial"/>
          <w:sz w:val="16"/>
          <w:szCs w:val="16"/>
          <w:color w:val="auto"/>
        </w:rPr>
      </w:pPr>
    </w:p>
    <w:p>
      <w:pPr>
        <w:ind w:left="100"/>
        <w:spacing w:after="0"/>
        <w:rPr>
          <w:rFonts w:ascii="Arial" w:cs="Arial" w:eastAsia="Arial" w:hAnsi="Arial"/>
          <w:sz w:val="16"/>
          <w:szCs w:val="16"/>
          <w:color w:val="auto"/>
        </w:rPr>
      </w:pPr>
      <w:r>
        <w:rPr>
          <w:rFonts w:ascii="Arial" w:cs="Arial" w:eastAsia="Arial" w:hAnsi="Arial"/>
          <w:sz w:val="18"/>
          <w:szCs w:val="18"/>
          <w:color w:val="auto"/>
        </w:rPr>
        <w:t>made).</w:t>
      </w:r>
    </w:p>
    <w:p>
      <w:pPr>
        <w:spacing w:after="0" w:line="210" w:lineRule="exact"/>
        <w:rPr>
          <w:rFonts w:ascii="Arial" w:cs="Arial" w:eastAsia="Arial" w:hAnsi="Arial"/>
          <w:sz w:val="16"/>
          <w:szCs w:val="16"/>
          <w:color w:val="auto"/>
        </w:rPr>
      </w:pPr>
    </w:p>
    <w:p>
      <w:pPr>
        <w:jc w:val="both"/>
        <w:ind w:left="-540" w:firstLine="645"/>
        <w:spacing w:after="0" w:line="302" w:lineRule="auto"/>
        <w:tabs>
          <w:tab w:leader="none" w:pos="711"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Selling Shareholder shall have furnished to the Underwriters on such Delivery Date a certificate, dated such Delivery Date, signed by, or on behalf of, the Selling Shareholder stating that the representations, warranties and agreements of the Selling Shareholder contained herein are true and correct on and as of such Delivery Date and that the Selling Shareholder has complied with all its agreements contained herein and has satisfied all the conditions on its part to be performed or satisfied hereunder at or prior to such Delivery Date.</w:t>
      </w:r>
    </w:p>
    <w:p>
      <w:pPr>
        <w:spacing w:after="0" w:line="154" w:lineRule="exact"/>
        <w:rPr>
          <w:rFonts w:ascii="Arial" w:cs="Arial" w:eastAsia="Arial" w:hAnsi="Arial"/>
          <w:sz w:val="16"/>
          <w:szCs w:val="16"/>
          <w:color w:val="auto"/>
        </w:rPr>
      </w:pPr>
    </w:p>
    <w:p>
      <w:pPr>
        <w:jc w:val="both"/>
        <w:ind w:left="-540" w:firstLine="645"/>
        <w:spacing w:after="0" w:line="270" w:lineRule="auto"/>
        <w:tabs>
          <w:tab w:leader="none" w:pos="738" w:val="left"/>
        </w:tabs>
        <w:numPr>
          <w:ilvl w:val="0"/>
          <w:numId w:val="38"/>
        </w:numPr>
        <w:rPr>
          <w:rFonts w:ascii="Arial" w:cs="Arial" w:eastAsia="Arial" w:hAnsi="Arial"/>
          <w:sz w:val="17"/>
          <w:szCs w:val="17"/>
          <w:color w:val="auto"/>
        </w:rPr>
      </w:pPr>
      <w:r>
        <w:rPr>
          <w:rFonts w:ascii="Arial" w:cs="Arial" w:eastAsia="Arial" w:hAnsi="Arial"/>
          <w:sz w:val="17"/>
          <w:szCs w:val="17"/>
          <w:color w:val="auto"/>
        </w:rPr>
        <w:t>(i) Neither the Company nor any of its subsidiaries shall have sustained, since the date of the latest audited financial statements included or incorporated by reference in the most recent Preliminary Prospectus, any loss or interference with its business from fire, explosion, flood or other calamity, whether or not covered by insurance, or from any labor dispute or court or governmental action, order or decree, or (ii) since such date, and except as set out in the Pricing Disclosure Package, there shall not have been any change in the share capital or long-term debt of the Company or any of its subsidiaries or any change, or any development involving a prospective change, in or affecting the condition (financial or otherwise), results of operations, shareholders’ equity, properties, management, business or prospects of the Company and its subsidiaries taken as a whole, the effect of which, in any such case described in clause (i) or (ii), is, individually or in the aggregate, in the judgment of the Underwriters, so material and adverse as to make it impracticable or inadvisable to proceed with the public offering or the delivery of the Shares being delivered on such Delivery Date on the terms and in the manner contemplated in the Prospectus.</w:t>
      </w:r>
    </w:p>
    <w:p>
      <w:pPr>
        <w:spacing w:after="0" w:line="398"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34" w:name="page35"/>
    <w:bookmarkEnd w:id="34"/>
    <w:p>
      <w:pPr>
        <w:jc w:val="both"/>
        <w:ind w:left="660" w:firstLine="645"/>
        <w:spacing w:after="0" w:line="286" w:lineRule="auto"/>
        <w:tabs>
          <w:tab w:leader="none" w:pos="1918" w:val="left"/>
        </w:tabs>
        <w:numPr>
          <w:ilvl w:val="0"/>
          <w:numId w:val="39"/>
        </w:numPr>
        <w:rPr>
          <w:rFonts w:ascii="Arial" w:cs="Arial" w:eastAsia="Arial" w:hAnsi="Arial"/>
          <w:sz w:val="16"/>
          <w:szCs w:val="16"/>
          <w:color w:val="auto"/>
        </w:rPr>
      </w:pPr>
      <w:r>
        <w:rPr>
          <w:rFonts w:ascii="Arial" w:cs="Arial" w:eastAsia="Arial" w:hAnsi="Arial"/>
          <w:sz w:val="16"/>
          <w:szCs w:val="16"/>
          <w:color w:val="auto"/>
        </w:rPr>
        <w:t>Subsequent to the execution and delivery of this Agreement there shall not have occurred any of the following: (i) (A) trading in securities generally on any securities exchange that has registered with the Commission under Section 6 of the Exchange Act (including the New York Stock Exchange, The NASDAQ Global Select Market, The NASDAQ Global Market or The NASDAQ Capital Market), or (B) trading in any securities of the Company on any exchange or in the over-the-counter market, shall have been suspended or materially limited or the settlement of such trading generally shall have been materially disrupted or minimum prices shall have been established on any such exchange or such market by the Commission, by such exchange or by any other regulatory body or governmental authority having jurisdiction, (ii) a general moratorium on commercial banking activities shall have been declared by federal or state authorities, (iii) the United States or the State of Israel shall have become engaged in hostilities, there shall have been an escalation in hostilities involving the United States or the State of Israel or there shall have been a declaration of a national emergency by the United States or war by the United States or the State of Israel, or (iv) there shall have occurred such a material adverse change in general economic, political or financial conditions, including, without limitation, as a result of terrorist activities after the date hereof (or the effect of international conditions on the financial markets in the United States shall be such) or any other calamity or crisis either within or outside the United States, as to make it, in the judgment of the Underwriters, impracticable or inadvisable to proceed with the public offering or delivery of the Shares being delivered on such Delivery Date on the terms and in the manner contemplated in the Prospectus.</w:t>
      </w:r>
    </w:p>
    <w:p>
      <w:pPr>
        <w:spacing w:after="0" w:line="174" w:lineRule="exact"/>
        <w:rPr>
          <w:rFonts w:ascii="Arial" w:cs="Arial" w:eastAsia="Arial" w:hAnsi="Arial"/>
          <w:sz w:val="16"/>
          <w:szCs w:val="16"/>
          <w:color w:val="auto"/>
        </w:rPr>
      </w:pPr>
    </w:p>
    <w:p>
      <w:pPr>
        <w:ind w:left="660" w:firstLine="645"/>
        <w:spacing w:after="0" w:line="277" w:lineRule="auto"/>
        <w:tabs>
          <w:tab w:leader="none" w:pos="1979"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NASDAQ Global Select Market shall have approved the Shares for listing, subject only to official notice of issuance and evidence of satisfactory distribution.</w:t>
      </w:r>
    </w:p>
    <w:p>
      <w:pPr>
        <w:spacing w:after="0" w:line="170" w:lineRule="exact"/>
        <w:rPr>
          <w:rFonts w:ascii="Arial" w:cs="Arial" w:eastAsia="Arial" w:hAnsi="Arial"/>
          <w:sz w:val="18"/>
          <w:szCs w:val="18"/>
          <w:color w:val="auto"/>
        </w:rPr>
      </w:pPr>
    </w:p>
    <w:p>
      <w:pPr>
        <w:ind w:left="660" w:firstLine="645"/>
        <w:spacing w:after="0" w:line="308" w:lineRule="auto"/>
        <w:tabs>
          <w:tab w:leader="none" w:pos="1999"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Lock-Up Agreements between the Underwriters and the officers, directors and shareholders of the Company set forth on Schedule II, delivered to the Underwriters on or before the date of this Agreement, shall be in full force and effect on such Delivery Date.</w:t>
      </w:r>
    </w:p>
    <w:p>
      <w:pPr>
        <w:spacing w:after="0" w:line="146" w:lineRule="exact"/>
        <w:rPr>
          <w:rFonts w:ascii="Arial" w:cs="Arial" w:eastAsia="Arial" w:hAnsi="Arial"/>
          <w:sz w:val="17"/>
          <w:szCs w:val="17"/>
          <w:color w:val="auto"/>
        </w:rPr>
      </w:pPr>
    </w:p>
    <w:p>
      <w:pPr>
        <w:ind w:left="660" w:right="20" w:firstLine="645"/>
        <w:spacing w:after="0" w:line="277" w:lineRule="auto"/>
        <w:tabs>
          <w:tab w:leader="none" w:pos="189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or prior to each Delivery Date, the Company shall have furnished to the Underwriters such further certificates and documents as the Underwriters may reasonably request.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All opinions, letters, evidence and certificates mentioned above or elsewhere in this Agreement shall be deemed to be in compliance with the provisions hereof only if they are in form and substance reasonably satisfactory to counsel for the Underwriters.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ind w:left="624" w:hanging="624"/>
        <w:spacing w:after="0"/>
        <w:tabs>
          <w:tab w:leader="none" w:pos="624"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Indemnification and Contribution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5"/>
        <w:spacing w:after="0" w:line="284" w:lineRule="auto"/>
        <w:tabs>
          <w:tab w:leader="none" w:pos="1303"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Company hereby agrees to indemnify and hold harmless each Underwriter, its affiliates, directors, officers, employees and agents and each person, if any, who controls either Underwriter within the meaning of Section 15 of the Securities Act or Section 20 of the Exchange Act, from and against any loss, claim, damage or liability, joint or several, or any action in respect thereof (including, but not limited to, any loss, claim, damage, liability or action relating to purchases and sales of Shares), to which that Underwriter, affiliate, director, officer, employee, agent or controlling person may become subject, under the Securities Act or otherwise, insofar as such loss, claim, damage, liability or action arises out of, or is based upon, (i) any untrue statement or alleged untrue statement of a material fact contained in (A) any Preliminary Prospectus, the Registration Statement, the Prospectus or in any amendment or supplement thereto, (B) any Issuer Free Writing Prospectus or in any amendment or supplement thereto, (C) any Permitted Issuer Information used or referred to in any “free writing prospectus” (as defined in Rule 405 under the Securities Act) used or referred to by either Underwriter, (D) any materials or information provided to investors by, or with the approval of, the Company in connection with the marketing of the offering of the Shares, including any “road show” (as defined in Rule 433 under the Securities Act) not constituting an Issuer Free Writing Prospectus and any Written Testing-the-Waters Communication (“</w:t>
      </w:r>
      <w:r>
        <w:rPr>
          <w:rFonts w:ascii="Arial" w:cs="Arial" w:eastAsia="Arial" w:hAnsi="Arial"/>
          <w:sz w:val="16"/>
          <w:szCs w:val="16"/>
          <w:b w:val="1"/>
          <w:bCs w:val="1"/>
          <w:color w:val="auto"/>
        </w:rPr>
        <w:t>Marketing Materials</w:t>
      </w:r>
      <w:r>
        <w:rPr>
          <w:rFonts w:ascii="Arial" w:cs="Arial" w:eastAsia="Arial" w:hAnsi="Arial"/>
          <w:sz w:val="16"/>
          <w:szCs w:val="16"/>
          <w:color w:val="auto"/>
        </w:rPr>
        <w:t>”), or (E) any Blue Sky application or other document prepared or executed by the Company (or based upon any written information furnished by the Company specifically for use therein) specifically for the purpose of qualifying any or all of the Shares under the securities laws of any state or other jurisdiction (any such application, document or information being hereinafter called a “</w:t>
      </w:r>
      <w:r>
        <w:rPr>
          <w:rFonts w:ascii="Arial" w:cs="Arial" w:eastAsia="Arial" w:hAnsi="Arial"/>
          <w:sz w:val="16"/>
          <w:szCs w:val="16"/>
          <w:b w:val="1"/>
          <w:bCs w:val="1"/>
          <w:color w:val="auto"/>
        </w:rPr>
        <w:t>Blue Sky Application</w:t>
      </w:r>
      <w:r>
        <w:rPr>
          <w:rFonts w:ascii="Arial" w:cs="Arial" w:eastAsia="Arial" w:hAnsi="Arial"/>
          <w:sz w:val="16"/>
          <w:szCs w:val="16"/>
          <w:color w:val="auto"/>
        </w:rPr>
        <w:t xml:space="preserve">”) or (ii) the omission or alleged omission to state in any Preliminary Prospectus, the Registration Statement, the Prospectus, any Issuer Free Writing Prospectus or in any amendment or supplement thereto or in any Permitted Issuer Information, any Marketing Materials or any Blue Sky Application, any material fact required to be stated therein or necessary to make the statements therein not misleading, and shall reimburse each Underwriter and each such affiliate, director, officer, agent, employee or controlling person promptly upon demand for any legal or other expenses reasonably incurred by that Underwriter, affiliate, director, officer, agent, employee or controlling person in connection with investigating or defending or preparing to defend against any such loss, claim, damage, liability or action as such expenses are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liable in any such case to the extent that any such loss, claim, damage, liability or action arises out of, or is based upon, any untrue statement or alleged untrue statement or omission or alleged omission made in any Preliminary Prospectus, the Registration Statement, the Prospectus, any Issuer Free Writing Prospectus or in any such amendment or supplement thereto or in any Permitted Issuer Information, any Marketing Materials or any Blue Sky Application, in reliance upon and in conformity with written information concerning such Underwriter furnished to the Company through the Underwriters by or on behalf of either Underwriter specifically for inclusion therein, which information consists solely of the information specified in Section 10(f). The foregoing indemnity agreement is in addition to any liability which the Company may otherwise have to either Underwriter or to any affiliate, director, officer, agent, employee or controlling person of that Underwriter.</w:t>
      </w:r>
    </w:p>
    <w:p>
      <w:pPr>
        <w:spacing w:after="0" w:line="389" w:lineRule="exact"/>
        <w:rPr>
          <w:rFonts w:ascii="Arial" w:cs="Arial" w:eastAsia="Arial" w:hAnsi="Arial"/>
          <w:sz w:val="16"/>
          <w:szCs w:val="16"/>
          <w:color w:val="auto"/>
        </w:rPr>
      </w:pPr>
    </w:p>
    <w:p>
      <w:pPr>
        <w:jc w:val="both"/>
        <w:ind w:left="4" w:firstLine="645"/>
        <w:spacing w:after="0" w:line="284" w:lineRule="auto"/>
        <w:tabs>
          <w:tab w:leader="none" w:pos="1256"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Selling Shareholder shall indemnify and hold harmless each Underwriter, its affiliates, directors, officers and employees, and each person, if any, who controls either Underwriter within the meaning of Section 15 of the Securities Act or Section 20 of the Exchange Act, from and against any loss, claim, damage or liability, joint or several, or any action in respect thereof (including, but not limited to, any loss, claim, damage, liability or action relating to purchases and sales of Shares), to which that Underwriter, affiliate, director, officer, employee or controlling person may become subject, under the Securities Act or otherwise, insofar as such loss, claim, damage, liability or action arises out of, or is based upon, (i) any untrue statement or alleged untrue statement of a material fact contained in any Preliminary Prospectus, the Registration Statement, the Prospectus, any Issuer Free Writing Prospectus or in any amendment or supplement thereto or in any Permitted Issuer Information, any Marketing Materials, any Blue Sky Application or any “free writing prospectus” (as defined in Rule 405 under the Securities Act) (any such “free writing prospectus” that was prepared by or on behalf of the Selling Shareholder or used or referred to by the Selling Shareholder in connection with the offering of the Shares in violation of Section 7(c) being referred to as a “</w:t>
      </w:r>
      <w:r>
        <w:rPr>
          <w:rFonts w:ascii="Arial" w:cs="Arial" w:eastAsia="Arial" w:hAnsi="Arial"/>
          <w:sz w:val="16"/>
          <w:szCs w:val="16"/>
          <w:b w:val="1"/>
          <w:bCs w:val="1"/>
          <w:i w:val="1"/>
          <w:iCs w:val="1"/>
          <w:color w:val="auto"/>
        </w:rPr>
        <w:t>Selling Shareholder Free Writing Prospectus</w:t>
      </w:r>
      <w:r>
        <w:rPr>
          <w:rFonts w:ascii="Arial" w:cs="Arial" w:eastAsia="Arial" w:hAnsi="Arial"/>
          <w:sz w:val="16"/>
          <w:szCs w:val="16"/>
          <w:color w:val="auto"/>
        </w:rPr>
        <w:t xml:space="preserve">”), or (ii) the omission or alleged omission to state in any Preliminary Prospectus, Registration Statement, the Prospectus, any Issuer Free Writing Prospectus or in any amendment or supplement thereto or in any Permitted Issuer Information, any Marketing Materials, any Blue Sky Application or any Selling Shareholder Free Writing Prospectus, any material fact required to be stated therein or necessary to make the statements therein not misleading, and shall reimburse each Underwriter, its affiliates, directors, officers and employees and each such controlling person promptly upon demand for any legal or other expenses reasonably incurred by that Underwriter, its affiliates, directors, officers and employees or controlling persons in connection with investigating or defending or preparing to defend against any such loss, claim, damage, liability or action as such expenses are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Selling Shareholder shall be liable under this Section 10(b) only to the extent that any such loss, claim, damage, liability or action arises out of, or is based upon, any untrue statement or alleged untrue statement or omission or alleged omission made in a Preliminary Prospectus, the Registration Statement, the Prospectus, an Issuer Free Writing Prospectus or in any amendment or supplement thereto, a Permitted Issuer Information, any Marketing Materials, a Blue Sky Application or a Selling Shareholder Free Writing Prospectus in reliance upon and in conformity with information relating to the Selling Shareholder furnished in writing to the Company by or on behalf of the Selling Shareholder expressly for use in such Preliminary Prospectus, Registration Statement, Prospectus, Issuer Free Writing Prospectus or amendment or supplement thereto, Permitted Issuer Information, Marketing Materials, Blue Sky Application or Selling Shareholder Free Writing Prospectus (as applicable), it being understood that the only such information furnished by the Selling Shareholder consists of the statements contained with respect to the Selling Shareholder under the caption “Selling shareholder”.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984"/>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36" w:name="page37"/>
    <w:bookmarkEnd w:id="36"/>
    <w:p>
      <w:pPr>
        <w:jc w:val="both"/>
        <w:ind w:left="-540" w:firstLine="645"/>
        <w:spacing w:after="0" w:line="268" w:lineRule="auto"/>
        <w:tabs>
          <w:tab w:leader="none" w:pos="678" w:val="left"/>
        </w:tabs>
        <w:numPr>
          <w:ilvl w:val="0"/>
          <w:numId w:val="41"/>
        </w:numPr>
        <w:rPr>
          <w:rFonts w:ascii="Arial" w:cs="Arial" w:eastAsia="Arial" w:hAnsi="Arial"/>
          <w:sz w:val="17"/>
          <w:szCs w:val="17"/>
          <w:color w:val="auto"/>
        </w:rPr>
      </w:pPr>
      <w:r>
        <w:rPr>
          <w:rFonts w:ascii="Arial" w:cs="Arial" w:eastAsia="Arial" w:hAnsi="Arial"/>
          <w:sz w:val="17"/>
          <w:szCs w:val="17"/>
          <w:color w:val="auto"/>
        </w:rPr>
        <w:t>Each Underwriter, severally and not jointly, shall indemnify and hold harmless the Company, its directors, officers, employees and agents, the Selling Shareholder, their respective directors, officers, employees and agents (as applicable), and each person, if any, who controls the Company or the Selling Shareholder (as applicable) within the meaning of Section 15 of the Securities Act or Section 20 of the Exchange Act, from and against any loss, claim, damage or liability, joint or several, or any action in respect thereof, to which the Company or the Selling Shareholder or any such director, officer, employee, agent or controlling person (as applicable) may become subject, under the Securities Act or otherwise, insofar as such loss, claim, damage, liability or action arises out of, or is based upon, (i) any untrue statement or alleged untrue statement of a material fact contained in any Preliminary Prospectus, the Registration Statement, the Prospectus, any Issuer Free Writing Prospectus or in any amendment or supplement thereto or in any Marketing Materials or Blue Sky Application, or (ii) the omission or alleged omission to state in any Preliminary Prospectus, the Registration Statement, the Prospectus, any Issuer Free Writing Prospectus or in any amendment or supplement thereto or in any Marketing Materials or Blue Sky Application, any material fact required to be stated therein or necessary to make the statements therein not misleading, but in each case only to the extent that the untrue statement or alleged untrue statement or omission or alleged omission was made in reliance upon and in conformity with written information concerning such Underwriter furnished to the Company through the Underwriters specifically for inclusion therein, which information is limited to the information set forth in Section 10(f). The foregoing indemnity agreement is in addition to any liability that either Underwriter may otherwise have to the Company, the Selling Shareholder or any such director, officer, employee or controlling person.</w:t>
      </w:r>
    </w:p>
    <w:p>
      <w:pPr>
        <w:spacing w:after="0" w:line="183" w:lineRule="exact"/>
        <w:rPr>
          <w:rFonts w:ascii="Arial" w:cs="Arial" w:eastAsia="Arial" w:hAnsi="Arial"/>
          <w:sz w:val="17"/>
          <w:szCs w:val="17"/>
          <w:color w:val="auto"/>
        </w:rPr>
      </w:pPr>
    </w:p>
    <w:p>
      <w:pPr>
        <w:jc w:val="both"/>
        <w:ind w:left="-540" w:firstLine="645"/>
        <w:spacing w:after="0" w:line="283" w:lineRule="auto"/>
        <w:tabs>
          <w:tab w:leader="none" w:pos="659"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Promptly after receipt by an indemnified party under this Section 10 of notice of any claim or the commencement of any action, the indemnified party shall, if a claim in respect thereof is to be made against the indemnifying party under this Section 10, notify the indemnifying party in writing of the claim or the commencement of that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failure to notify the indemnifying party shall not relieve it from any liability which it may have under this Section 10 except to the extent it has been materially prejudiced (through the forfeiture of substantive rights and defenses) by such failure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failure to notify the indemnifying party shall not relieve it from any liability which it may have to an indemnified party otherwise than under this Section 10. If any such claim or action shall be brought against an indemnified party, and it shall notify the indemnifying party thereof, the indemnifying party shall be entitled to participate therein and, to the extent that it wishes, jointly with any other similarly notified indemnifying party, to assume the defense thereof with counsel reasonably satisfactory to the indemnified party. After notice from the indemnifying party to the indemnified party of its election to assume the defense of such claim or action, the indemnifying party shall not be liable to the indemnified party under this Section 10 for any legal or other expenses subsequently incurred by the indemnified party in connection with the defense thereof other than reasonable costs of investigation;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indemnified party shall have the right to employ counsel to represent jointly the indemnified party and those other indemnified parties and their respective directors, officers, employees and controlling persons who may be subject to liability arising out of any claim in respect of which indemnity may be sought under this Section 10 if (i) the indemnified party and the indemnifying party shall have so mutually agreed; (ii) the indemnifying party has failed within a reasonable time to retain counsel reasonably satisfactory to the indemnified party; (iii) the indemnified party and its directors, officers, employees and controlling persons shall have reasonably concluded that there may be legal defenses available to them that are different from or in addition to those available to the indemnifying party; or (iv) the named parties in any such proceeding (including any impleaded parties) include both the indemnified parties or their respective directors, officers, employees or controlling persons, on the one hand, and the indemnifying party, on the other hand, and representation of both sets of parties by the same counsel would be inappropriate due to actual or potential differing interests between them, and in any such event the fees and expenses of such separate counsel shall be paid by the indemnifying party. No indemnifying party shall (x)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 statement as to, or an admission of fault, culpability or a failure to act by or on behalf of any indemnified party, or (y) be liable for any settlement of any such action effected without its written consent, but if settled with the consent of the indemnifying party or if there be a final judgment for the plaintiff in any such action, the indemnifying party agrees to indemnify and hold harmless any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Section 10(a) or 10(b) hereof, the indemnifying party agrees that it shall be liable for any settlement of any proceeding effected without its written consent if (i) such settlement is entered into more than 45 days after receipt by such indemnifying party of the aforesaid request and (ii) such indemnifying party shall have notice of the terms of such settlement at least 30 days prior to such settlement being entered into and (iii) such indemnifying party shall not have reimbursed the indemnified party in accordance with such request or disputed in good faith the indemnified party’s entitlement to such reimbursement prior to the date of such settlement.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37" w:name="page38"/>
    <w:bookmarkEnd w:id="37"/>
    <w:p>
      <w:pPr>
        <w:jc w:val="both"/>
        <w:ind w:left="-540" w:firstLine="645"/>
        <w:spacing w:after="0" w:line="284" w:lineRule="auto"/>
        <w:tabs>
          <w:tab w:leader="none" w:pos="758" w:val="left"/>
        </w:tabs>
        <w:numPr>
          <w:ilvl w:val="0"/>
          <w:numId w:val="42"/>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10 shall for any reason be unavailable to or insufficient to hold harmless an indemnified party under Section 10(a), 10(b) or 10(c) in respect of any loss, claim, damage or liability, or any action in respect thereof, referred to therein, then each indemnifying party shall, in lieu of indemnifying such indemnified party, contribute to the amount paid or payable by such indemnified party as a result of such loss, claim, damage or liability, or action in respect thereof, (i) in such proportion as shall be appropriate to reflect the relative benefits received by the Company and the Selling Shareholder, on the one hand, and the Underwriters, on the other, from the offering of the Shares, or (ii) if the allocation provided by clause (i) above is not permitted by applicable law, in such proportion as is appropriate to reflect not only the relative benefits referred to in clause (i) above but also the relative fault of the Company and the Selling Shareholder, on the one hand, and the Underwriters, on the other, with respect to the statements or omissions that resulted in such loss, claim, damage or liability, or action in respect thereof, as well as any other relevant equitable considerations. The relative benefits received by the Company and the Selling Shareholder, on the one hand, and the Underwriters, on the other, with respect to such offering shall be deemed to be in the same proportion as the total net proceeds from the offering of the Shares purchased under this Agreement (before deducting expenses) received by the Company and the Selling Shareholder, as set forth in the table on the cover page of the Prospectus, on the one hand, and the total underwriting discounts and commissions received by the Underwriters with respect to the Shares purchased under this Agreement, as set forth in the table on the cover page of the Prospectus, on the other hand. The relative fault shall be determined by reference to whether the untrue or alleged untrue statement of a material fact or omission or alleged omission to state a material fact relates to information supplied by the Company, the Selling Shareholder or the Underwriters, the intent of the parties and their relative knowledge, access to information and opportunity to correct or prevent such statement or omission. The Company, the Selling Shareholder and the Underwriters agree that it would not be just and equitable if contributions pursuant to this Section 10(e) were to be determined by pro rata allocation (even if the Underwriters were treated as one entity for such purpose) or by any other method of allocation that does not take into account the equitable considerations referred to herein. The amount paid or payable by an indemnified party as a result of the loss, claim, damage or liability, or action in respect thereof, referred to above in this Section 10(e) shall be deemed to include, for purposes of this Section 10(e), any legal or other expenses reasonably incurred by such indemnified party in connection with investigating or defending any such action or claim. Notwithstanding the provisions of this Section 10(e), in no event shall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as provided in this Section 10(e) are several in proportion to their respective underwriting obligations and not joint.</w:t>
      </w:r>
    </w:p>
    <w:p>
      <w:pPr>
        <w:spacing w:after="0" w:line="388"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38" w:name="page39"/>
    <w:bookmarkEnd w:id="38"/>
    <w:p>
      <w:pPr>
        <w:jc w:val="both"/>
        <w:ind w:left="4" w:firstLine="645"/>
        <w:spacing w:after="0" w:line="273" w:lineRule="auto"/>
        <w:tabs>
          <w:tab w:leader="none" w:pos="1312" w:val="left"/>
        </w:tabs>
        <w:numPr>
          <w:ilvl w:val="1"/>
          <w:numId w:val="43"/>
        </w:numPr>
        <w:rPr>
          <w:rFonts w:ascii="Arial" w:cs="Arial" w:eastAsia="Arial" w:hAnsi="Arial"/>
          <w:sz w:val="17"/>
          <w:szCs w:val="17"/>
          <w:color w:val="auto"/>
        </w:rPr>
      </w:pPr>
      <w:r>
        <w:rPr>
          <w:rFonts w:ascii="Arial" w:cs="Arial" w:eastAsia="Arial" w:hAnsi="Arial"/>
          <w:sz w:val="17"/>
          <w:szCs w:val="17"/>
          <w:color w:val="auto"/>
        </w:rPr>
        <w:t>The Underwriters severally confirm and the Company and the Selling Shareholder acknowledge and agree that the statements regarding delivery of the Shares by the Underwriters set forth on the cover page of, and the concession and reallowance figures and the paragraph relating to stabilization, short positions and penalty bids by the Underwriters appearing under the caption “Underwriting” in, the most recent Preliminary Prospectus and the Prospectus are correct and constitute the only information concerning such Underwriters furnished in writing to the Company by or on behalf of the Underwriters specifically for inclusion in any Preliminary Prospectus, the Registration Statement, the Prospectus, any Issuer Free Writing Prospectus or in any amendment or supplement thereto or in any Marketing Materials.</w:t>
      </w:r>
    </w:p>
    <w:p>
      <w:pPr>
        <w:spacing w:after="0" w:line="178" w:lineRule="exact"/>
        <w:rPr>
          <w:rFonts w:ascii="Arial" w:cs="Arial" w:eastAsia="Arial" w:hAnsi="Arial"/>
          <w:sz w:val="17"/>
          <w:szCs w:val="17"/>
          <w:color w:val="auto"/>
        </w:rPr>
      </w:pPr>
    </w:p>
    <w:p>
      <w:pPr>
        <w:jc w:val="both"/>
        <w:ind w:left="4" w:firstLine="645"/>
        <w:spacing w:after="0" w:line="286" w:lineRule="auto"/>
        <w:tabs>
          <w:tab w:leader="none" w:pos="1189" w:val="left"/>
        </w:tabs>
        <w:numPr>
          <w:ilvl w:val="1"/>
          <w:numId w:val="43"/>
        </w:numPr>
        <w:rPr>
          <w:rFonts w:ascii="Arial" w:cs="Arial" w:eastAsia="Arial" w:hAnsi="Arial"/>
          <w:sz w:val="17"/>
          <w:szCs w:val="17"/>
          <w:color w:val="auto"/>
        </w:rPr>
      </w:pPr>
      <w:r>
        <w:rPr>
          <w:rFonts w:ascii="Arial" w:cs="Arial" w:eastAsia="Arial" w:hAnsi="Arial"/>
          <w:sz w:val="17"/>
          <w:szCs w:val="17"/>
          <w:color w:val="auto"/>
        </w:rPr>
        <w:t>The aggregate liability of the Selling Shareholder under this Agreement and the transactions contemplated hereby shall be limited to an amount equal to the total gross proceeds from the offering of the Shares purchased under the Agreement received by the Selling Shareholder, as set forth in the table on the cover page of the Prospectus, after deduction of underwriting commissions and discounts.</w:t>
      </w:r>
    </w:p>
    <w:p>
      <w:pPr>
        <w:spacing w:after="0" w:line="165" w:lineRule="exact"/>
        <w:rPr>
          <w:rFonts w:ascii="Arial" w:cs="Arial" w:eastAsia="Arial" w:hAnsi="Arial"/>
          <w:sz w:val="17"/>
          <w:szCs w:val="17"/>
          <w:color w:val="auto"/>
        </w:rPr>
      </w:pPr>
    </w:p>
    <w:p>
      <w:pPr>
        <w:ind w:left="624" w:hanging="624"/>
        <w:spacing w:after="0"/>
        <w:tabs>
          <w:tab w:leader="none" w:pos="624"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Defaulting Underwriters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5"/>
        <w:spacing w:after="0" w:line="286" w:lineRule="auto"/>
        <w:tabs>
          <w:tab w:leader="none" w:pos="1167" w:val="left"/>
        </w:tabs>
        <w:numPr>
          <w:ilvl w:val="1"/>
          <w:numId w:val="44"/>
        </w:numPr>
        <w:rPr>
          <w:rFonts w:ascii="Arial" w:cs="Arial" w:eastAsia="Arial" w:hAnsi="Arial"/>
          <w:sz w:val="16"/>
          <w:szCs w:val="16"/>
          <w:color w:val="auto"/>
        </w:rPr>
      </w:pPr>
      <w:r>
        <w:rPr>
          <w:rFonts w:ascii="Arial" w:cs="Arial" w:eastAsia="Arial" w:hAnsi="Arial"/>
          <w:sz w:val="16"/>
          <w:szCs w:val="16"/>
          <w:color w:val="auto"/>
        </w:rPr>
        <w:t>If, on any Delivery Date, either Underwriter defaults in its obligations to purchase the Shares that it has agreed to purchase under this Agreement, the remaining non-defaulting Underwriters may in their discretion arrange for the purchase of such Shares by the non-defaulting Underwriters or other persons satisfactory to the Company on the terms contained in this Agreement. If, within 36 hours after any such default by either Underwriter, the non-defaulting Underwriters do not arrange for the purchase of such Shares, then the Company shall be entitled to a further period of 36 hours within which to procure other persons reasonably satisfactory to the non-defaulting Underwriters to purchase such Shares on such terms. In the event that within the respective prescribed periods, the non-defaulting Underwriters notify the Company that they have so arranged for the purchase of such Shares, or the Company notifies the non-defaulting Underwriters that it has so arranged for the purchase of such Shares, either the non-defaulting Underwriters or the Company may postpone such Delivery Date for up to seven full business days in order to effect any changes that in the opinion of counsel for the Company or counsel for the Underwriters may be necessary in the Registration Statement, the Prospectus or in any other document or arrangement, and the Company agrees to promptly prepare any amendment or supplement to the Registration Statement, the Prospectus or in any such other document or arrangement that effects any such changes. As used in this Agreement, the term “Underwriter” includes, for all purposes of this Agreement unless the context requires otherwise, any party not listed in Schedule I hereto that, pursuant to this Section 11, purchases Shares that a defaulting Underwriter agreed but failed to purchase.</w:t>
      </w:r>
    </w:p>
    <w:p>
      <w:pPr>
        <w:spacing w:after="0" w:line="391" w:lineRule="exact"/>
        <w:rPr>
          <w:sz w:val="20"/>
          <w:szCs w:val="20"/>
          <w:color w:val="auto"/>
        </w:rPr>
      </w:pPr>
    </w:p>
    <w:p>
      <w:pPr>
        <w:ind w:left="4984"/>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39" w:name="page40"/>
    <w:bookmarkEnd w:id="39"/>
    <w:p>
      <w:pPr>
        <w:jc w:val="both"/>
        <w:ind w:left="640" w:firstLine="645"/>
        <w:spacing w:after="0" w:line="272" w:lineRule="auto"/>
        <w:tabs>
          <w:tab w:leader="none" w:pos="1894" w:val="left"/>
        </w:tabs>
        <w:numPr>
          <w:ilvl w:val="1"/>
          <w:numId w:val="45"/>
        </w:numPr>
        <w:rPr>
          <w:rFonts w:ascii="Arial" w:cs="Arial" w:eastAsia="Arial" w:hAnsi="Arial"/>
          <w:sz w:val="17"/>
          <w:szCs w:val="17"/>
          <w:color w:val="auto"/>
        </w:rPr>
      </w:pPr>
      <w:r>
        <w:rPr>
          <w:rFonts w:ascii="Arial" w:cs="Arial" w:eastAsia="Arial" w:hAnsi="Arial"/>
          <w:sz w:val="17"/>
          <w:szCs w:val="17"/>
          <w:color w:val="auto"/>
        </w:rPr>
        <w:t xml:space="preserve">If, after giving effect to any arrangements for the purchase of the Shares of a defaulting Underwriter or Underwriters by the non-defaulting Underwriters and the Company as provided in paragraph (a) above, the total number of Shares that remains unpurchased does not exceed one-eleventh of the total number of all the Shares, then the Company shall have the right to require each non-defaulting Underwriter to purchase the total number of Shares that such Underwriter agreed to purchase hereunder plus such Underwriter’s pro rata share (based on the total number of Shares that such Underwriter agreed to purchase hereunder) of the Shares of such defaulting Underwriter or Underwriters for which such arrangements have not been made;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non-defaulting Underwriters shall not be obligated to purchase more than 110% of the total number of Shares that it agreed to purchase on such Delivery Date pursuant to the terms of Section 3.</w:t>
      </w:r>
    </w:p>
    <w:p>
      <w:pPr>
        <w:spacing w:after="0" w:line="177" w:lineRule="exact"/>
        <w:rPr>
          <w:rFonts w:ascii="Arial" w:cs="Arial" w:eastAsia="Arial" w:hAnsi="Arial"/>
          <w:sz w:val="17"/>
          <w:szCs w:val="17"/>
          <w:color w:val="auto"/>
        </w:rPr>
      </w:pPr>
    </w:p>
    <w:p>
      <w:pPr>
        <w:jc w:val="both"/>
        <w:ind w:left="640" w:firstLine="645"/>
        <w:spacing w:after="0" w:line="273" w:lineRule="auto"/>
        <w:tabs>
          <w:tab w:leader="none" w:pos="1888" w:val="left"/>
        </w:tabs>
        <w:numPr>
          <w:ilvl w:val="1"/>
          <w:numId w:val="45"/>
        </w:numPr>
        <w:rPr>
          <w:rFonts w:ascii="Arial" w:cs="Arial" w:eastAsia="Arial" w:hAnsi="Arial"/>
          <w:sz w:val="17"/>
          <w:szCs w:val="17"/>
          <w:color w:val="auto"/>
        </w:rPr>
      </w:pPr>
      <w:r>
        <w:rPr>
          <w:rFonts w:ascii="Arial" w:cs="Arial" w:eastAsia="Arial" w:hAnsi="Arial"/>
          <w:sz w:val="17"/>
          <w:szCs w:val="17"/>
          <w:color w:val="auto"/>
        </w:rPr>
        <w:t>If, after giving effect to any arrangements for the purchase of the Shares of a defaulting Underwriter or Underwriters by the non-defaulting Underwriters and the Company as provided in paragraph (a) above, the total number of Shares that remains unpurchased exceeds one-eleventh of the total number of all the Shares, or if the Company shall not exercise the right described in paragraph (b) above, then this Agreement shall terminate without liability on the part of the non-defaulting Underwriters. Any termination of this Agreement pursuant to this Section 11 shall be without liability on the part of the Company, except that the Company will continue to be liable for the payment of expenses as set forth in Sections 8 and 13 and except that the provisions of Section 10 shall not terminate and shall remain in effect.</w:t>
      </w:r>
    </w:p>
    <w:p>
      <w:pPr>
        <w:spacing w:after="0" w:line="178" w:lineRule="exact"/>
        <w:rPr>
          <w:rFonts w:ascii="Arial" w:cs="Arial" w:eastAsia="Arial" w:hAnsi="Arial"/>
          <w:sz w:val="17"/>
          <w:szCs w:val="17"/>
          <w:color w:val="auto"/>
        </w:rPr>
      </w:pPr>
    </w:p>
    <w:p>
      <w:pPr>
        <w:ind w:left="640" w:right="20" w:firstLine="645"/>
        <w:spacing w:after="0" w:line="277" w:lineRule="auto"/>
        <w:tabs>
          <w:tab w:leader="none" w:pos="1871" w:val="left"/>
        </w:tabs>
        <w:numPr>
          <w:ilvl w:val="1"/>
          <w:numId w:val="45"/>
        </w:numPr>
        <w:rPr>
          <w:rFonts w:ascii="Arial" w:cs="Arial" w:eastAsia="Arial" w:hAnsi="Arial"/>
          <w:sz w:val="18"/>
          <w:szCs w:val="18"/>
          <w:color w:val="auto"/>
        </w:rPr>
      </w:pPr>
      <w:r>
        <w:rPr>
          <w:rFonts w:ascii="Arial" w:cs="Arial" w:eastAsia="Arial" w:hAnsi="Arial"/>
          <w:sz w:val="18"/>
          <w:szCs w:val="18"/>
          <w:color w:val="auto"/>
        </w:rPr>
        <w:t>Nothing contained herein shall relieve a defaulting Underwriter of any liability it may have to the Company or any non-defaulting Underwriter for damages caused by its default.</w:t>
      </w:r>
    </w:p>
    <w:p>
      <w:pPr>
        <w:spacing w:after="0" w:line="170" w:lineRule="exact"/>
        <w:rPr>
          <w:rFonts w:ascii="Arial" w:cs="Arial" w:eastAsia="Arial" w:hAnsi="Arial"/>
          <w:sz w:val="18"/>
          <w:szCs w:val="18"/>
          <w:color w:val="auto"/>
        </w:rPr>
      </w:pPr>
    </w:p>
    <w:p>
      <w:pPr>
        <w:jc w:val="both"/>
        <w:ind w:left="-20" w:firstLine="656"/>
        <w:spacing w:after="0" w:line="312" w:lineRule="auto"/>
        <w:tabs>
          <w:tab w:leader="none" w:pos="1299"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Termination</w:t>
      </w:r>
      <w:r>
        <w:rPr>
          <w:rFonts w:ascii="Arial" w:cs="Arial" w:eastAsia="Arial" w:hAnsi="Arial"/>
          <w:sz w:val="16"/>
          <w:szCs w:val="16"/>
          <w:color w:val="auto"/>
        </w:rPr>
        <w:t>. The obligations of the Underwriters hereunder may be terminated by the Underwriters by notice given to and received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and the Selling Shareholder prior to delivery of and payment for the Firm Shares if, prior to that time, any of the events described in Sections 9(m), 9(n), and 9(o) shall have occurred or if the Underwriters shall decline to purchase the Shares for any reason permitted under this Agreement.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40" w:name="page41"/>
    <w:bookmarkEnd w:id="40"/>
    <w:p>
      <w:pPr>
        <w:jc w:val="both"/>
        <w:ind w:left="-20" w:firstLine="656"/>
        <w:spacing w:after="0" w:line="270" w:lineRule="auto"/>
        <w:tabs>
          <w:tab w:leader="none" w:pos="1182"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Reimbursement of Underwriters’ Expenses</w:t>
      </w:r>
      <w:r>
        <w:rPr>
          <w:rFonts w:ascii="Arial" w:cs="Arial" w:eastAsia="Arial" w:hAnsi="Arial"/>
          <w:sz w:val="17"/>
          <w:szCs w:val="17"/>
          <w:color w:val="auto"/>
        </w:rPr>
        <w:t>. If (a) the Company shall fail to tender the Shares for delivery to the Underwriters for any reason,</w:t>
      </w:r>
      <w:r>
        <w:rPr>
          <w:rFonts w:ascii="Arial" w:cs="Arial" w:eastAsia="Arial" w:hAnsi="Arial"/>
          <w:sz w:val="17"/>
          <w:szCs w:val="17"/>
          <w:i w:val="1"/>
          <w:iCs w:val="1"/>
          <w:color w:val="auto"/>
        </w:rPr>
        <w:t xml:space="preserve"> </w:t>
      </w:r>
      <w:r>
        <w:rPr>
          <w:rFonts w:ascii="Arial" w:cs="Arial" w:eastAsia="Arial" w:hAnsi="Arial"/>
          <w:sz w:val="17"/>
          <w:szCs w:val="17"/>
          <w:color w:val="auto"/>
        </w:rPr>
        <w:t>or (b) the Underwriters shall decline to purchase the Shares for any reason permitted under this Agreement (other than due to the termination of this Agreement because of the failure of the Selling Shareholder to tender the Shares for delivery to the Underwriters), the Company will reimburse the Underwriters for all reasonable out-of-pocket expenses (including fees and disbursements of counsel for the Underwriters) incurred by the Underwriters in connection with this Agreement and the proposed purchase of the Shares, and upon demand the Company shall pay the full amount thereof to the Underwriters. If the Selling Shareholder shall fail to tender the Shares for delivery to the Underwriters for any reason, the Selling Shareholder will reimburse the Underwriters for all reasonable out-of-pocket expenses (including fees and disbursements of counsel for the Underwriters) incurred by the Underwriters in connection with this Agreement and the proposed purchase of the Shares, and upon demand the Selling Shareholder shall pay the full amount thereof to the Underwriters. If this Agreement is terminated pursuant to Section 11 by reason of the default of one or more Underwriters, the Company and the Selling Shareholder shall not be obligated to reimburse any defaulting Underwriter on account of those expenses.</w:t>
      </w:r>
    </w:p>
    <w:p>
      <w:pPr>
        <w:spacing w:after="0" w:line="177" w:lineRule="exact"/>
        <w:rPr>
          <w:rFonts w:ascii="Arial" w:cs="Arial" w:eastAsia="Arial" w:hAnsi="Arial"/>
          <w:sz w:val="17"/>
          <w:szCs w:val="17"/>
          <w:color w:val="auto"/>
        </w:rPr>
      </w:pPr>
    </w:p>
    <w:p>
      <w:pPr>
        <w:jc w:val="both"/>
        <w:ind w:left="-20" w:firstLine="656"/>
        <w:spacing w:after="0" w:line="288" w:lineRule="auto"/>
        <w:tabs>
          <w:tab w:leader="none" w:pos="1182"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Research Analyst Independence</w:t>
      </w:r>
      <w:r>
        <w:rPr>
          <w:rFonts w:ascii="Arial" w:cs="Arial" w:eastAsia="Arial" w:hAnsi="Arial"/>
          <w:sz w:val="16"/>
          <w:szCs w:val="16"/>
          <w:color w:val="auto"/>
        </w:rPr>
        <w:t>. The Company acknowledges that the Underwriters’ research analysts and research departments are required</w:t>
      </w:r>
      <w:r>
        <w:rPr>
          <w:rFonts w:ascii="Arial" w:cs="Arial" w:eastAsia="Arial" w:hAnsi="Arial"/>
          <w:sz w:val="16"/>
          <w:szCs w:val="16"/>
          <w:i w:val="1"/>
          <w:iCs w:val="1"/>
          <w:color w:val="auto"/>
        </w:rPr>
        <w:t xml:space="preserve"> </w:t>
      </w:r>
      <w:r>
        <w:rPr>
          <w:rFonts w:ascii="Arial" w:cs="Arial" w:eastAsia="Arial" w:hAnsi="Arial"/>
          <w:sz w:val="16"/>
          <w:szCs w:val="16"/>
          <w:color w:val="auto"/>
        </w:rPr>
        <w:t>to be independent from their respective investment banking divisions and are subject to certain regulations and internal policies, and that such Underwriters’ research analysts may hold views and make statements or investment recommendations and/or publish research reports with respect to the Company and/or the offering that differ from the views of their respective investment banking divisions. The Company and the Selling Shareholder hereby waive and release, to the fullest extent permitted by law, any claims that the Company or the Selling Shareholder may have against the Underwriters with respect to any conflict of interest that may arise from the fact that the views expressed by their independent research analysts and research departments may be different from or inconsistent with the views or advice communicated to the Company or the Selling Shareholder by such Underwriters’ investment banking divisions. The Company and the Selling Shareholder acknowledge that each of the Underwriters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69" w:lineRule="exact"/>
        <w:rPr>
          <w:rFonts w:ascii="Arial" w:cs="Arial" w:eastAsia="Arial" w:hAnsi="Arial"/>
          <w:sz w:val="16"/>
          <w:szCs w:val="16"/>
          <w:color w:val="auto"/>
        </w:rPr>
      </w:pPr>
    </w:p>
    <w:p>
      <w:pPr>
        <w:jc w:val="both"/>
        <w:ind w:left="-20" w:firstLine="656"/>
        <w:spacing w:after="0" w:line="288" w:lineRule="auto"/>
        <w:tabs>
          <w:tab w:leader="none" w:pos="129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No Fiduciary Duty</w:t>
      </w:r>
      <w:r>
        <w:rPr>
          <w:rFonts w:ascii="Arial" w:cs="Arial" w:eastAsia="Arial" w:hAnsi="Arial"/>
          <w:sz w:val="16"/>
          <w:szCs w:val="16"/>
          <w:color w:val="auto"/>
        </w:rPr>
        <w:t>. The Company and the Selling Shareholder acknowledge and agree that in connection with this offering, sale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or any other services the Underwriters may be deemed to be providing hereunder, notwithstanding any preexisting relationship, advisory or otherwise, between the parties or any oral representations or assurances previously or subsequently made by the Underwriters: (a) no fiduciary or agency relationship between the Company, Selling Shareholder and any other person, on the one hand, and the Underwriters, on the other, exists; (b) the Underwriters are not acting as advisors, expert or otherwise, to either the Company or the Selling Shareholder, including, without limitation, with respect to the determination of the public offering price of the Shares, and such relationship between the Company and the Selling Shareholder, on the one hand, and the Underwriters, on the other, is entirely and solely commercial, based on arms-length negotiations; (c) any duties and obligations that the Underwriters may have to the Company or the Selling Shareholder shall be limited to those duties and obligations specifically stated herein; and (d) the Underwriters and their respective affiliates may have interests that differ from those of the Company and the Selling Shareholder. The Company and the Selling Shareholder hereby waive any claims that the Company or the Selling Shareholder may have against the Underwriters with respect to any breach of fiduciary duty in connection with this offering.</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41" w:name="page42"/>
    <w:bookmarkEnd w:id="41"/>
    <w:p>
      <w:pPr>
        <w:ind w:left="1280" w:hanging="624"/>
        <w:spacing w:after="0"/>
        <w:tabs>
          <w:tab w:leader="none" w:pos="128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Notices, etc</w:t>
      </w:r>
      <w:r>
        <w:rPr>
          <w:rFonts w:ascii="Arial" w:cs="Arial" w:eastAsia="Arial" w:hAnsi="Arial"/>
          <w:sz w:val="18"/>
          <w:szCs w:val="18"/>
          <w:color w:val="auto"/>
        </w:rPr>
        <w:t>. All statements, requests, notices and agreements hereunder shall be in writing, and:</w:t>
      </w:r>
    </w:p>
    <w:p>
      <w:pPr>
        <w:spacing w:after="0" w:line="225" w:lineRule="exact"/>
        <w:rPr>
          <w:rFonts w:ascii="Arial" w:cs="Arial" w:eastAsia="Arial" w:hAnsi="Arial"/>
          <w:sz w:val="18"/>
          <w:szCs w:val="18"/>
          <w:color w:val="auto"/>
        </w:rPr>
      </w:pPr>
    </w:p>
    <w:p>
      <w:pPr>
        <w:jc w:val="both"/>
        <w:ind w:left="660" w:firstLine="645"/>
        <w:spacing w:after="0" w:line="302" w:lineRule="auto"/>
        <w:tabs>
          <w:tab w:leader="none" w:pos="1854" w:val="left"/>
        </w:tabs>
        <w:numPr>
          <w:ilvl w:val="1"/>
          <w:numId w:val="48"/>
        </w:numPr>
        <w:rPr>
          <w:rFonts w:ascii="Arial" w:cs="Arial" w:eastAsia="Arial" w:hAnsi="Arial"/>
          <w:sz w:val="16"/>
          <w:szCs w:val="16"/>
          <w:color w:val="auto"/>
        </w:rPr>
      </w:pPr>
      <w:r>
        <w:rPr>
          <w:rFonts w:ascii="Arial" w:cs="Arial" w:eastAsia="Arial" w:hAnsi="Arial"/>
          <w:sz w:val="16"/>
          <w:szCs w:val="16"/>
          <w:color w:val="auto"/>
        </w:rPr>
        <w:t>if to the Underwriters, shall be delivered or sent by mail or facsimile transmission to (i) Barclays Capital Inc., 745 Seventh Avenue, New York, New York 10019, Attention: Syndicate Registration (Fax: (646) 834-8133), with a copy, in the case of any notice pursuant to Section 10(d), to the Director of Litigation, Office of the General Counsel, Barclays Capital Inc., 745 Seventh Avenue, New York, New York 10019 and (ii) Citigroup Global Markets Inc., 388 Greenwich Street, New York, New York 10013 Attention: General Counsel, (Fax: (646) 291-1469); and</w:t>
      </w:r>
    </w:p>
    <w:p>
      <w:pPr>
        <w:spacing w:after="0" w:line="154" w:lineRule="exact"/>
        <w:rPr>
          <w:rFonts w:ascii="Arial" w:cs="Arial" w:eastAsia="Arial" w:hAnsi="Arial"/>
          <w:sz w:val="16"/>
          <w:szCs w:val="16"/>
          <w:color w:val="auto"/>
        </w:rPr>
      </w:pPr>
    </w:p>
    <w:p>
      <w:pPr>
        <w:ind w:left="660" w:right="20" w:firstLine="645"/>
        <w:spacing w:after="0" w:line="277" w:lineRule="auto"/>
        <w:tabs>
          <w:tab w:leader="none" w:pos="1978" w:val="left"/>
        </w:tabs>
        <w:numPr>
          <w:ilvl w:val="1"/>
          <w:numId w:val="48"/>
        </w:numPr>
        <w:rPr>
          <w:rFonts w:ascii="Arial" w:cs="Arial" w:eastAsia="Arial" w:hAnsi="Arial"/>
          <w:sz w:val="18"/>
          <w:szCs w:val="18"/>
          <w:color w:val="auto"/>
        </w:rPr>
      </w:pPr>
      <w:r>
        <w:rPr>
          <w:rFonts w:ascii="Arial" w:cs="Arial" w:eastAsia="Arial" w:hAnsi="Arial"/>
          <w:sz w:val="18"/>
          <w:szCs w:val="18"/>
          <w:color w:val="auto"/>
        </w:rPr>
        <w:t>if to the Company, shall be delivered or sent by mail or facsimile transmission to the address of the Company set forth in the Registration Statement, Attention: Gabi Seligsohn (Fax: (+972) 3-908-0280).</w:t>
      </w:r>
    </w:p>
    <w:p>
      <w:pPr>
        <w:spacing w:after="0" w:line="170" w:lineRule="exact"/>
        <w:rPr>
          <w:rFonts w:ascii="Arial" w:cs="Arial" w:eastAsia="Arial" w:hAnsi="Arial"/>
          <w:sz w:val="18"/>
          <w:szCs w:val="18"/>
          <w:color w:val="auto"/>
        </w:rPr>
      </w:pPr>
    </w:p>
    <w:p>
      <w:pPr>
        <w:ind w:left="660" w:firstLine="645"/>
        <w:spacing w:after="0" w:line="277" w:lineRule="auto"/>
        <w:tabs>
          <w:tab w:leader="none" w:pos="1836" w:val="left"/>
        </w:tabs>
        <w:numPr>
          <w:ilvl w:val="1"/>
          <w:numId w:val="48"/>
        </w:numPr>
        <w:rPr>
          <w:rFonts w:ascii="Arial" w:cs="Arial" w:eastAsia="Arial" w:hAnsi="Arial"/>
          <w:sz w:val="18"/>
          <w:szCs w:val="18"/>
          <w:color w:val="auto"/>
        </w:rPr>
      </w:pPr>
      <w:r>
        <w:rPr>
          <w:rFonts w:ascii="Arial" w:cs="Arial" w:eastAsia="Arial" w:hAnsi="Arial"/>
          <w:sz w:val="18"/>
          <w:szCs w:val="18"/>
          <w:color w:val="auto"/>
        </w:rPr>
        <w:t>if to the Selling Shareholder, shall be delivered or sent by mail or facsimile transmission to the Selling Shareholder at the address set forth on Schedule II hereto.</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such statements, requests, notices or agreements shall take effect at the time of receipt thereof. The Company and the Selling Shareholder shall be entitled to act and rely upon any request, consent, notice or agreement given or made on behalf of the Underwriters by Barclays Capital Inc. on behalf of the Underwriters.</w:t>
      </w:r>
    </w:p>
    <w:p>
      <w:pPr>
        <w:spacing w:after="0" w:line="181" w:lineRule="exact"/>
        <w:rPr>
          <w:sz w:val="20"/>
          <w:szCs w:val="20"/>
          <w:color w:val="auto"/>
        </w:rPr>
      </w:pPr>
    </w:p>
    <w:p>
      <w:pPr>
        <w:jc w:val="both"/>
        <w:ind w:firstLine="656"/>
        <w:spacing w:after="0" w:line="270" w:lineRule="auto"/>
        <w:tabs>
          <w:tab w:leader="none" w:pos="1292"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Persons Entitled to Benefit of Agreement</w:t>
      </w:r>
      <w:r>
        <w:rPr>
          <w:rFonts w:ascii="Arial" w:cs="Arial" w:eastAsia="Arial" w:hAnsi="Arial"/>
          <w:sz w:val="17"/>
          <w:szCs w:val="17"/>
          <w:color w:val="auto"/>
        </w:rPr>
        <w:t>. This Agreement shall inure to the benefit of and be binding upon the Underwriters,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the Selling Shareholder and their respective successors. This Agreement and the terms and provisions hereof are for the sole benefit of only those persons, except that (a) the representations, warranties, indemnities and agreements of the Company and the Selling Shareholder contained in this Agreement shall also be deemed to be for the benefit of the directors, officers and employees of the Underwriters and each person or persons, if any, who control either Underwriter within the meaning of Section 15 of the Securities Act, and (b) the indemnity agreement of the Underwriters contained in Section 10(c) of this Agreement shall be deemed to be for the benefit of the directors of the Company, the officers of the Company who have signed the Registration Statement and any person controlling the Company within the meaning of Section 15 of the Securities Act. Nothing in this Agreement is intended or shall be construed to give any person, other than the persons referred to in this Section 17, any legal or equitable right, remedy or claim under or in respect of this Agreement or any provision contained herein.</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2" w:name="page43"/>
    <w:bookmarkEnd w:id="42"/>
    <w:p>
      <w:pPr>
        <w:jc w:val="both"/>
        <w:ind w:left="-20" w:firstLine="656"/>
        <w:spacing w:after="0" w:line="259" w:lineRule="auto"/>
        <w:tabs>
          <w:tab w:leader="none" w:pos="1438"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Survival</w:t>
      </w:r>
      <w:r>
        <w:rPr>
          <w:rFonts w:ascii="Arial" w:cs="Arial" w:eastAsia="Arial" w:hAnsi="Arial"/>
          <w:sz w:val="18"/>
          <w:szCs w:val="18"/>
          <w:color w:val="auto"/>
        </w:rPr>
        <w:t>. The respective indemnities, representations, warranties and agreements of the Company, the Selling Shareholder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contained in this Agreement or made by or on behalf of them, respectively, pursuant to this Agreement, shall survive the delivery of and payment for the Shares and shall remain in full force and effect, regardless of any investigation made by or on behalf of any of them or any person controlling any of them.</w:t>
      </w:r>
    </w:p>
    <w:p>
      <w:pPr>
        <w:spacing w:after="0" w:line="182" w:lineRule="exact"/>
        <w:rPr>
          <w:rFonts w:ascii="Arial" w:cs="Arial" w:eastAsia="Arial" w:hAnsi="Arial"/>
          <w:sz w:val="18"/>
          <w:szCs w:val="18"/>
          <w:color w:val="auto"/>
        </w:rPr>
      </w:pPr>
    </w:p>
    <w:p>
      <w:pPr>
        <w:jc w:val="both"/>
        <w:ind w:left="-20" w:firstLine="656"/>
        <w:spacing w:after="0" w:line="289" w:lineRule="auto"/>
        <w:tabs>
          <w:tab w:leader="none" w:pos="1290"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Definition of the Terms “Business Day”, “Affiliate” and “Subsidiary”</w:t>
      </w:r>
      <w:r>
        <w:rPr>
          <w:rFonts w:ascii="Arial" w:cs="Arial" w:eastAsia="Arial" w:hAnsi="Arial"/>
          <w:sz w:val="17"/>
          <w:szCs w:val="17"/>
          <w:color w:val="auto"/>
        </w:rPr>
        <w:t>. For purposes of this Agreement, (a) “</w:t>
      </w:r>
      <w:r>
        <w:rPr>
          <w:rFonts w:ascii="Arial" w:cs="Arial" w:eastAsia="Arial" w:hAnsi="Arial"/>
          <w:sz w:val="17"/>
          <w:szCs w:val="17"/>
          <w:b w:val="1"/>
          <w:bCs w:val="1"/>
          <w:color w:val="auto"/>
        </w:rPr>
        <w:t>business day</w:t>
      </w:r>
      <w:r>
        <w:rPr>
          <w:rFonts w:ascii="Arial" w:cs="Arial" w:eastAsia="Arial" w:hAnsi="Arial"/>
          <w:sz w:val="17"/>
          <w:szCs w:val="17"/>
          <w:color w:val="auto"/>
        </w:rPr>
        <w:t>” means each</w:t>
      </w:r>
      <w:r>
        <w:rPr>
          <w:rFonts w:ascii="Arial" w:cs="Arial" w:eastAsia="Arial" w:hAnsi="Arial"/>
          <w:sz w:val="17"/>
          <w:szCs w:val="17"/>
          <w:i w:val="1"/>
          <w:iCs w:val="1"/>
          <w:color w:val="auto"/>
        </w:rPr>
        <w:t xml:space="preserve"> </w:t>
      </w:r>
      <w:r>
        <w:rPr>
          <w:rFonts w:ascii="Arial" w:cs="Arial" w:eastAsia="Arial" w:hAnsi="Arial"/>
          <w:sz w:val="17"/>
          <w:szCs w:val="17"/>
          <w:color w:val="auto"/>
        </w:rPr>
        <w:t>Monday, Tuesday, Wednesday, Thursday or Friday that is not a day on which banking institutions in New York are generally authorized or obligated by law or executive order to close, and (b) “</w:t>
      </w:r>
      <w:r>
        <w:rPr>
          <w:rFonts w:ascii="Arial" w:cs="Arial" w:eastAsia="Arial" w:hAnsi="Arial"/>
          <w:sz w:val="17"/>
          <w:szCs w:val="17"/>
          <w:b w:val="1"/>
          <w:bCs w:val="1"/>
          <w:color w:val="auto"/>
        </w:rPr>
        <w:t>affiliate</w:t>
      </w:r>
      <w:r>
        <w:rPr>
          <w:rFonts w:ascii="Arial" w:cs="Arial" w:eastAsia="Arial" w:hAnsi="Arial"/>
          <w:sz w:val="17"/>
          <w:szCs w:val="17"/>
          <w:color w:val="auto"/>
        </w:rPr>
        <w:t>” and “</w:t>
      </w:r>
      <w:r>
        <w:rPr>
          <w:rFonts w:ascii="Arial" w:cs="Arial" w:eastAsia="Arial" w:hAnsi="Arial"/>
          <w:sz w:val="17"/>
          <w:szCs w:val="17"/>
          <w:b w:val="1"/>
          <w:bCs w:val="1"/>
          <w:color w:val="auto"/>
        </w:rPr>
        <w:t>subsidiary</w:t>
      </w:r>
      <w:r>
        <w:rPr>
          <w:rFonts w:ascii="Arial" w:cs="Arial" w:eastAsia="Arial" w:hAnsi="Arial"/>
          <w:sz w:val="17"/>
          <w:szCs w:val="17"/>
          <w:color w:val="auto"/>
        </w:rPr>
        <w:t>” have the meanings set forth in Rule 405 under the Securities Act.</w:t>
      </w:r>
    </w:p>
    <w:p>
      <w:pPr>
        <w:spacing w:after="0" w:line="158" w:lineRule="exact"/>
        <w:rPr>
          <w:rFonts w:ascii="Arial" w:cs="Arial" w:eastAsia="Arial" w:hAnsi="Arial"/>
          <w:sz w:val="17"/>
          <w:szCs w:val="17"/>
          <w:color w:val="auto"/>
        </w:rPr>
      </w:pPr>
    </w:p>
    <w:p>
      <w:pPr>
        <w:ind w:left="-20" w:firstLine="656"/>
        <w:spacing w:after="0" w:line="282" w:lineRule="auto"/>
        <w:tabs>
          <w:tab w:leader="none" w:pos="1236"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This Agreement shall be governed by and construed in accordance with the laws of the State of New York without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regard to conflict of laws principles (other than Section 5-1401 of the General Obligations Law)</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jc w:val="both"/>
        <w:ind w:left="-20" w:firstLine="656"/>
        <w:spacing w:after="0" w:line="269" w:lineRule="auto"/>
        <w:tabs>
          <w:tab w:leader="none" w:pos="1168"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Submission to Jurisdiction, Etc</w:t>
      </w:r>
      <w:r>
        <w:rPr>
          <w:rFonts w:ascii="Arial" w:cs="Arial" w:eastAsia="Arial" w:hAnsi="Arial"/>
          <w:sz w:val="17"/>
          <w:szCs w:val="17"/>
          <w:color w:val="auto"/>
        </w:rPr>
        <w:t>. The Company and the Selling Shareholder hereby submit to the non-exclusive jurisdiction of the U.S. federal</w:t>
      </w:r>
      <w:r>
        <w:rPr>
          <w:rFonts w:ascii="Arial" w:cs="Arial" w:eastAsia="Arial" w:hAnsi="Arial"/>
          <w:sz w:val="17"/>
          <w:szCs w:val="17"/>
          <w:i w:val="1"/>
          <w:iCs w:val="1"/>
          <w:color w:val="auto"/>
        </w:rPr>
        <w:t xml:space="preserve"> </w:t>
      </w:r>
      <w:r>
        <w:rPr>
          <w:rFonts w:ascii="Arial" w:cs="Arial" w:eastAsia="Arial" w:hAnsi="Arial"/>
          <w:sz w:val="17"/>
          <w:szCs w:val="17"/>
          <w:color w:val="auto"/>
        </w:rPr>
        <w:t>and New York state courts in the Borough of Manhattan, The City of New York in any suit or proceeding arising out of or relating to this Agreement or the transactions contemplated hereby. The parties hereby irrevocably and unconditionally waive any objection to the laying of venue of any lawsuit, action or other proceeding in such courts, and hereby further irrevocably and unconditionally waive and agree not to plead or claim in any such court that any such lawsuit, action or other proceeding brought in any such court has been brought in an inconvenient forum. The Company and the Selling Shareholder irrevocably appoint Kornit Digital North America Inc., as its authorized agent in the Borough of Manhattan, The City of New York, New York upon which process may be served in any such suit or proceeding, and agree that service of process upon such agent, and written notice of said service to the Company or the Selling Shareholder, as applicable, by the person serving the same to the address provided in Section 16 shall be deemed in every respect effective service of process upon the Company or the Selling Shareholder, as applicable, in any such suit or proceeding. The Company and the Selling Shareholder further agree to take any and all actions as may be necessary to maintain such designation and appointment of such agent in full force and effect for a period of seven years from the date of this Agreement.</w:t>
      </w:r>
    </w:p>
    <w:p>
      <w:pPr>
        <w:spacing w:after="0" w:line="182" w:lineRule="exact"/>
        <w:rPr>
          <w:rFonts w:ascii="Arial" w:cs="Arial" w:eastAsia="Arial" w:hAnsi="Arial"/>
          <w:sz w:val="17"/>
          <w:szCs w:val="17"/>
          <w:color w:val="auto"/>
        </w:rPr>
      </w:pPr>
    </w:p>
    <w:p>
      <w:pPr>
        <w:jc w:val="both"/>
        <w:ind w:left="-20" w:firstLine="656"/>
        <w:spacing w:after="0" w:line="255" w:lineRule="auto"/>
        <w:tabs>
          <w:tab w:leader="none" w:pos="1276"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Waiver of Immunity</w:t>
      </w:r>
      <w:r>
        <w:rPr>
          <w:rFonts w:ascii="Arial" w:cs="Arial" w:eastAsia="Arial" w:hAnsi="Arial"/>
          <w:sz w:val="18"/>
          <w:szCs w:val="18"/>
          <w:color w:val="auto"/>
        </w:rPr>
        <w:t>. With respect to any suit or proceeding arising out of or relating to this Agreement or the transactions contemplated</w:t>
      </w:r>
      <w:r>
        <w:rPr>
          <w:rFonts w:ascii="Arial" w:cs="Arial" w:eastAsia="Arial" w:hAnsi="Arial"/>
          <w:sz w:val="18"/>
          <w:szCs w:val="18"/>
          <w:i w:val="1"/>
          <w:iCs w:val="1"/>
          <w:color w:val="auto"/>
        </w:rPr>
        <w:t xml:space="preserve"> </w:t>
      </w:r>
      <w:r>
        <w:rPr>
          <w:rFonts w:ascii="Arial" w:cs="Arial" w:eastAsia="Arial" w:hAnsi="Arial"/>
          <w:sz w:val="18"/>
          <w:szCs w:val="18"/>
          <w:color w:val="auto"/>
        </w:rPr>
        <w:t>hereby, each party irrevocably waives, to the fullest extent permitted by applicable law, all immunity (whether on the basis of sovereignty or otherwise) from jurisdiction, service of process, attachment (both before and after judgment) and execution to which it might otherwise be entitled, and with respect to any such suit or proceeding, each party waives any such immunity in any court of competent jurisdiction, and will not raise or claim or cause to be pleaded any such immunity at or in respect of any such suit or proceeding, including, without limitation, any immunity pursuant to the U.S. Foreign Sovereign Immunities Act of 1976, as amended.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43" w:name="page44"/>
    <w:bookmarkEnd w:id="43"/>
    <w:p>
      <w:pPr>
        <w:jc w:val="both"/>
        <w:ind w:left="-20" w:firstLine="656"/>
        <w:spacing w:after="0" w:line="270" w:lineRule="auto"/>
        <w:tabs>
          <w:tab w:leader="none" w:pos="1209"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Judgment Currency</w:t>
      </w:r>
      <w:r>
        <w:rPr>
          <w:rFonts w:ascii="Arial" w:cs="Arial" w:eastAsia="Arial" w:hAnsi="Arial"/>
          <w:sz w:val="17"/>
          <w:szCs w:val="17"/>
          <w:color w:val="auto"/>
        </w:rPr>
        <w:t>. The obligation of the Company and the Selling Shareholder in respect of any sum due to either Underwriter under this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shall, notwithstanding any judgment in a currency other than U.S. dollars or any other applicable currency (the “</w:t>
      </w:r>
      <w:r>
        <w:rPr>
          <w:rFonts w:ascii="Arial" w:cs="Arial" w:eastAsia="Arial" w:hAnsi="Arial"/>
          <w:sz w:val="17"/>
          <w:szCs w:val="17"/>
          <w:b w:val="1"/>
          <w:bCs w:val="1"/>
          <w:color w:val="auto"/>
        </w:rPr>
        <w:t>Judgment Currency</w:t>
      </w:r>
      <w:r>
        <w:rPr>
          <w:rFonts w:ascii="Arial" w:cs="Arial" w:eastAsia="Arial" w:hAnsi="Arial"/>
          <w:sz w:val="17"/>
          <w:szCs w:val="17"/>
          <w:color w:val="auto"/>
        </w:rPr>
        <w:t>”), not be discharged until the first business day, following receipt by such Underwriter of any sum adjudged to be so due in the Judgment Currency, on which (and only to the extent that) such Underwriter may in accordance with normal banking procedures purchase U.S. dollars or any other applicable currency with the Judgment Currency; if the U.S. dollars or other applicable currency so purchased are less than the sum originally due to such Underwriter hereunder, the Company and the Selling Shareholder agree, as a separate obligation and notwithstanding any such judgment, to indemnify such Underwriter against such loss. If the U.S. dollars or other applicable currency so purchased are greater than the sum originally due to such Underwriter hereunder, such Underwriter agrees to pay to the Company or the Selling Shareholder, as the case may be, an amount equal to the excess of the U.S. dollars or other applicable currency so purchased over the sum originally due to such Underwriter hereunder.</w:t>
      </w:r>
    </w:p>
    <w:p>
      <w:pPr>
        <w:spacing w:after="0" w:line="181" w:lineRule="exact"/>
        <w:rPr>
          <w:rFonts w:ascii="Arial" w:cs="Arial" w:eastAsia="Arial" w:hAnsi="Arial"/>
          <w:sz w:val="17"/>
          <w:szCs w:val="17"/>
          <w:color w:val="auto"/>
        </w:rPr>
      </w:pPr>
    </w:p>
    <w:p>
      <w:pPr>
        <w:ind w:left="-20" w:firstLine="656"/>
        <w:spacing w:after="0" w:line="277" w:lineRule="auto"/>
        <w:tabs>
          <w:tab w:leader="none" w:pos="1182"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Waiver of Jury Trial</w:t>
      </w:r>
      <w:r>
        <w:rPr>
          <w:rFonts w:ascii="Arial" w:cs="Arial" w:eastAsia="Arial" w:hAnsi="Arial"/>
          <w:sz w:val="18"/>
          <w:szCs w:val="18"/>
          <w:color w:val="auto"/>
        </w:rPr>
        <w:t>. The Company and the Underwriters hereby irrevocably waive, to the fullest extent permitted by applicable law, any and</w:t>
      </w:r>
      <w:r>
        <w:rPr>
          <w:rFonts w:ascii="Arial" w:cs="Arial" w:eastAsia="Arial" w:hAnsi="Arial"/>
          <w:sz w:val="18"/>
          <w:szCs w:val="18"/>
          <w:i w:val="1"/>
          <w:iCs w:val="1"/>
          <w:color w:val="auto"/>
        </w:rPr>
        <w:t xml:space="preserve"> </w:t>
      </w:r>
      <w:r>
        <w:rPr>
          <w:rFonts w:ascii="Arial" w:cs="Arial" w:eastAsia="Arial" w:hAnsi="Arial"/>
          <w:sz w:val="18"/>
          <w:szCs w:val="18"/>
          <w:color w:val="auto"/>
        </w:rPr>
        <w:t>all right to trial by jury in any legal proceeding arising out of or relating to this Agreement or the transactions contemplated hereby.</w:t>
      </w:r>
    </w:p>
    <w:p>
      <w:pPr>
        <w:spacing w:after="0" w:line="170" w:lineRule="exact"/>
        <w:rPr>
          <w:rFonts w:ascii="Arial" w:cs="Arial" w:eastAsia="Arial" w:hAnsi="Arial"/>
          <w:sz w:val="18"/>
          <w:szCs w:val="18"/>
          <w:color w:val="auto"/>
        </w:rPr>
      </w:pPr>
    </w:p>
    <w:p>
      <w:pPr>
        <w:ind w:left="-20" w:right="20" w:firstLine="656"/>
        <w:spacing w:after="0" w:line="308" w:lineRule="auto"/>
        <w:tabs>
          <w:tab w:leader="none" w:pos="1263"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Counterparts</w:t>
      </w:r>
      <w:r>
        <w:rPr>
          <w:rFonts w:ascii="Arial" w:cs="Arial" w:eastAsia="Arial" w:hAnsi="Arial"/>
          <w:sz w:val="17"/>
          <w:szCs w:val="17"/>
          <w:color w:val="auto"/>
        </w:rPr>
        <w:t>. This Agreement may be executed in one or more counterparts and, if executed in more than one counterpart, the executed</w:t>
      </w:r>
      <w:r>
        <w:rPr>
          <w:rFonts w:ascii="Arial" w:cs="Arial" w:eastAsia="Arial" w:hAnsi="Arial"/>
          <w:sz w:val="17"/>
          <w:szCs w:val="17"/>
          <w:i w:val="1"/>
          <w:iCs w:val="1"/>
          <w:color w:val="auto"/>
        </w:rPr>
        <w:t xml:space="preserve"> </w:t>
      </w:r>
      <w:r>
        <w:rPr>
          <w:rFonts w:ascii="Arial" w:cs="Arial" w:eastAsia="Arial" w:hAnsi="Arial"/>
          <w:sz w:val="17"/>
          <w:szCs w:val="17"/>
          <w:color w:val="auto"/>
        </w:rPr>
        <w:t>counterparts shall each be deemed to be an original but all such counterparts shall together constitute one and the same instrument.</w:t>
      </w:r>
    </w:p>
    <w:p>
      <w:pPr>
        <w:spacing w:after="0" w:line="146" w:lineRule="exact"/>
        <w:rPr>
          <w:rFonts w:ascii="Arial" w:cs="Arial" w:eastAsia="Arial" w:hAnsi="Arial"/>
          <w:sz w:val="17"/>
          <w:szCs w:val="17"/>
          <w:color w:val="auto"/>
        </w:rPr>
      </w:pPr>
    </w:p>
    <w:p>
      <w:pPr>
        <w:ind w:left="-20" w:firstLine="656"/>
        <w:spacing w:after="0" w:line="277" w:lineRule="auto"/>
        <w:tabs>
          <w:tab w:leader="none" w:pos="1209"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Headings</w:t>
      </w:r>
      <w:r>
        <w:rPr>
          <w:rFonts w:ascii="Arial" w:cs="Arial" w:eastAsia="Arial" w:hAnsi="Arial"/>
          <w:sz w:val="18"/>
          <w:szCs w:val="18"/>
          <w:color w:val="auto"/>
        </w:rPr>
        <w:t>. The headings herein are inserted for convenience of reference only and are not intended to be part of, or to affect the meaning or</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interpretation of, this Agreement.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44" w:name="page45"/>
    <w:bookmarkEnd w:id="44"/>
    <w:p>
      <w:pPr>
        <w:ind w:firstLine="648"/>
        <w:spacing w:after="0" w:line="277" w:lineRule="auto"/>
        <w:rPr>
          <w:sz w:val="20"/>
          <w:szCs w:val="20"/>
          <w:color w:val="auto"/>
        </w:rPr>
      </w:pPr>
      <w:r>
        <w:rPr>
          <w:rFonts w:ascii="Arial" w:cs="Arial" w:eastAsia="Arial" w:hAnsi="Arial"/>
          <w:sz w:val="18"/>
          <w:szCs w:val="18"/>
          <w:color w:val="auto"/>
        </w:rPr>
        <w:t>If the foregoing correctly sets forth the agreement among the Company, the Selling Shareholder and the Underwriters, please indicate your acceptance in the space provided for that purpose below.</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KORNIT DIGITAL LTD.</w:t>
      </w:r>
    </w:p>
    <w:p>
      <w:pPr>
        <w:spacing w:after="0" w:line="225"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Gabi Seligsohn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14605</wp:posOffset>
            </wp:positionV>
            <wp:extent cx="25984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9842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Gabi Seligsohn</w:t>
      </w:r>
    </w:p>
    <w:p>
      <w:pPr>
        <w:spacing w:after="0" w:line="23" w:lineRule="exact"/>
        <w:rPr>
          <w:sz w:val="20"/>
          <w:szCs w:val="20"/>
          <w:color w:val="auto"/>
        </w:rPr>
      </w:pPr>
    </w:p>
    <w:p>
      <w:pPr>
        <w:ind w:left="7320"/>
        <w:spacing w:after="0"/>
        <w:tabs>
          <w:tab w:leader="none" w:pos="7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FORTISSIMO CAPITAL FUND II (ISRAEL), L.P.</w:t>
      </w:r>
    </w:p>
    <w:p>
      <w:pPr>
        <w:spacing w:after="0" w:line="225"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Yuval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14605</wp:posOffset>
            </wp:positionV>
            <wp:extent cx="25984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9842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Yuval Cohen</w:t>
      </w:r>
    </w:p>
    <w:p>
      <w:pPr>
        <w:spacing w:after="0" w:line="23" w:lineRule="exact"/>
        <w:rPr>
          <w:sz w:val="20"/>
          <w:szCs w:val="20"/>
          <w:color w:val="auto"/>
        </w:rPr>
      </w:pPr>
    </w:p>
    <w:p>
      <w:pPr>
        <w:ind w:left="7320"/>
        <w:spacing w:after="0"/>
        <w:tabs>
          <w:tab w:leader="none" w:pos="7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Partner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Underwriting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ARCLAYS</w:t>
      </w:r>
      <w:r>
        <w:rPr>
          <w:rFonts w:ascii="Arial" w:cs="Arial" w:eastAsia="Arial" w:hAnsi="Arial"/>
          <w:sz w:val="18"/>
          <w:szCs w:val="18"/>
          <w:color w:val="auto"/>
        </w:rPr>
        <w:t xml:space="preserve"> C</w:t>
      </w:r>
      <w:r>
        <w:rPr>
          <w:rFonts w:ascii="Arial" w:cs="Arial" w:eastAsia="Arial" w:hAnsi="Arial"/>
          <w:sz w:val="12"/>
          <w:szCs w:val="12"/>
          <w:color w:val="auto"/>
        </w:rPr>
        <w:t>APITAL</w:t>
      </w:r>
      <w:r>
        <w:rPr>
          <w:rFonts w:ascii="Arial" w:cs="Arial" w:eastAsia="Arial" w:hAnsi="Arial"/>
          <w:sz w:val="18"/>
          <w:szCs w:val="18"/>
          <w:color w:val="auto"/>
        </w:rPr>
        <w:t xml:space="preserve"> I</w:t>
      </w:r>
      <w:r>
        <w:rPr>
          <w:rFonts w:ascii="Arial" w:cs="Arial" w:eastAsia="Arial" w:hAnsi="Arial"/>
          <w:sz w:val="12"/>
          <w:szCs w:val="12"/>
          <w:color w:val="auto"/>
        </w:rPr>
        <w:t>NC</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ITIGROUP</w:t>
      </w:r>
      <w:r>
        <w:rPr>
          <w:rFonts w:ascii="Arial" w:cs="Arial" w:eastAsia="Arial" w:hAnsi="Arial"/>
          <w:sz w:val="18"/>
          <w:szCs w:val="18"/>
          <w:color w:val="auto"/>
        </w:rPr>
        <w:t xml:space="preserve"> G</w:t>
      </w:r>
      <w:r>
        <w:rPr>
          <w:rFonts w:ascii="Arial" w:cs="Arial" w:eastAsia="Arial" w:hAnsi="Arial"/>
          <w:sz w:val="12"/>
          <w:szCs w:val="12"/>
          <w:color w:val="auto"/>
        </w:rPr>
        <w:t>LOBAL</w:t>
      </w:r>
      <w:r>
        <w:rPr>
          <w:rFonts w:ascii="Arial" w:cs="Arial" w:eastAsia="Arial" w:hAnsi="Arial"/>
          <w:sz w:val="18"/>
          <w:szCs w:val="18"/>
          <w:color w:val="auto"/>
        </w:rPr>
        <w:t xml:space="preserve"> M</w:t>
      </w:r>
      <w:r>
        <w:rPr>
          <w:rFonts w:ascii="Arial" w:cs="Arial" w:eastAsia="Arial" w:hAnsi="Arial"/>
          <w:sz w:val="12"/>
          <w:szCs w:val="12"/>
          <w:color w:val="auto"/>
        </w:rPr>
        <w:t>ARKETS</w:t>
      </w:r>
      <w:r>
        <w:rPr>
          <w:rFonts w:ascii="Arial" w:cs="Arial" w:eastAsia="Arial" w:hAnsi="Arial"/>
          <w:sz w:val="18"/>
          <w:szCs w:val="18"/>
          <w:color w:val="auto"/>
        </w:rPr>
        <w:t xml:space="preserve"> I</w:t>
      </w:r>
      <w:r>
        <w:rPr>
          <w:rFonts w:ascii="Arial" w:cs="Arial" w:eastAsia="Arial" w:hAnsi="Arial"/>
          <w:sz w:val="12"/>
          <w:szCs w:val="12"/>
          <w:color w:val="auto"/>
        </w:rPr>
        <w:t>NC</w:t>
      </w:r>
      <w:r>
        <w:rPr>
          <w:rFonts w:ascii="Arial" w:cs="Arial" w:eastAsia="Arial" w:hAnsi="Arial"/>
          <w:sz w:val="18"/>
          <w:szCs w:val="18"/>
          <w:color w:val="auto"/>
        </w:rPr>
        <w: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20" w:type="dxa"/>
            <w:vAlign w:val="bottom"/>
          </w:tcPr>
          <w:p>
            <w:pPr>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ARCLAYS</w:t>
            </w:r>
            <w:r>
              <w:rPr>
                <w:rFonts w:ascii="Arial" w:cs="Arial" w:eastAsia="Arial" w:hAnsi="Arial"/>
                <w:sz w:val="18"/>
                <w:szCs w:val="18"/>
                <w:color w:val="auto"/>
              </w:rPr>
              <w:t xml:space="preserve"> C</w:t>
            </w:r>
            <w:r>
              <w:rPr>
                <w:rFonts w:ascii="Arial" w:cs="Arial" w:eastAsia="Arial" w:hAnsi="Arial"/>
                <w:sz w:val="12"/>
                <w:szCs w:val="12"/>
                <w:color w:val="auto"/>
              </w:rPr>
              <w:t>APITAL</w:t>
            </w:r>
            <w:r>
              <w:rPr>
                <w:rFonts w:ascii="Arial" w:cs="Arial" w:eastAsia="Arial" w:hAnsi="Arial"/>
                <w:sz w:val="18"/>
                <w:szCs w:val="18"/>
                <w:color w:val="auto"/>
              </w:rPr>
              <w:t xml:space="preserve"> I</w:t>
            </w:r>
            <w:r>
              <w:rPr>
                <w:rFonts w:ascii="Arial" w:cs="Arial" w:eastAsia="Arial" w:hAnsi="Arial"/>
                <w:sz w:val="12"/>
                <w:szCs w:val="12"/>
                <w:color w:val="auto"/>
              </w:rPr>
              <w:t>NC</w:t>
            </w:r>
            <w:r>
              <w:rPr>
                <w:rFonts w:ascii="Arial" w:cs="Arial" w:eastAsia="Arial" w:hAnsi="Arial"/>
                <w:sz w:val="18"/>
                <w:szCs w:val="18"/>
                <w:color w:val="auto"/>
              </w:rPr>
              <w:t>.</w:t>
            </w:r>
          </w:p>
        </w:tc>
      </w:tr>
      <w:tr>
        <w:trPr>
          <w:trHeight w:val="439"/>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 Tittle</w:t>
            </w:r>
          </w:p>
        </w:tc>
      </w:tr>
      <w:tr>
        <w:trPr>
          <w:trHeight w:val="230"/>
        </w:trPr>
        <w:tc>
          <w:tcPr>
            <w:tcW w:w="46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i w:val="1"/>
                <w:iCs w:val="1"/>
                <w:color w:val="auto"/>
              </w:rPr>
              <w:t>Authorized Representative</w:t>
            </w:r>
          </w:p>
        </w:tc>
      </w:tr>
      <w:tr>
        <w:trPr>
          <w:trHeight w:val="418"/>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20" w:type="dxa"/>
            <w:vAlign w:val="bottom"/>
          </w:tcPr>
          <w:p>
            <w:pP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ITIGROUP</w:t>
            </w:r>
            <w:r>
              <w:rPr>
                <w:rFonts w:ascii="Arial" w:cs="Arial" w:eastAsia="Arial" w:hAnsi="Arial"/>
                <w:sz w:val="18"/>
                <w:szCs w:val="18"/>
                <w:color w:val="auto"/>
              </w:rPr>
              <w:t xml:space="preserve"> G</w:t>
            </w:r>
            <w:r>
              <w:rPr>
                <w:rFonts w:ascii="Arial" w:cs="Arial" w:eastAsia="Arial" w:hAnsi="Arial"/>
                <w:sz w:val="12"/>
                <w:szCs w:val="12"/>
                <w:color w:val="auto"/>
              </w:rPr>
              <w:t>LOBAL</w:t>
            </w:r>
            <w:r>
              <w:rPr>
                <w:rFonts w:ascii="Arial" w:cs="Arial" w:eastAsia="Arial" w:hAnsi="Arial"/>
                <w:sz w:val="18"/>
                <w:szCs w:val="18"/>
                <w:color w:val="auto"/>
              </w:rPr>
              <w:t xml:space="preserve"> M</w:t>
            </w:r>
            <w:r>
              <w:rPr>
                <w:rFonts w:ascii="Arial" w:cs="Arial" w:eastAsia="Arial" w:hAnsi="Arial"/>
                <w:sz w:val="12"/>
                <w:szCs w:val="12"/>
                <w:color w:val="auto"/>
              </w:rPr>
              <w:t>ARKETS</w:t>
            </w:r>
            <w:r>
              <w:rPr>
                <w:rFonts w:ascii="Arial" w:cs="Arial" w:eastAsia="Arial" w:hAnsi="Arial"/>
                <w:sz w:val="18"/>
                <w:szCs w:val="18"/>
                <w:color w:val="auto"/>
              </w:rPr>
              <w:t xml:space="preserve"> I</w:t>
            </w:r>
            <w:r>
              <w:rPr>
                <w:rFonts w:ascii="Arial" w:cs="Arial" w:eastAsia="Arial" w:hAnsi="Arial"/>
                <w:sz w:val="12"/>
                <w:szCs w:val="12"/>
                <w:color w:val="auto"/>
              </w:rPr>
              <w:t>NC</w:t>
            </w:r>
            <w:r>
              <w:rPr>
                <w:rFonts w:ascii="Arial" w:cs="Arial" w:eastAsia="Arial" w:hAnsi="Arial"/>
                <w:sz w:val="18"/>
                <w:szCs w:val="18"/>
                <w:color w:val="auto"/>
              </w:rPr>
              <w:t>.</w:t>
            </w:r>
          </w:p>
        </w:tc>
      </w:tr>
      <w:tr>
        <w:trPr>
          <w:trHeight w:val="439"/>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Joshua Li</w:t>
            </w:r>
          </w:p>
        </w:tc>
      </w:tr>
      <w:tr>
        <w:trPr>
          <w:trHeight w:val="230"/>
        </w:trPr>
        <w:tc>
          <w:tcPr>
            <w:tcW w:w="46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i w:val="1"/>
                <w:iCs w:val="1"/>
                <w:color w:val="auto"/>
              </w:rPr>
              <w:t>Authorized Representative</w:t>
            </w:r>
          </w:p>
        </w:tc>
      </w:tr>
    </w:tbl>
    <w:p>
      <w:pPr>
        <w:spacing w:after="0" w:line="187" w:lineRule="exact"/>
        <w:rPr>
          <w:sz w:val="20"/>
          <w:szCs w:val="20"/>
          <w:color w:val="auto"/>
        </w:rPr>
      </w:pPr>
    </w:p>
    <w:p>
      <w:pPr>
        <w:jc w:val="right"/>
        <w:ind w:right="27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Underwriting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7740" w:type="dxa"/>
            <w:vAlign w:val="bottom"/>
            <w:gridSpan w:val="4"/>
          </w:tcPr>
          <w:p>
            <w:pPr>
              <w:ind w:left="1480"/>
              <w:spacing w:after="0"/>
              <w:rPr>
                <w:sz w:val="20"/>
                <w:szCs w:val="20"/>
                <w:color w:val="auto"/>
              </w:rPr>
            </w:pPr>
            <w:r>
              <w:rPr>
                <w:rFonts w:ascii="Arial" w:cs="Arial" w:eastAsia="Arial" w:hAnsi="Arial"/>
                <w:sz w:val="18"/>
                <w:szCs w:val="18"/>
                <w:b w:val="1"/>
                <w:bCs w:val="1"/>
                <w:color w:val="auto"/>
              </w:rPr>
              <w:t>SCHEDULE I</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Number of</w:t>
            </w:r>
          </w:p>
        </w:tc>
        <w:tc>
          <w:tcPr>
            <w:tcW w:w="0" w:type="dxa"/>
            <w:vAlign w:val="bottom"/>
          </w:tcPr>
          <w:p>
            <w:pPr>
              <w:spacing w:after="0"/>
              <w:rPr>
                <w:sz w:val="1"/>
                <w:szCs w:val="1"/>
                <w:color w:val="auto"/>
              </w:rPr>
            </w:pPr>
          </w:p>
        </w:tc>
      </w:tr>
      <w:tr>
        <w:trPr>
          <w:trHeight w:val="237"/>
        </w:trPr>
        <w:tc>
          <w:tcPr>
            <w:tcW w:w="3680" w:type="dxa"/>
            <w:vAlign w:val="bottom"/>
            <w:gridSpan w:val="2"/>
          </w:tcPr>
          <w:p>
            <w:pPr>
              <w:spacing w:after="0"/>
              <w:rPr>
                <w:sz w:val="20"/>
                <w:szCs w:val="20"/>
                <w:color w:val="auto"/>
              </w:rPr>
            </w:pPr>
            <w:r>
              <w:rPr>
                <w:rFonts w:ascii="Arial" w:cs="Arial" w:eastAsia="Arial" w:hAnsi="Arial"/>
                <w:sz w:val="18"/>
                <w:szCs w:val="18"/>
                <w:color w:val="auto"/>
              </w:rPr>
              <w:t>Underwriters</w:t>
            </w:r>
          </w:p>
        </w:tc>
        <w:tc>
          <w:tcPr>
            <w:tcW w:w="6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Firm Shares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tcBorders>
              <w:top w:val="single" w:sz="8" w:color="auto"/>
            </w:tcBorders>
          </w:tcPr>
          <w:p>
            <w:pPr>
              <w:spacing w:after="0"/>
              <w:rPr>
                <w:sz w:val="18"/>
                <w:szCs w:val="18"/>
                <w:color w:val="auto"/>
              </w:rPr>
            </w:pPr>
          </w:p>
        </w:tc>
        <w:tc>
          <w:tcPr>
            <w:tcW w:w="6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7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Citigroup Global Markets Inc.</w:t>
            </w:r>
          </w:p>
        </w:tc>
        <w:tc>
          <w:tcPr>
            <w:tcW w:w="7740" w:type="dxa"/>
            <w:vAlign w:val="bottom"/>
            <w:gridSpan w:val="4"/>
          </w:tcPr>
          <w:p>
            <w:pPr>
              <w:jc w:val="right"/>
              <w:ind w:right="100"/>
              <w:spacing w:after="0"/>
              <w:rPr>
                <w:sz w:val="20"/>
                <w:szCs w:val="20"/>
                <w:color w:val="auto"/>
              </w:rPr>
            </w:pPr>
            <w:r>
              <w:rPr>
                <w:rFonts w:ascii="Arial" w:cs="Arial" w:eastAsia="Arial" w:hAnsi="Arial"/>
                <w:sz w:val="18"/>
                <w:szCs w:val="18"/>
                <w:color w:val="auto"/>
              </w:rPr>
              <w:t>2,125,000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4,250,000</w:t>
            </w: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6100" w:type="dxa"/>
            <w:vAlign w:val="bottom"/>
            <w:gridSpan w:val="4"/>
          </w:tcPr>
          <w:p>
            <w:pPr>
              <w:jc w:val="right"/>
              <w:ind w:right="3880"/>
              <w:spacing w:after="0"/>
              <w:rPr>
                <w:sz w:val="20"/>
                <w:szCs w:val="20"/>
                <w:color w:val="auto"/>
              </w:rPr>
            </w:pPr>
            <w:r>
              <w:rPr>
                <w:rFonts w:ascii="Arial" w:cs="Arial" w:eastAsia="Arial" w:hAnsi="Arial"/>
                <w:sz w:val="18"/>
                <w:szCs w:val="18"/>
                <w:b w:val="1"/>
                <w:bCs w:val="1"/>
                <w:color w:val="auto"/>
              </w:rPr>
              <w:t>SCHEDULE II</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40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Number of</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Number of</w:t>
            </w:r>
          </w:p>
        </w:tc>
      </w:tr>
      <w:tr>
        <w:trPr>
          <w:trHeight w:val="237"/>
        </w:trPr>
        <w:tc>
          <w:tcPr>
            <w:tcW w:w="4080" w:type="dxa"/>
            <w:vAlign w:val="bottom"/>
          </w:tcPr>
          <w:p>
            <w:pPr>
              <w:spacing w:after="0"/>
              <w:rPr>
                <w:sz w:val="20"/>
                <w:szCs w:val="20"/>
                <w:color w:val="auto"/>
              </w:rPr>
            </w:pPr>
            <w:r>
              <w:rPr>
                <w:rFonts w:ascii="Arial" w:cs="Arial" w:eastAsia="Arial" w:hAnsi="Arial"/>
                <w:sz w:val="18"/>
                <w:szCs w:val="18"/>
                <w:color w:val="auto"/>
              </w:rPr>
              <w:t>Name and Address of Selling Shareholder</w:t>
            </w:r>
          </w:p>
        </w:tc>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Firm Shares</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Option Shares</w:t>
            </w:r>
          </w:p>
        </w:tc>
      </w:tr>
      <w:tr>
        <w:trPr>
          <w:trHeight w:val="216"/>
        </w:trPr>
        <w:tc>
          <w:tcPr>
            <w:tcW w:w="4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Fortissimo Capital Fund II (Israel), L.P..</w:t>
            </w:r>
          </w:p>
        </w:tc>
        <w:tc>
          <w:tcPr>
            <w:tcW w:w="4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4,250,000</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637,500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4"/>
        </w:trPr>
        <w:tc>
          <w:tcPr>
            <w:tcW w:w="4080" w:type="dxa"/>
            <w:vAlign w:val="bottom"/>
          </w:tcPr>
          <w:p>
            <w:pPr>
              <w:spacing w:after="0"/>
              <w:rPr>
                <w:sz w:val="20"/>
                <w:szCs w:val="20"/>
                <w:color w:val="auto"/>
              </w:rPr>
            </w:pPr>
            <w:r>
              <w:rPr>
                <w:rFonts w:ascii="Arial" w:cs="Arial" w:eastAsia="Arial" w:hAnsi="Arial"/>
                <w:sz w:val="18"/>
                <w:szCs w:val="18"/>
                <w:color w:val="auto"/>
              </w:rPr>
              <w:t>Total</w:t>
            </w:r>
          </w:p>
        </w:tc>
        <w:tc>
          <w:tcPr>
            <w:tcW w:w="6100" w:type="dxa"/>
            <w:vAlign w:val="bottom"/>
            <w:gridSpan w:val="4"/>
          </w:tcPr>
          <w:p>
            <w:pPr>
              <w:jc w:val="right"/>
              <w:ind w:right="220"/>
              <w:spacing w:after="0"/>
              <w:rPr>
                <w:sz w:val="20"/>
                <w:szCs w:val="20"/>
                <w:color w:val="auto"/>
              </w:rPr>
            </w:pPr>
            <w:r>
              <w:rPr>
                <w:rFonts w:ascii="Arial" w:cs="Arial" w:eastAsia="Arial" w:hAnsi="Arial"/>
                <w:sz w:val="18"/>
                <w:szCs w:val="18"/>
                <w:color w:val="auto"/>
              </w:rPr>
              <w:t>4,250,000</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637,500</w:t>
            </w:r>
          </w:p>
        </w:tc>
        <w:tc>
          <w:tcPr>
            <w:tcW w:w="80" w:type="dxa"/>
            <w:vAlign w:val="bottom"/>
          </w:tcPr>
          <w:p>
            <w:pPr>
              <w:spacing w:after="0"/>
              <w:rPr>
                <w:sz w:val="22"/>
                <w:szCs w:val="22"/>
                <w:color w:val="auto"/>
              </w:rPr>
            </w:pPr>
          </w:p>
        </w:tc>
      </w:tr>
      <w:tr>
        <w:trPr>
          <w:trHeight w:val="21"/>
        </w:trPr>
        <w:tc>
          <w:tcPr>
            <w:tcW w:w="4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82"/>
        </w:trPr>
        <w:tc>
          <w:tcPr>
            <w:tcW w:w="408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48" w:name="page49"/>
    <w:bookmarkEnd w:id="48"/>
    <w:p>
      <w:pPr>
        <w:jc w:val="center"/>
        <w:ind w:right="-1220"/>
        <w:spacing w:after="0"/>
        <w:rPr>
          <w:sz w:val="20"/>
          <w:szCs w:val="20"/>
          <w:color w:val="auto"/>
        </w:rPr>
      </w:pPr>
      <w:r>
        <w:rPr>
          <w:rFonts w:ascii="Arial" w:cs="Arial" w:eastAsia="Arial" w:hAnsi="Arial"/>
          <w:sz w:val="18"/>
          <w:szCs w:val="18"/>
          <w:b w:val="1"/>
          <w:bCs w:val="1"/>
          <w:color w:val="auto"/>
        </w:rPr>
        <w:t>SCHEDULE III</w:t>
      </w:r>
    </w:p>
    <w:p>
      <w:pPr>
        <w:spacing w:after="0" w:line="229"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PERSONS DELIVERING LOCK-UP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Directors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Yuval Cohen, Eli Blatt, Lauri Hanover, Marc Lesnick, Alon Lumbroso, Jerry Mandel, Dov Ofer, Ofer Ben-Zur.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Gabi Seligsohn, Guy Avidan, Nuriel Amir, Gilad Yron, Ofer Sandelson, Guy Zimmerman.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Fortissimo Capital Fund II (Israel),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905" w:right="1440" w:bottom="1440" w:gutter="0" w:footer="0" w:header="0"/>
        </w:sectPr>
      </w:pPr>
    </w:p>
    <w:bookmarkStart w:id="49" w:name="page50"/>
    <w:bookmarkEnd w:id="49"/>
    <w:p>
      <w:pPr>
        <w:jc w:val="center"/>
        <w:ind w:right="-1220"/>
        <w:spacing w:after="0"/>
        <w:rPr>
          <w:sz w:val="20"/>
          <w:szCs w:val="20"/>
          <w:color w:val="auto"/>
        </w:rPr>
      </w:pPr>
      <w:r>
        <w:rPr>
          <w:rFonts w:ascii="Arial" w:cs="Arial" w:eastAsia="Arial" w:hAnsi="Arial"/>
          <w:sz w:val="18"/>
          <w:szCs w:val="18"/>
          <w:b w:val="1"/>
          <w:bCs w:val="1"/>
          <w:color w:val="auto"/>
        </w:rPr>
        <w:t>SCHEDULE IV</w:t>
      </w:r>
    </w:p>
    <w:p>
      <w:pPr>
        <w:spacing w:after="0" w:line="229" w:lineRule="exact"/>
        <w:rPr>
          <w:sz w:val="20"/>
          <w:szCs w:val="20"/>
          <w:color w:val="auto"/>
        </w:rPr>
      </w:pPr>
    </w:p>
    <w:p>
      <w:pPr>
        <w:jc w:val="right"/>
        <w:ind w:right="2979"/>
        <w:spacing w:after="0"/>
        <w:rPr>
          <w:sz w:val="20"/>
          <w:szCs w:val="20"/>
          <w:color w:val="auto"/>
        </w:rPr>
      </w:pPr>
      <w:r>
        <w:rPr>
          <w:rFonts w:ascii="Arial" w:cs="Arial" w:eastAsia="Arial" w:hAnsi="Arial"/>
          <w:sz w:val="18"/>
          <w:szCs w:val="18"/>
          <w:color w:val="auto"/>
        </w:rPr>
        <w:t>CONVEYED PRICING INFORMATION</w:t>
      </w:r>
    </w:p>
    <w:p>
      <w:pPr>
        <w:spacing w:after="0" w:line="225"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Public offering price: $20.60</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Number of Firm Shares offered by the Selling Shareholder: 4,250,000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50" w:name="page51"/>
    <w:bookmarkEnd w:id="50"/>
    <w:p>
      <w:pPr>
        <w:jc w:val="center"/>
        <w:ind w:right="-1200"/>
        <w:spacing w:after="0"/>
        <w:rPr>
          <w:sz w:val="20"/>
          <w:szCs w:val="20"/>
          <w:color w:val="auto"/>
        </w:rPr>
      </w:pPr>
      <w:r>
        <w:rPr>
          <w:rFonts w:ascii="Arial" w:cs="Arial" w:eastAsia="Arial" w:hAnsi="Arial"/>
          <w:sz w:val="18"/>
          <w:szCs w:val="18"/>
          <w:b w:val="1"/>
          <w:bCs w:val="1"/>
          <w:color w:val="auto"/>
        </w:rPr>
        <w:t>SCHEDULE V</w:t>
      </w:r>
    </w:p>
    <w:p>
      <w:pPr>
        <w:spacing w:after="0" w:line="229" w:lineRule="exact"/>
        <w:rPr>
          <w:sz w:val="20"/>
          <w:szCs w:val="20"/>
          <w:color w:val="auto"/>
        </w:rPr>
      </w:pPr>
    </w:p>
    <w:p>
      <w:pPr>
        <w:jc w:val="right"/>
        <w:ind w:right="1699"/>
        <w:spacing w:after="0"/>
        <w:rPr>
          <w:sz w:val="20"/>
          <w:szCs w:val="20"/>
          <w:color w:val="auto"/>
        </w:rPr>
      </w:pPr>
      <w:r>
        <w:rPr>
          <w:rFonts w:ascii="Arial" w:cs="Arial" w:eastAsia="Arial" w:hAnsi="Arial"/>
          <w:sz w:val="18"/>
          <w:szCs w:val="18"/>
          <w:color w:val="auto"/>
        </w:rPr>
        <w:t>ISSUER FREE WRITING PROSPECTUSES – ROAD SHOW MATERIALS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905" w:right="1440" w:bottom="1440" w:gutter="0" w:footer="0" w:header="0"/>
        </w:sectPr>
      </w:pPr>
    </w:p>
    <w:bookmarkStart w:id="51" w:name="page52"/>
    <w:bookmarkEnd w:id="51"/>
    <w:p>
      <w:pPr>
        <w:jc w:val="center"/>
        <w:ind w:right="-1200"/>
        <w:spacing w:after="0"/>
        <w:rPr>
          <w:sz w:val="20"/>
          <w:szCs w:val="20"/>
          <w:color w:val="auto"/>
        </w:rPr>
      </w:pPr>
      <w:r>
        <w:rPr>
          <w:rFonts w:ascii="Arial" w:cs="Arial" w:eastAsia="Arial" w:hAnsi="Arial"/>
          <w:sz w:val="18"/>
          <w:szCs w:val="18"/>
          <w:b w:val="1"/>
          <w:bCs w:val="1"/>
          <w:color w:val="auto"/>
        </w:rPr>
        <w:t>SCHEDULE VI</w:t>
      </w:r>
    </w:p>
    <w:p>
      <w:pPr>
        <w:spacing w:after="0" w:line="229" w:lineRule="exact"/>
        <w:rPr>
          <w:sz w:val="20"/>
          <w:szCs w:val="20"/>
          <w:color w:val="auto"/>
        </w:rPr>
      </w:pPr>
    </w:p>
    <w:p>
      <w:pPr>
        <w:jc w:val="right"/>
        <w:ind w:right="2959"/>
        <w:spacing w:after="0"/>
        <w:rPr>
          <w:sz w:val="20"/>
          <w:szCs w:val="20"/>
          <w:color w:val="auto"/>
        </w:rPr>
      </w:pPr>
      <w:r>
        <w:rPr>
          <w:rFonts w:ascii="Arial" w:cs="Arial" w:eastAsia="Arial" w:hAnsi="Arial"/>
          <w:sz w:val="18"/>
          <w:szCs w:val="18"/>
          <w:color w:val="auto"/>
        </w:rPr>
        <w:t>ISSUER FREE WRITING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LOCK-UP LETTER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undersigned understands that you and certain other firms (the “</w:t>
      </w:r>
      <w:r>
        <w:rPr>
          <w:rFonts w:ascii="Arial" w:cs="Arial" w:eastAsia="Arial" w:hAnsi="Arial"/>
          <w:sz w:val="18"/>
          <w:szCs w:val="18"/>
          <w:b w:val="1"/>
          <w:bCs w:val="1"/>
          <w:color w:val="auto"/>
        </w:rPr>
        <w:t>Underwriters</w:t>
      </w:r>
      <w:r>
        <w:rPr>
          <w:rFonts w:ascii="Arial" w:cs="Arial" w:eastAsia="Arial" w:hAnsi="Arial"/>
          <w:sz w:val="18"/>
          <w:szCs w:val="18"/>
          <w:color w:val="auto"/>
        </w:rPr>
        <w:t>”) propose to enter into an Underwriting Agreement (the “</w:t>
      </w:r>
      <w:r>
        <w:rPr>
          <w:rFonts w:ascii="Arial" w:cs="Arial" w:eastAsia="Arial" w:hAnsi="Arial"/>
          <w:sz w:val="18"/>
          <w:szCs w:val="18"/>
          <w:b w:val="1"/>
          <w:bCs w:val="1"/>
          <w:color w:val="auto"/>
        </w:rPr>
        <w:t>Underwriting Agreement</w:t>
      </w:r>
      <w:r>
        <w:rPr>
          <w:rFonts w:ascii="Arial" w:cs="Arial" w:eastAsia="Arial" w:hAnsi="Arial"/>
          <w:sz w:val="18"/>
          <w:szCs w:val="18"/>
          <w:color w:val="auto"/>
        </w:rPr>
        <w:t>”) providing for the purchase by the Underwriters of ordinary shares (the “</w:t>
      </w:r>
      <w:r>
        <w:rPr>
          <w:rFonts w:ascii="Arial" w:cs="Arial" w:eastAsia="Arial" w:hAnsi="Arial"/>
          <w:sz w:val="18"/>
          <w:szCs w:val="18"/>
          <w:b w:val="1"/>
          <w:bCs w:val="1"/>
          <w:color w:val="auto"/>
        </w:rPr>
        <w:t>Shares</w:t>
      </w:r>
      <w:r>
        <w:rPr>
          <w:rFonts w:ascii="Arial" w:cs="Arial" w:eastAsia="Arial" w:hAnsi="Arial"/>
          <w:sz w:val="18"/>
          <w:szCs w:val="18"/>
          <w:color w:val="auto"/>
        </w:rPr>
        <w:t>”), par value NIS 0.01 per share (the “</w:t>
      </w:r>
      <w:r>
        <w:rPr>
          <w:rFonts w:ascii="Arial" w:cs="Arial" w:eastAsia="Arial" w:hAnsi="Arial"/>
          <w:sz w:val="18"/>
          <w:szCs w:val="18"/>
          <w:b w:val="1"/>
          <w:bCs w:val="1"/>
          <w:color w:val="auto"/>
        </w:rPr>
        <w:t>Ordinary</w:t>
      </w:r>
      <w:r>
        <w:rPr>
          <w:rFonts w:ascii="Arial" w:cs="Arial" w:eastAsia="Arial" w:hAnsi="Arial"/>
          <w:sz w:val="18"/>
          <w:szCs w:val="18"/>
          <w:color w:val="auto"/>
        </w:rPr>
        <w:t xml:space="preserve"> </w:t>
      </w:r>
      <w:r>
        <w:rPr>
          <w:rFonts w:ascii="Arial" w:cs="Arial" w:eastAsia="Arial" w:hAnsi="Arial"/>
          <w:sz w:val="18"/>
          <w:szCs w:val="18"/>
          <w:b w:val="1"/>
          <w:bCs w:val="1"/>
          <w:color w:val="auto"/>
        </w:rPr>
        <w:t>Shares</w:t>
      </w:r>
      <w:r>
        <w:rPr>
          <w:rFonts w:ascii="Arial" w:cs="Arial" w:eastAsia="Arial" w:hAnsi="Arial"/>
          <w:sz w:val="18"/>
          <w:szCs w:val="18"/>
          <w:color w:val="auto"/>
        </w:rPr>
        <w:t>”), of Kornit Digital Ltd., a company incorporated under the laws of the Stale of Israel (the “</w:t>
      </w:r>
      <w:r>
        <w:rPr>
          <w:rFonts w:ascii="Arial" w:cs="Arial" w:eastAsia="Arial" w:hAnsi="Arial"/>
          <w:sz w:val="18"/>
          <w:szCs w:val="18"/>
          <w:b w:val="1"/>
          <w:bCs w:val="1"/>
          <w:color w:val="auto"/>
        </w:rPr>
        <w:t>Company</w:t>
      </w:r>
      <w:r>
        <w:rPr>
          <w:rFonts w:ascii="Arial" w:cs="Arial" w:eastAsia="Arial" w:hAnsi="Arial"/>
          <w:sz w:val="18"/>
          <w:szCs w:val="18"/>
          <w:color w:val="auto"/>
        </w:rPr>
        <w:t>”), and that the Underwriters propose to reoffer</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Shares to the public (the “</w:t>
      </w:r>
      <w:r>
        <w:rPr>
          <w:rFonts w:ascii="Arial" w:cs="Arial" w:eastAsia="Arial" w:hAnsi="Arial"/>
          <w:sz w:val="18"/>
          <w:szCs w:val="18"/>
          <w:b w:val="1"/>
          <w:bCs w:val="1"/>
          <w:color w:val="auto"/>
        </w:rPr>
        <w:t>Offering</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In consideration of the execution of the Underwriting Agreement by the Underwriters, and for other good and valuable consideration, the undersigned hereby irrevocably agrees that, without the prior written consent of Barclays Capital Inc. and Citigroup Global Markets Inc., on behalf of the Underwriters or except as contemplated by the Underwriting Agreement, the undersigned will not, directly or indirectly, (1) offer for sale, sell, pledge, or otherwise dispose of (or enter into any transaction or device that is designed to, or could be expected to, result in the disposition by any person at any time in the future of) any Ordinary Shares (including, without limitation, Ordinary Shares that may be deemed to be beneficially owned by the undersigned in accordance with the rules and regulations of the Securities and Exchange Commission and Ordinary Shares that may be issued upon exercise of any options or warrants) or securities convertible into or exercisable or exchangeable for Ordinary Shares (“</w:t>
      </w:r>
      <w:r>
        <w:rPr>
          <w:rFonts w:ascii="Arial" w:cs="Arial" w:eastAsia="Arial" w:hAnsi="Arial"/>
          <w:sz w:val="16"/>
          <w:szCs w:val="16"/>
          <w:b w:val="1"/>
          <w:bCs w:val="1"/>
          <w:color w:val="auto"/>
        </w:rPr>
        <w:t>Lock-Up Securities</w:t>
      </w:r>
      <w:r>
        <w:rPr>
          <w:rFonts w:ascii="Arial" w:cs="Arial" w:eastAsia="Arial" w:hAnsi="Arial"/>
          <w:sz w:val="16"/>
          <w:szCs w:val="16"/>
          <w:color w:val="auto"/>
        </w:rPr>
        <w:t>”), (2) enter into any swap or other derivatives transaction that transfers to another, in whole or in. part, any of the economic benefits or risks of ownership of Lock-Up Securities, whether any such transaction described in clause (1) or (2) above is to be settled by delivery of Ordinary Shares or other securities, in cash or otherwise, (3) make any demand for or exercise any right or cause to be filed a registration statement, including any amendments thereto, with respect to the registration of any Lock-</w:t>
      </w:r>
    </w:p>
    <w:p>
      <w:pPr>
        <w:spacing w:after="0" w:line="6"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auto"/>
        </w:rPr>
        <w:t>Up Securities, or (4) publicly disclose the intention to do any of the foregoing for a period commencing on the date hereof and ending on the 60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after the date of the Prospectus relating to the Offering (such 60-day period, the “</w:t>
      </w:r>
      <w:r>
        <w:rPr>
          <w:rFonts w:ascii="Arial" w:cs="Arial" w:eastAsia="Arial" w:hAnsi="Arial"/>
          <w:sz w:val="18"/>
          <w:szCs w:val="18"/>
          <w:b w:val="1"/>
          <w:bCs w:val="1"/>
          <w:color w:val="auto"/>
        </w:rPr>
        <w:t>Lock-Up Period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3" w:name="page54"/>
    <w:bookmarkEnd w:id="53"/>
    <w:p>
      <w:pPr>
        <w:ind w:left="640"/>
        <w:spacing w:after="0"/>
        <w:rPr>
          <w:sz w:val="20"/>
          <w:szCs w:val="20"/>
          <w:color w:val="auto"/>
        </w:rPr>
      </w:pPr>
      <w:r>
        <w:rPr>
          <w:rFonts w:ascii="Arial" w:cs="Arial" w:eastAsia="Arial" w:hAnsi="Arial"/>
          <w:sz w:val="18"/>
          <w:szCs w:val="18"/>
          <w:color w:val="auto"/>
        </w:rPr>
        <w:t>The foregoing paragraph shall not apply to:</w:t>
      </w:r>
    </w:p>
    <w:p>
      <w:pPr>
        <w:spacing w:after="0" w:line="225" w:lineRule="exact"/>
        <w:rPr>
          <w:sz w:val="20"/>
          <w:szCs w:val="20"/>
          <w:color w:val="auto"/>
        </w:rPr>
      </w:pPr>
    </w:p>
    <w:p>
      <w:pPr>
        <w:ind w:left="1160" w:hanging="524"/>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transactions relating to Ordinary Shares or other securities acquired in the open market after the completion of the Offering,</w:t>
      </w:r>
    </w:p>
    <w:p>
      <w:pPr>
        <w:spacing w:after="0" w:line="221" w:lineRule="exact"/>
        <w:rPr>
          <w:rFonts w:ascii="Arial" w:cs="Arial" w:eastAsia="Arial" w:hAnsi="Arial"/>
          <w:sz w:val="18"/>
          <w:szCs w:val="18"/>
          <w:color w:val="auto"/>
        </w:rPr>
      </w:pPr>
    </w:p>
    <w:p>
      <w:pPr>
        <w:ind w:left="1160" w:hanging="524"/>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bona fide gifts (of “</w:t>
      </w:r>
      <w:r>
        <w:rPr>
          <w:rFonts w:ascii="Arial" w:cs="Arial" w:eastAsia="Arial" w:hAnsi="Arial"/>
          <w:sz w:val="18"/>
          <w:szCs w:val="18"/>
          <w:b w:val="1"/>
          <w:bCs w:val="1"/>
          <w:color w:val="auto"/>
        </w:rPr>
        <w:t>Lock-Up Securities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20" w:right="20" w:firstLine="656"/>
        <w:spacing w:after="0" w:line="259" w:lineRule="auto"/>
        <w:tabs>
          <w:tab w:leader="none" w:pos="1143" w:val="left"/>
        </w:tabs>
        <w:numPr>
          <w:ilvl w:val="0"/>
          <w:numId w:val="53"/>
        </w:numPr>
        <w:rPr>
          <w:rFonts w:ascii="Arial" w:cs="Arial" w:eastAsia="Arial" w:hAnsi="Arial"/>
          <w:sz w:val="18"/>
          <w:szCs w:val="18"/>
          <w:color w:val="auto"/>
        </w:rPr>
      </w:pPr>
      <w:r>
        <w:rPr>
          <w:rFonts w:ascii="Arial" w:cs="Arial" w:eastAsia="Arial" w:hAnsi="Arial"/>
          <w:sz w:val="18"/>
          <w:szCs w:val="18"/>
          <w:color w:val="auto"/>
        </w:rPr>
        <w:t>transfers of Lock-Up Securities that are made exclusively between and among the undersigned or members of the undersigned’s family or any trust, or similar entity, controlled by such family member or members, for the direct or indirect benefit of the undersigned or the family member or members of the undersigned, or affiliates of the undersigned, or to any investment fund or other entity controlled or managed by, or under the common control or management with, the undersigned,</w:t>
      </w:r>
    </w:p>
    <w:p>
      <w:pPr>
        <w:spacing w:after="0" w:line="186" w:lineRule="exact"/>
        <w:rPr>
          <w:rFonts w:ascii="Arial" w:cs="Arial" w:eastAsia="Arial" w:hAnsi="Arial"/>
          <w:sz w:val="18"/>
          <w:szCs w:val="18"/>
          <w:color w:val="auto"/>
        </w:rPr>
      </w:pPr>
    </w:p>
    <w:p>
      <w:pPr>
        <w:ind w:left="-20" w:firstLine="656"/>
        <w:spacing w:after="0" w:line="277" w:lineRule="auto"/>
        <w:tabs>
          <w:tab w:leader="none" w:pos="1211" w:val="left"/>
        </w:tabs>
        <w:numPr>
          <w:ilvl w:val="0"/>
          <w:numId w:val="53"/>
        </w:numPr>
        <w:rPr>
          <w:rFonts w:ascii="Arial" w:cs="Arial" w:eastAsia="Arial" w:hAnsi="Arial"/>
          <w:sz w:val="18"/>
          <w:szCs w:val="18"/>
          <w:color w:val="auto"/>
        </w:rPr>
      </w:pPr>
      <w:r>
        <w:rPr>
          <w:rFonts w:ascii="Arial" w:cs="Arial" w:eastAsia="Arial" w:hAnsi="Arial"/>
          <w:sz w:val="18"/>
          <w:szCs w:val="18"/>
          <w:color w:val="auto"/>
        </w:rPr>
        <w:t>transfers of Lock-Up Securities to the undersigned’s limited or general partners (if a partnership), members (if a limited liability company), beneficiaries (if a trust) or shareholders (if a corporation),</w:t>
      </w:r>
    </w:p>
    <w:p>
      <w:pPr>
        <w:spacing w:after="0" w:line="170" w:lineRule="exact"/>
        <w:rPr>
          <w:rFonts w:ascii="Arial" w:cs="Arial" w:eastAsia="Arial" w:hAnsi="Arial"/>
          <w:sz w:val="18"/>
          <w:szCs w:val="18"/>
          <w:color w:val="auto"/>
        </w:rPr>
      </w:pPr>
    </w:p>
    <w:p>
      <w:pPr>
        <w:ind w:left="1160" w:hanging="524"/>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transfer of Lock-Up Securities by will or by intestacy,</w:t>
      </w:r>
    </w:p>
    <w:p>
      <w:pPr>
        <w:spacing w:after="0" w:line="225" w:lineRule="exact"/>
        <w:rPr>
          <w:rFonts w:ascii="Arial" w:cs="Arial" w:eastAsia="Arial" w:hAnsi="Arial"/>
          <w:sz w:val="18"/>
          <w:szCs w:val="18"/>
          <w:color w:val="auto"/>
        </w:rPr>
      </w:pPr>
    </w:p>
    <w:p>
      <w:pPr>
        <w:ind w:left="-20" w:firstLine="656"/>
        <w:spacing w:after="0" w:line="308" w:lineRule="auto"/>
        <w:tabs>
          <w:tab w:leader="none" w:pos="1207" w:val="left"/>
        </w:tabs>
        <w:numPr>
          <w:ilvl w:val="0"/>
          <w:numId w:val="53"/>
        </w:numPr>
        <w:rPr>
          <w:rFonts w:ascii="Arial" w:cs="Arial" w:eastAsia="Arial" w:hAnsi="Arial"/>
          <w:sz w:val="17"/>
          <w:szCs w:val="17"/>
          <w:color w:val="auto"/>
        </w:rPr>
      </w:pPr>
      <w:r>
        <w:rPr>
          <w:rFonts w:ascii="Arial" w:cs="Arial" w:eastAsia="Arial" w:hAnsi="Arial"/>
          <w:sz w:val="17"/>
          <w:szCs w:val="17"/>
          <w:color w:val="auto"/>
        </w:rPr>
        <w:t xml:space="preserve">the cash exercise of warrants or the exercise of stock options granted pursuant to the Company’s stock option/incentive plans or otherwise outstanding on the date hereof; </w:t>
      </w:r>
      <w:r>
        <w:rPr>
          <w:rFonts w:ascii="Arial" w:cs="Arial" w:eastAsia="Arial" w:hAnsi="Arial"/>
          <w:sz w:val="17"/>
          <w:szCs w:val="17"/>
          <w:u w:val="single" w:color="auto"/>
          <w:color w:val="auto"/>
        </w:rPr>
        <w:t>provided</w:t>
      </w:r>
      <w:r>
        <w:rPr>
          <w:rFonts w:ascii="Arial" w:cs="Arial" w:eastAsia="Arial" w:hAnsi="Arial"/>
          <w:sz w:val="17"/>
          <w:szCs w:val="17"/>
          <w:color w:val="auto"/>
        </w:rPr>
        <w:t>, that the restrictions shall apply to Ordinary Shares issued upon such exercise or conversion,</w:t>
      </w:r>
    </w:p>
    <w:p>
      <w:pPr>
        <w:spacing w:after="0" w:line="142" w:lineRule="exact"/>
        <w:rPr>
          <w:rFonts w:ascii="Arial" w:cs="Arial" w:eastAsia="Arial" w:hAnsi="Arial"/>
          <w:sz w:val="17"/>
          <w:szCs w:val="17"/>
          <w:color w:val="auto"/>
        </w:rPr>
      </w:pPr>
    </w:p>
    <w:p>
      <w:pPr>
        <w:jc w:val="both"/>
        <w:ind w:left="-20" w:firstLine="656"/>
        <w:spacing w:after="0" w:line="256" w:lineRule="auto"/>
        <w:tabs>
          <w:tab w:leader="none" w:pos="121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establishment of any contract, instruction or plan that satisfies all of the requirements of Rule 10b5-1 (a “</w:t>
      </w:r>
      <w:r>
        <w:rPr>
          <w:rFonts w:ascii="Arial" w:cs="Arial" w:eastAsia="Arial" w:hAnsi="Arial"/>
          <w:sz w:val="18"/>
          <w:szCs w:val="18"/>
          <w:b w:val="1"/>
          <w:bCs w:val="1"/>
          <w:color w:val="auto"/>
        </w:rPr>
        <w:t>Rule 10b5-l Plan</w:t>
      </w:r>
      <w:r>
        <w:rPr>
          <w:rFonts w:ascii="Arial" w:cs="Arial" w:eastAsia="Arial" w:hAnsi="Arial"/>
          <w:sz w:val="18"/>
          <w:szCs w:val="18"/>
          <w:color w:val="auto"/>
        </w:rPr>
        <w:t>”) under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 sales of Ordinary Shares or securities convertible into, or exchangeable or exercisable for, Ordinary Shares, shall be made pursuant to a Rule 10b5-1 Plan prior to the expiration of the Lock-Up Period (as the same may be extended pursuant to the provisions hereof);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the Company is not required to report the establishment of such Rule 10b5-1 Plan in any public report or filing with the Commission under the Exchange Act during the Lock-Up Period and does not otherwise voluntarily effect any such public filing or report regarding such Rule 10b5-1 Plan,</w:t>
      </w:r>
    </w:p>
    <w:p>
      <w:pPr>
        <w:spacing w:after="0" w:line="191" w:lineRule="exact"/>
        <w:rPr>
          <w:rFonts w:ascii="Arial" w:cs="Arial" w:eastAsia="Arial" w:hAnsi="Arial"/>
          <w:sz w:val="18"/>
          <w:szCs w:val="18"/>
          <w:color w:val="auto"/>
        </w:rPr>
      </w:pPr>
    </w:p>
    <w:p>
      <w:pPr>
        <w:jc w:val="both"/>
        <w:ind w:left="-20" w:firstLine="656"/>
        <w:spacing w:after="0" w:line="259" w:lineRule="auto"/>
        <w:tabs>
          <w:tab w:leader="none" w:pos="1213"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demands or requests for, exercise any right with respect to, or take any action in preparation of, the registration by the Company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of the undersigned’s Lock-Up Securities, provided that no transfer of the undersigned’s Lock-Up Securities registered pursuant to the exercise of any such right and no registration statement shall be filed under the Securities Act with respect to any of the undersigned’s Lock-Up Securities during the Lock-Up Period,</w:t>
      </w:r>
    </w:p>
    <w:p>
      <w:pPr>
        <w:spacing w:after="0" w:line="186" w:lineRule="exact"/>
        <w:rPr>
          <w:rFonts w:ascii="Arial" w:cs="Arial" w:eastAsia="Arial" w:hAnsi="Arial"/>
          <w:sz w:val="18"/>
          <w:szCs w:val="18"/>
          <w:color w:val="auto"/>
        </w:rPr>
      </w:pPr>
    </w:p>
    <w:p>
      <w:pPr>
        <w:jc w:val="both"/>
        <w:ind w:left="-20" w:firstLine="656"/>
        <w:spacing w:after="0" w:line="259" w:lineRule="auto"/>
        <w:tabs>
          <w:tab w:leader="none" w:pos="1146"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dispositions of Lock-Up Securities pursuant to a bona fide third-party tender offer, merger, consolidation or other similar transaction made to all holders of the Company’s Ordinary Shares involving a change of control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that in the event that such tender offer, merger, consolidation or other such transaction is not completed, the Lock-Up Securities held by the undersigned shall remain subject to the provisions of this Lock-Up Letter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54" w:name="page55"/>
    <w:bookmarkEnd w:id="54"/>
    <w:p>
      <w:pPr>
        <w:jc w:val="both"/>
        <w:spacing w:after="0" w:line="272"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it shall be a condition to any transfer pursuant to clauses (b) through (e) that the transferee or donee agrees to be bound by the terms of this Lock Up Letter Agreement (including, without limitation, the restrictions set forth in the preceding sentence) to the same extent as if the transferee/donee were a party hereto, and (ii) it shall be a condition to any transfer pursuant to clauses (b) through (e) that the undersigned notifies Barclays Capital Inc. and Citigroup Global Markets Inc. at least two business days prior to the proposed transfer or disposition;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in the case of clauses (a) through (d) and (f) through (h), each party (donor, donee, transferor or transferee) shall not be required by law (including without limitation the disclosure requirements of the Securities Act and the Exchange Act) to make, and shall agree to not voluntarily make, any filing or public announcement of the transfer or disposition prior to the expiration of the Lock-Up Period referred to above.</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furtherance of the foregoing, the Company and its transfer agent are hereby authorized to decline to make any transfer of securities if such transfer would constitute a violation or breach of this Lock-Up Letter Agreement.</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It is understood that the undersigned will be released from its obligations under this Lock-Up Letter Agreement if (i) the Company notifies the Underwriters that it does not intend to proceed with the Offering, (ii) the Underwriting Agreement does not become effective, (iii) the Underwriting Agreement (other than the provisions thereof which survive termination) shall terminate or be terminated prior to payment for and delivery of the Shares, or (iv) in the event that the Underwriting Agreement has not been executed, in each case on or prior to February 10, 2017.</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undersigned understands that the Company and the Underwriters will proceed with the Offering in reliance on this Lock-Up Letter Agreement.</w:t>
      </w:r>
    </w:p>
    <w:p>
      <w:pPr>
        <w:spacing w:after="0" w:line="2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Whether or not the Offering actually occurs depends on a number of factors, including market conditions. Any Offering will only be made pursuant to an Underwriting Agreement, the terms of which are subject to negotiation between the Company, the Selling Shareholder named therein and the Underwriters.</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undersigned hereby represents and warrants that the undersigned has full power and authority to enter into this Lock-Up Letter Agreement and that, upon request, the undersigned will execute and additional documents reasonably necessary in connection with the enforcement hereof. Any obligations of the undersigned shall be binding upon the heirs, personal representatives, successors and assigns of the undersigned.</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Lock-Up Letter Agreement and any claim, controversy or dispute arising under or related to this Lock-Up Letter Agreement shall be governed by and construed in accordance with the laws of the State of New York, without regard to the conflict of laws principles thereof.</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148590</wp:posOffset>
            </wp:positionV>
            <wp:extent cx="5866130" cy="12604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66130" cy="1260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18,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Kornit Digital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 Ha`Amal Street, Afek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Rosh-Ha`Ayin 4809246, Israel</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b w:val="1"/>
          <w:bCs w:val="1"/>
          <w:u w:val="single" w:color="auto"/>
          <w:color w:val="auto"/>
        </w:rPr>
        <w:t>Shelf Offering Via Rule 424(b)(5) Prospectus Supplement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We have acted as Israeli counsel for Kornit Digital Ltd., an Israeli company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the underwritten public offering contemplating (i) the sale by a shareholder of the Company (the “</w:t>
      </w:r>
      <w:r>
        <w:rPr>
          <w:rFonts w:ascii="Arial" w:cs="Arial" w:eastAsia="Arial" w:hAnsi="Arial"/>
          <w:sz w:val="17"/>
          <w:szCs w:val="17"/>
          <w:b w:val="1"/>
          <w:bCs w:val="1"/>
          <w:color w:val="auto"/>
        </w:rPr>
        <w:t>Selling Shareholder</w:t>
      </w:r>
      <w:r>
        <w:rPr>
          <w:rFonts w:ascii="Arial" w:cs="Arial" w:eastAsia="Arial" w:hAnsi="Arial"/>
          <w:sz w:val="17"/>
          <w:szCs w:val="17"/>
          <w:color w:val="auto"/>
        </w:rPr>
        <w:t>”) of 4,250,000 ordinary shares, par value NIS 0.01 per share (“</w:t>
      </w:r>
      <w:r>
        <w:rPr>
          <w:rFonts w:ascii="Arial" w:cs="Arial" w:eastAsia="Arial" w:hAnsi="Arial"/>
          <w:sz w:val="17"/>
          <w:szCs w:val="17"/>
          <w:b w:val="1"/>
          <w:bCs w:val="1"/>
          <w:color w:val="auto"/>
        </w:rPr>
        <w:t>Ordinary Shares</w:t>
      </w:r>
      <w:r>
        <w:rPr>
          <w:rFonts w:ascii="Arial" w:cs="Arial" w:eastAsia="Arial" w:hAnsi="Arial"/>
          <w:sz w:val="17"/>
          <w:szCs w:val="17"/>
          <w:color w:val="auto"/>
        </w:rPr>
        <w:t>”, and such Ordinary Shares, the “</w:t>
      </w:r>
      <w:r>
        <w:rPr>
          <w:rFonts w:ascii="Arial" w:cs="Arial" w:eastAsia="Arial" w:hAnsi="Arial"/>
          <w:sz w:val="17"/>
          <w:szCs w:val="17"/>
          <w:b w:val="1"/>
          <w:bCs w:val="1"/>
          <w:color w:val="auto"/>
        </w:rPr>
        <w:t>Initial Shares</w:t>
      </w:r>
      <w:r>
        <w:rPr>
          <w:rFonts w:ascii="Arial" w:cs="Arial" w:eastAsia="Arial" w:hAnsi="Arial"/>
          <w:sz w:val="17"/>
          <w:szCs w:val="17"/>
          <w:color w:val="auto"/>
        </w:rPr>
        <w:t>”) and (ii) the potential sale by the Selling Shareholder of up to an additional 637,500 Ordinary Shares (the “</w:t>
      </w:r>
      <w:r>
        <w:rPr>
          <w:rFonts w:ascii="Arial" w:cs="Arial" w:eastAsia="Arial" w:hAnsi="Arial"/>
          <w:sz w:val="17"/>
          <w:szCs w:val="17"/>
          <w:b w:val="1"/>
          <w:bCs w:val="1"/>
          <w:color w:val="auto"/>
        </w:rPr>
        <w:t>Additional Shares</w:t>
      </w:r>
      <w:r>
        <w:rPr>
          <w:rFonts w:ascii="Arial" w:cs="Arial" w:eastAsia="Arial" w:hAnsi="Arial"/>
          <w:sz w:val="17"/>
          <w:szCs w:val="17"/>
          <w:color w:val="auto"/>
        </w:rPr>
        <w:t>” and collectively with the Initial Shares, the “</w:t>
      </w:r>
      <w:r>
        <w:rPr>
          <w:rFonts w:ascii="Arial" w:cs="Arial" w:eastAsia="Arial" w:hAnsi="Arial"/>
          <w:sz w:val="17"/>
          <w:szCs w:val="17"/>
          <w:b w:val="1"/>
          <w:bCs w:val="1"/>
          <w:color w:val="auto"/>
        </w:rPr>
        <w:t>Shares</w:t>
      </w:r>
      <w:r>
        <w:rPr>
          <w:rFonts w:ascii="Arial" w:cs="Arial" w:eastAsia="Arial" w:hAnsi="Arial"/>
          <w:sz w:val="17"/>
          <w:szCs w:val="17"/>
          <w:color w:val="auto"/>
        </w:rPr>
        <w:t>”) which Additional Shares are subject to an option to purchase additional shares granted by the Selling Shareholder to the underwriters of the offering (the “</w:t>
      </w:r>
      <w:r>
        <w:rPr>
          <w:rFonts w:ascii="Arial" w:cs="Arial" w:eastAsia="Arial" w:hAnsi="Arial"/>
          <w:sz w:val="17"/>
          <w:szCs w:val="17"/>
          <w:b w:val="1"/>
          <w:bCs w:val="1"/>
          <w:color w:val="auto"/>
        </w:rPr>
        <w:t>Offering</w:t>
      </w:r>
      <w:r>
        <w:rPr>
          <w:rFonts w:ascii="Arial" w:cs="Arial" w:eastAsia="Arial" w:hAnsi="Arial"/>
          <w:sz w:val="17"/>
          <w:szCs w:val="17"/>
          <w:color w:val="auto"/>
        </w:rPr>
        <w:t>”).</w:t>
      </w:r>
    </w:p>
    <w:p>
      <w:pPr>
        <w:spacing w:after="0" w:line="16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The Offering is being effected pursuant to the registration statement on Form F-3 (File No. 333-215404)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filed by the Company with the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under the Securities Act of 1933 (the “</w:t>
      </w:r>
      <w:r>
        <w:rPr>
          <w:rFonts w:ascii="Arial" w:cs="Arial" w:eastAsia="Arial" w:hAnsi="Arial"/>
          <w:sz w:val="18"/>
          <w:szCs w:val="18"/>
          <w:b w:val="1"/>
          <w:bCs w:val="1"/>
          <w:color w:val="auto"/>
        </w:rPr>
        <w:t>Securities Act</w:t>
      </w:r>
      <w:r>
        <w:rPr>
          <w:rFonts w:ascii="Arial" w:cs="Arial" w:eastAsia="Arial" w:hAnsi="Arial"/>
          <w:sz w:val="18"/>
          <w:szCs w:val="18"/>
          <w:color w:val="auto"/>
        </w:rPr>
        <w:t>”) on January 3, 2017, including the prospectus contained therein, as supplemented by the preliminary prospectus supplement dated May 15, 2017 and the final prospectus supplement dated May 16, 2017, in each case as filed by the Company with the SEC pursuant to Rule 424(b)(4) under the Securities Act (collectively, the “</w:t>
      </w:r>
      <w:r>
        <w:rPr>
          <w:rFonts w:ascii="Arial" w:cs="Arial" w:eastAsia="Arial" w:hAnsi="Arial"/>
          <w:sz w:val="18"/>
          <w:szCs w:val="18"/>
          <w:b w:val="1"/>
          <w:bCs w:val="1"/>
          <w:color w:val="auto"/>
        </w:rPr>
        <w:t>Prospectus</w:t>
      </w:r>
      <w:r>
        <w:rPr>
          <w:rFonts w:ascii="Arial" w:cs="Arial" w:eastAsia="Arial" w:hAnsi="Arial"/>
          <w:sz w:val="18"/>
          <w:szCs w:val="18"/>
          <w:color w:val="auto"/>
        </w:rPr>
        <w:t xml:space="preserve"> </w:t>
      </w:r>
      <w:r>
        <w:rPr>
          <w:rFonts w:ascii="Arial" w:cs="Arial" w:eastAsia="Arial" w:hAnsi="Arial"/>
          <w:sz w:val="18"/>
          <w:szCs w:val="18"/>
          <w:b w:val="1"/>
          <w:bCs w:val="1"/>
          <w:color w:val="auto"/>
        </w:rPr>
        <w:t>Supplements</w:t>
      </w:r>
      <w:r>
        <w:rPr>
          <w:rFonts w:ascii="Arial" w:cs="Arial" w:eastAsia="Arial" w:hAnsi="Arial"/>
          <w:sz w:val="18"/>
          <w:szCs w:val="18"/>
          <w:color w:val="auto"/>
        </w:rPr>
        <w: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opinion letter is rendered pursuant to Item 9 of Form F-3 promulgated by the SEC and Items 601(b)(5) and (b)(23) of the SEC’s Regulation S-K promulgated under the Securities Act.</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connection herewith, we have examined the originals, or photocopies or copies, certified or otherwise identified to our satisfaction, of: (i) the Registration Statement; (ii) the Prospectus Supplements; (iii) the form of underwriting agreement, dated as of May 16, 2017, by and among the Company, Barclays Capital Inc. and Citigroup Global Markets Inc., and the selling shareholder named therein (the “</w:t>
      </w:r>
      <w:r>
        <w:rPr>
          <w:rFonts w:ascii="Arial" w:cs="Arial" w:eastAsia="Arial" w:hAnsi="Arial"/>
          <w:sz w:val="17"/>
          <w:szCs w:val="17"/>
          <w:b w:val="1"/>
          <w:bCs w:val="1"/>
          <w:color w:val="auto"/>
        </w:rPr>
        <w:t>Underwriting Agreement</w:t>
      </w:r>
      <w:r>
        <w:rPr>
          <w:rFonts w:ascii="Arial" w:cs="Arial" w:eastAsia="Arial" w:hAnsi="Arial"/>
          <w:sz w:val="17"/>
          <w:szCs w:val="17"/>
          <w:color w:val="auto"/>
        </w:rPr>
        <w:t>”); (iv) the articles of association of the Company, as amended and as currently in effect (the “</w:t>
      </w:r>
      <w:r>
        <w:rPr>
          <w:rFonts w:ascii="Arial" w:cs="Arial" w:eastAsia="Arial" w:hAnsi="Arial"/>
          <w:sz w:val="17"/>
          <w:szCs w:val="17"/>
          <w:b w:val="1"/>
          <w:bCs w:val="1"/>
          <w:color w:val="auto"/>
        </w:rPr>
        <w:t>Articles</w:t>
      </w:r>
      <w:r>
        <w:rPr>
          <w:rFonts w:ascii="Arial" w:cs="Arial" w:eastAsia="Arial" w:hAnsi="Arial"/>
          <w:sz w:val="17"/>
          <w:szCs w:val="17"/>
          <w:color w:val="auto"/>
        </w:rPr>
        <w:t>”); (v) resolutions of the board of directors of the Company (the “</w:t>
      </w:r>
      <w:r>
        <w:rPr>
          <w:rFonts w:ascii="Arial" w:cs="Arial" w:eastAsia="Arial" w:hAnsi="Arial"/>
          <w:sz w:val="17"/>
          <w:szCs w:val="17"/>
          <w:b w:val="1"/>
          <w:bCs w:val="1"/>
          <w:color w:val="auto"/>
        </w:rPr>
        <w:t>Board</w:t>
      </w:r>
      <w:r>
        <w:rPr>
          <w:rFonts w:ascii="Arial" w:cs="Arial" w:eastAsia="Arial" w:hAnsi="Arial"/>
          <w:sz w:val="17"/>
          <w:szCs w:val="17"/>
          <w:color w:val="auto"/>
        </w:rPr>
        <w:t>”) that relate to the Registration Statement, the Prospectus Supplements and the actions to be taken in connection with the Offering; and (vi) such other corporate records, agreements, documents and other instruments, and such certificates or comparable documents of public officials and of officers and representatives of the Company as we have deemed relevant and necessary as a basis for the opinions hereafter set forth. We have also made inquiries of such officers and representatives as we have deemed relevant and necessary as a basis for the opinions hereafter set forth.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6" w:name="page57"/>
    <w:bookmarkEnd w:id="56"/>
    <w:p>
      <w:pPr>
        <w:spacing w:after="0" w:line="2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1269365" cy="3003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1269365" cy="300355"/>
                    </a:xfrm>
                    <a:prstGeom prst="rect">
                      <a:avLst/>
                    </a:prstGeom>
                    <a:noFill/>
                  </pic:spPr>
                </pic:pic>
              </a:graphicData>
            </a:graphic>
          </wp:anchor>
        </w:drawing>
      </w:r>
    </w:p>
    <w:p>
      <w:pPr>
        <w:jc w:val="both"/>
        <w:ind w:firstLine="648"/>
        <w:spacing w:after="0" w:line="259" w:lineRule="auto"/>
        <w:rPr>
          <w:sz w:val="20"/>
          <w:szCs w:val="20"/>
          <w:color w:val="auto"/>
        </w:rPr>
      </w:pPr>
      <w:r>
        <w:rPr>
          <w:rFonts w:ascii="Arial" w:cs="Arial" w:eastAsia="Arial" w:hAnsi="Arial"/>
          <w:sz w:val="18"/>
          <w:szCs w:val="18"/>
          <w:color w:val="auto"/>
        </w:rPr>
        <w:t>In such examination, we have assumed the genuineness of all signatures, the legal capacity of all natural persons, the authenticity of all documents submitted to us as originals, the conformity to original documents of all documents submitted to us as certified, confirmed as photostatic copies and the authenticity of the originals of such latter documents. As to all questions of fact material to these opinions that have not been independently established, we have relied upon certificates or comparable documents of officers and representatives of the Company.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Based upon and subject to the foregoing, we are of the opinion that the Shares are duly authorized, validly issued, fully paid and non-assessable.</w:t>
      </w:r>
    </w:p>
    <w:p>
      <w:pPr>
        <w:spacing w:after="0" w:line="24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Members of our firm are admitted to the Bar in the State of Israel, and we do not express any opinion as to the laws of any other jurisdiction. This opinion is limited to the matters stated herein and no opinion is implied or may be inferred beyond the matters expressly stated.</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consent to the filing of this opinion as an exhibit to the Registration Statement (as an exhibit to a Report of Foreign Private Issuer on Form 6-K that is incorporated by reference into the Registration Statement) and to the reference to our firm appearing under the caption “Legal Matters” and “Enforceability of Civil Liabilities” in the prospectus forming part of the Registration Statement. In giving this consent, we do not thereby admit that we are within the category of persons whose consent is required under Section 7 of the Securities Act, the rules and regulations of the SEC promulgated thereunder or Item 509 of the SEC’s Regulation S-K promulgated under the Securities Act.</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This opinion letter is rendered as of the date hereof and we disclaim any obligation to advise you of facts, circumstances, events or developments that may be brought to our attention after the effective date of the Registration Statement that may alter, affect or modify the opinions expressed herein</w:t>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Meitar Liquornik Geva Leshem 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22"/>
          <w:szCs w:val="22"/>
          <w:b w:val="1"/>
          <w:bCs w:val="1"/>
          <w:color w:val="auto"/>
        </w:rPr>
        <w:t>Exhibit 99.1</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Kornit Announces Launch of Secondary Public Offering of Ordinary Shares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ROSH HA’AYIN, Israel, May 15, 2017 (GLOBE NEWSWIRE) – Kornit Digital Ltd. (NASDAQ: KRNT), a company that develops, designs and markets innovative digital printing solutions for the global printed textile industry, announced today the launch of an underwritten secondary public offering of 4,250,000 ordinary shares by the company’s largest shareholder, Fortissimo Capital Fund II (Israel) L.P. (“Fortissimo”). Fortissimo has also granted the underwriters a 30-day option to purchase up to an additional 637,500 ordinary shares. The company will not receive any of the proceeds from the sale of the ordinary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Barclays and Citigroup are acting as joint bookrunners for this offering.</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offering will be made only by means of a prospectus supplement and the accompanying prospectus. When available, a copy of the preliminary prospectus supplement relating to the offering and accompanying prospectus may be obtained from Barclays Capital Inc., c/o Broadridge Financial Solutions, 1155 Long Island Avenue, Edgewood, NY 11717, Telephone: 888 603-5847, or by emailing barclaysprospectus@broadridge.com; or Citigroup c/o Broadridge Financial Solutions, 1155 Long Island Avenue, Edgewood, NY 11717 (tel: 800-831-9146).</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offering of these securities is being made under an effective shelf registration statement on file with the U.S. Securities and Exchange Commission. The registration statement can be accessed through the SEC’s website at www.sec.gov. This press release shall not constitute an offer to sell or the solicitation of an offer to buy nor may there be any sale of these securities in any state or jurisdiction in which such an offer, solicitation or sale would be unlawful prior to registration or qualification under the securities laws of any such state or jurisdiction.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Kornit Digital</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Kornit Digital (NASDAQ: KRNT) develops, manufactures and markets industrial digital printing technologies for the garment, apparel and textile industries. Kornit delivers complete solutions, including digital printing systems, inks, consumables, software and after-sales support. Leading the digital direct-to-garment printing market with its exclusive eco-friendly NeoPigment printing process, Kornit caters directly to the changing needs of the textile printing value chain. Kornit’s technology enables innovative business models based on web-to-print, on-demand and mass customization concepts. With its immense experience in the direct-to-garment market, Kornit also offers a revolutionary approach to the roll-to-roll textile printing industry: digitally printing with a single ink set onto multiple types of fabric with no additional finishing processes. Founded in 2003, Kornit Digital is a global company, headquartered in Israel with offices in the USA, Europe and Asia Pacific, and serves customers in more than 100 countries worldwide.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Callahan, ICR</w:t>
      </w:r>
    </w:p>
    <w:p>
      <w:pPr>
        <w:spacing w:after="0" w:line="9" w:lineRule="exact"/>
        <w:rPr>
          <w:sz w:val="20"/>
          <w:szCs w:val="20"/>
          <w:color w:val="auto"/>
        </w:rPr>
      </w:pPr>
    </w:p>
    <w:p>
      <w:pPr>
        <w:ind w:right="9200" w:firstLine="8"/>
        <w:spacing w:after="0" w:line="323" w:lineRule="auto"/>
        <w:tabs>
          <w:tab w:leader="none" w:pos="435" w:val="left"/>
        </w:tabs>
        <w:numPr>
          <w:ilvl w:val="0"/>
          <w:numId w:val="54"/>
        </w:numPr>
        <w:rPr>
          <w:rFonts w:ascii="Arial" w:cs="Arial" w:eastAsia="Arial" w:hAnsi="Arial"/>
          <w:sz w:val="16"/>
          <w:szCs w:val="16"/>
          <w:color w:val="auto"/>
        </w:rPr>
      </w:pPr>
      <w:r>
        <w:rPr>
          <w:rFonts w:ascii="Arial" w:cs="Arial" w:eastAsia="Arial" w:hAnsi="Arial"/>
          <w:sz w:val="16"/>
          <w:szCs w:val="16"/>
          <w:color w:val="auto"/>
        </w:rPr>
        <w:t>682-8311 Michael.Callahan@icrinc.com</w:t>
      </w:r>
    </w:p>
    <w:p>
      <w:pPr>
        <w:sectPr>
          <w:pgSz w:w="11900" w:h="16838" w:orient="portrait"/>
          <w:cols w:equalWidth="0" w:num="1">
            <w:col w:w="11420"/>
          </w:cols>
          <w:pgMar w:left="240" w:top="112"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22"/>
          <w:szCs w:val="22"/>
          <w:b w:val="1"/>
          <w:bCs w:val="1"/>
          <w:color w:val="auto"/>
        </w:rPr>
        <w:t>Exhibit 99.2</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Kornit Announces Pricing of Secondary Public Offering of Ordinary Shares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ROSH HA’AYIN, Israel, May 16, 2017 (GLOBE NEWSWIRE) – Kornit Digital Ltd. (NASDAQ: KRNT), a company that develops, designs and markets innovative digital printing solutions for the global printed textile industry, announced today the pricing of an underwritten secondary public offering of 4,250,000 ordinary shares by the company’s largest shareholder, Fortissimo Capital Fund II (Israel) L.P. (“Fortissimo”) at a price to the public of $20.60 per share. Fortissimo has also granted the underwriters a 30-day option to purchase up to an additional 637,500 ordinary shares. The company will not receive any of the proceeds from the sale of the ordinary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Barclays and Citigroup are acting as joint bookrunners for this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offering is expected to close on May 19, 2017, subject to customary closing conditions.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offering will be made only by means of a prospectus supplement and the accompanying prospectus. A copy of the preliminary prospectus supplement relating to the offering and accompanying prospectus may be obtained from Barclays Capital Inc., c/o Broadridge Financial Solutions, 1155 Long Island Avenue, Edgewood, NY 11717, Telephone: 888 603-5847, or by emailing barclaysprospectus@broadridge.com; or Citigroup c/o Broadridge Financial Solutions, 1155 Long Island Avenue, Edgewood, NY 11717 (tel: 800-831-9146).</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offering of these securities is being made under an effective shelf registration statement on file with the U.S. Securities and Exchange Commission. The registration statement can be accessed through the SEC’s website at www.sec.gov. This press release shall not constitute an offer to sell or the solicitation of an offer to buy nor may there be any sale of these securities in any state or jurisdiction in which such an offer, solicitation or sale would be unlawful prior to registration or qualification under the securities laws of any such state or jurisdiction.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Kornit Digital</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Kornit Digital (NASDAQ: KRNT) develops, manufactures and markets industrial digital printing technologies for the garment, apparel and textile industries. Kornit delivers complete solutions, including digital printing systems, inks, consumables, software and after-sales support. Leading the digital direct-to-garment printing market with its exclusive eco-friendly NeoPigment printing process, Kornit caters directly to the changing needs of the textile printing value chain. Kornit’s technology enables innovative business models based on web-to-print, on-demand and mass customization concepts. With its immense experience in the direct-to-garment market, Kornit also offers a revolutionary approach to the roll-to-roll textile printing industry: digitally printing with a single ink set onto multiple types of fabric with no additional finishing processes. Founded in 2003, Kornit Digital is a global company, headquartered in Israel with offices in the USA, Europe and Asia Pacific, and serves customers in more than 100 countries worldwide.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Callahan, ICR</w:t>
      </w:r>
    </w:p>
    <w:p>
      <w:pPr>
        <w:spacing w:after="0" w:line="9" w:lineRule="exact"/>
        <w:rPr>
          <w:sz w:val="20"/>
          <w:szCs w:val="20"/>
          <w:color w:val="auto"/>
        </w:rPr>
      </w:pPr>
    </w:p>
    <w:p>
      <w:pPr>
        <w:ind w:right="9200" w:firstLine="8"/>
        <w:spacing w:after="0" w:line="323" w:lineRule="auto"/>
        <w:tabs>
          <w:tab w:leader="none" w:pos="435" w:val="left"/>
        </w:tabs>
        <w:numPr>
          <w:ilvl w:val="0"/>
          <w:numId w:val="55"/>
        </w:numPr>
        <w:rPr>
          <w:rFonts w:ascii="Arial" w:cs="Arial" w:eastAsia="Arial" w:hAnsi="Arial"/>
          <w:sz w:val="16"/>
          <w:szCs w:val="16"/>
          <w:color w:val="auto"/>
        </w:rPr>
      </w:pPr>
      <w:r>
        <w:rPr>
          <w:rFonts w:ascii="Arial" w:cs="Arial" w:eastAsia="Arial" w:hAnsi="Arial"/>
          <w:sz w:val="16"/>
          <w:szCs w:val="16"/>
          <w:color w:val="auto"/>
        </w:rPr>
        <w:t>682-8311 Michael.Callahan@icrinc.com</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
    <w:nsid w:val="836C40E"/>
    <w:multiLevelType w:val="hybridMultilevel"/>
    <w:lvl w:ilvl="0">
      <w:lvlJc w:val="left"/>
      <w:lvlText w:val="(%1)"/>
      <w:numFmt w:val="lowerRoman"/>
      <w:start w:val="2"/>
    </w:lvl>
  </w:abstractNum>
  <w:abstractNum w:abstractNumId="2">
    <w:nsid w:val="2901D82"/>
    <w:multiLevelType w:val="hybridMultilevel"/>
    <w:lvl w:ilvl="0">
      <w:lvlJc w:val="left"/>
      <w:lvlText w:val="(%1)"/>
      <w:numFmt w:val="lowerRoman"/>
      <w:start w:val="4"/>
    </w:lvl>
  </w:abstractNum>
  <w:abstractNum w:abstractNumId="3">
    <w:nsid w:val="3A95F874"/>
    <w:multiLevelType w:val="hybridMultilevel"/>
    <w:lvl w:ilvl="0">
      <w:lvlJc w:val="left"/>
      <w:lvlText w:val="(%1)"/>
      <w:numFmt w:val="lowerLetter"/>
      <w:start w:val="2"/>
    </w:lvl>
  </w:abstractNum>
  <w:abstractNum w:abstractNumId="4">
    <w:nsid w:val="8138641"/>
    <w:multiLevelType w:val="hybridMultilevel"/>
    <w:lvl w:ilvl="0">
      <w:lvlJc w:val="left"/>
      <w:lvlText w:val="(%1)"/>
      <w:numFmt w:val="lowerLetter"/>
      <w:start w:val="7"/>
    </w:lvl>
  </w:abstractNum>
  <w:abstractNum w:abstractNumId="5">
    <w:nsid w:val="1E7FF521"/>
    <w:multiLevelType w:val="hybridMultilevel"/>
    <w:lvl w:ilvl="0">
      <w:lvlJc w:val="left"/>
      <w:lvlText w:val="(%1)"/>
      <w:numFmt w:val="lowerLetter"/>
      <w:start w:val="13"/>
    </w:lvl>
  </w:abstractNum>
  <w:abstractNum w:abstractNumId="6">
    <w:nsid w:val="7C3DBD3D"/>
    <w:multiLevelType w:val="hybridMultilevel"/>
    <w:lvl w:ilvl="0">
      <w:lvlJc w:val="left"/>
      <w:lvlText w:val="(%1)"/>
      <w:numFmt w:val="lowerLetter"/>
      <w:start w:val="16"/>
    </w:lvl>
  </w:abstractNum>
  <w:abstractNum w:abstractNumId="7">
    <w:nsid w:val="737B8DDC"/>
    <w:multiLevelType w:val="hybridMultilevel"/>
    <w:lvl w:ilvl="0">
      <w:lvlJc w:val="left"/>
      <w:lvlText w:val="(%1)"/>
      <w:numFmt w:val="lowerLetter"/>
      <w:start w:val="19"/>
    </w:lvl>
  </w:abstractNum>
  <w:abstractNum w:abstractNumId="8">
    <w:nsid w:val="6CEAF087"/>
    <w:multiLevelType w:val="hybridMultilevel"/>
    <w:lvl w:ilvl="0">
      <w:lvlJc w:val="left"/>
      <w:lvlText w:val="%1"/>
      <w:numFmt w:val="lowerLetter"/>
      <w:start w:val="1"/>
    </w:lvl>
    <w:lvl w:ilvl="1">
      <w:lvlJc w:val="left"/>
      <w:lvlText w:val="(%2)"/>
      <w:numFmt w:val="lowerLetter"/>
      <w:start w:val="23"/>
    </w:lvl>
  </w:abstractNum>
  <w:abstractNum w:abstractNumId="9">
    <w:nsid w:val="22221A70"/>
    <w:multiLevelType w:val="hybridMultilevel"/>
    <w:lvl w:ilvl="0">
      <w:lvlJc w:val="left"/>
      <w:lvlText w:val="(%1)"/>
      <w:numFmt w:val="lowerLetter"/>
      <w:start w:val="9"/>
    </w:lvl>
    <w:lvl w:ilvl="1">
      <w:lvlJc w:val="left"/>
      <w:lvlText w:val="(%2)"/>
      <w:numFmt w:val="lowerLetter"/>
      <w:start w:val="24"/>
    </w:lvl>
  </w:abstractNum>
  <w:abstractNum w:abstractNumId="10">
    <w:nsid w:val="4516DDE9"/>
    <w:multiLevelType w:val="hybridMultilevel"/>
    <w:lvl w:ilvl="0">
      <w:lvlJc w:val="left"/>
      <w:lvlText w:val="(%1)"/>
      <w:numFmt w:val="lowerLetter"/>
      <w:start w:val="27"/>
    </w:lvl>
  </w:abstractNum>
  <w:abstractNum w:abstractNumId="11">
    <w:nsid w:val="3006C83E"/>
    <w:multiLevelType w:val="hybridMultilevel"/>
    <w:lvl w:ilvl="0">
      <w:lvlJc w:val="left"/>
      <w:lvlText w:val="(%1)"/>
      <w:numFmt w:val="lowerLetter"/>
      <w:start w:val="30"/>
    </w:lvl>
  </w:abstractNum>
  <w:abstractNum w:abstractNumId="12">
    <w:nsid w:val="614FD4A1"/>
    <w:multiLevelType w:val="hybridMultilevel"/>
    <w:lvl w:ilvl="0">
      <w:lvlJc w:val="left"/>
      <w:lvlText w:val="(%1)"/>
      <w:numFmt w:val="lowerLetter"/>
      <w:start w:val="34"/>
    </w:lvl>
  </w:abstractNum>
  <w:abstractNum w:abstractNumId="13">
    <w:nsid w:val="419AC241"/>
    <w:multiLevelType w:val="hybridMultilevel"/>
    <w:lvl w:ilvl="0">
      <w:lvlJc w:val="left"/>
      <w:lvlText w:val="(%1)"/>
      <w:numFmt w:val="lowerLetter"/>
      <w:start w:val="38"/>
    </w:lvl>
  </w:abstractNum>
  <w:abstractNum w:abstractNumId="14">
    <w:nsid w:val="5577F8E1"/>
    <w:multiLevelType w:val="hybridMultilevel"/>
    <w:lvl w:ilvl="0">
      <w:lvlJc w:val="left"/>
      <w:lvlText w:val="(%1)"/>
      <w:numFmt w:val="lowerLetter"/>
      <w:start w:val="41"/>
    </w:lvl>
  </w:abstractNum>
  <w:abstractNum w:abstractNumId="15">
    <w:nsid w:val="440BADFC"/>
    <w:multiLevelType w:val="hybridMultilevel"/>
    <w:lvl w:ilvl="0">
      <w:lvlJc w:val="left"/>
      <w:lvlText w:val="%1"/>
      <w:numFmt w:val="lowerRoman"/>
      <w:start w:val="1"/>
    </w:lvl>
    <w:lvl w:ilvl="1">
      <w:lvlJc w:val="left"/>
      <w:lvlText w:val="(%2)"/>
      <w:numFmt w:val="lowerLetter"/>
      <w:start w:val="47"/>
    </w:lvl>
  </w:abstractNum>
  <w:abstractNum w:abstractNumId="16">
    <w:nsid w:val="5072367"/>
    <w:multiLevelType w:val="hybridMultilevel"/>
    <w:lvl w:ilvl="0">
      <w:lvlJc w:val="left"/>
      <w:lvlText w:val="(%1)"/>
      <w:numFmt w:val="lowerRoman"/>
      <w:start w:val="2"/>
    </w:lvl>
    <w:lvl w:ilvl="1">
      <w:lvlJc w:val="left"/>
      <w:lvlText w:val="%2"/>
      <w:numFmt w:val="lowerLetter"/>
      <w:start w:val="1"/>
    </w:lvl>
  </w:abstractNum>
  <w:abstractNum w:abstractNumId="17">
    <w:nsid w:val="3804823E"/>
    <w:multiLevelType w:val="hybridMultilevel"/>
    <w:lvl w:ilvl="0">
      <w:lvlJc w:val="left"/>
      <w:lvlText w:val="(%1)"/>
      <w:numFmt w:val="lowerLetter"/>
      <w:start w:val="53"/>
    </w:lvl>
  </w:abstractNum>
  <w:abstractNum w:abstractNumId="18">
    <w:nsid w:val="77465F01"/>
    <w:multiLevelType w:val="hybridMultilevel"/>
    <w:lvl w:ilvl="0">
      <w:lvlJc w:val="left"/>
      <w:lvlText w:val="(%1)"/>
      <w:numFmt w:val="lowerLetter"/>
      <w:start w:val="56"/>
    </w:lvl>
  </w:abstractNum>
  <w:abstractNum w:abstractNumId="19">
    <w:nsid w:val="7724C67E"/>
    <w:multiLevelType w:val="hybridMultilevel"/>
    <w:lvl w:ilvl="0">
      <w:lvlJc w:val="left"/>
      <w:lvlText w:val="%1."/>
      <w:numFmt w:val="decimal"/>
      <w:start w:val="2"/>
    </w:lvl>
    <w:lvl w:ilvl="1">
      <w:lvlJc w:val="left"/>
      <w:lvlText w:val="(%2)"/>
      <w:numFmt w:val="lowerLetter"/>
      <w:start w:val="1"/>
    </w:lvl>
  </w:abstractNum>
  <w:abstractNum w:abstractNumId="20">
    <w:nsid w:val="5C482A97"/>
    <w:multiLevelType w:val="hybridMultilevel"/>
    <w:lvl w:ilvl="0">
      <w:lvlJc w:val="left"/>
      <w:lvlText w:val="&amp;"/>
      <w:numFmt w:val="bullet"/>
      <w:start w:val="1"/>
    </w:lvl>
    <w:lvl w:ilvl="1">
      <w:lvlJc w:val="left"/>
      <w:lvlText w:val="(%2)"/>
      <w:numFmt w:val="lowerLetter"/>
      <w:start w:val="2"/>
    </w:lvl>
  </w:abstractNum>
  <w:abstractNum w:abstractNumId="21">
    <w:nsid w:val="2463B9EA"/>
    <w:multiLevelType w:val="hybridMultilevel"/>
    <w:lvl w:ilvl="0">
      <w:lvlJc w:val="left"/>
      <w:lvlText w:val="&amp;"/>
      <w:numFmt w:val="bullet"/>
      <w:start w:val="1"/>
    </w:lvl>
    <w:lvl w:ilvl="1">
      <w:lvlJc w:val="left"/>
      <w:lvlText w:val="(%2)"/>
      <w:numFmt w:val="lowerLetter"/>
      <w:start w:val="5"/>
    </w:lvl>
  </w:abstractNum>
  <w:abstractNum w:abstractNumId="22">
    <w:nsid w:val="5E884ADC"/>
    <w:multiLevelType w:val="hybridMultilevel"/>
    <w:lvl w:ilvl="0">
      <w:lvlJc w:val="left"/>
      <w:lvlText w:val="(%1)"/>
      <w:numFmt w:val="lowerLetter"/>
      <w:start w:val="9"/>
    </w:lvl>
  </w:abstractNum>
  <w:abstractNum w:abstractNumId="23">
    <w:nsid w:val="51EAD36B"/>
    <w:multiLevelType w:val="hybridMultilevel"/>
    <w:lvl w:ilvl="0">
      <w:lvlJc w:val="left"/>
      <w:lvlText w:val="(%1)"/>
      <w:numFmt w:val="lowerLetter"/>
      <w:start w:val="14"/>
    </w:lvl>
  </w:abstractNum>
  <w:abstractNum w:abstractNumId="24">
    <w:nsid w:val="2D517796"/>
    <w:multiLevelType w:val="hybridMultilevel"/>
    <w:lvl w:ilvl="0">
      <w:lvlJc w:val="left"/>
      <w:lvlText w:val="%1."/>
      <w:numFmt w:val="decimal"/>
      <w:start w:val="3"/>
    </w:lvl>
  </w:abstractNum>
  <w:abstractNum w:abstractNumId="25">
    <w:nsid w:val="580BD78F"/>
    <w:multiLevelType w:val="hybridMultilevel"/>
    <w:lvl w:ilvl="0">
      <w:lvlJc w:val="left"/>
      <w:lvlText w:val="%1."/>
      <w:numFmt w:val="decimal"/>
      <w:start w:val="4"/>
    </w:lvl>
  </w:abstractNum>
  <w:abstractNum w:abstractNumId="26">
    <w:nsid w:val="153EA438"/>
    <w:multiLevelType w:val="hybridMultilevel"/>
    <w:lvl w:ilvl="0">
      <w:lvlJc w:val="left"/>
      <w:lvlText w:val="%1."/>
      <w:numFmt w:val="decimal"/>
      <w:start w:val="6"/>
    </w:lvl>
    <w:lvl w:ilvl="1">
      <w:lvlJc w:val="left"/>
      <w:lvlText w:val="(%2)"/>
      <w:numFmt w:val="lowerRoman"/>
      <w:start w:val="1"/>
    </w:lvl>
  </w:abstractNum>
  <w:abstractNum w:abstractNumId="27">
    <w:nsid w:val="3855585C"/>
    <w:multiLevelType w:val="hybridMultilevel"/>
    <w:lvl w:ilvl="0">
      <w:lvlJc w:val="left"/>
      <w:lvlText w:val="(%1)"/>
      <w:numFmt w:val="lowerRoman"/>
      <w:start w:val="2"/>
    </w:lvl>
  </w:abstractNum>
  <w:abstractNum w:abstractNumId="28">
    <w:nsid w:val="70A64E2A"/>
    <w:multiLevelType w:val="hybridMultilevel"/>
    <w:lvl w:ilvl="0">
      <w:lvlJc w:val="left"/>
      <w:lvlText w:val="(%1)"/>
      <w:numFmt w:val="lowerRoman"/>
      <w:start w:val="6"/>
    </w:lvl>
  </w:abstractNum>
  <w:abstractNum w:abstractNumId="29">
    <w:nsid w:val="6A2342EC"/>
    <w:multiLevelType w:val="hybridMultilevel"/>
    <w:lvl w:ilvl="0">
      <w:lvlJc w:val="left"/>
      <w:lvlText w:val="(%1)"/>
      <w:numFmt w:val="lowerRoman"/>
      <w:start w:val="10"/>
    </w:lvl>
  </w:abstractNum>
  <w:abstractNum w:abstractNumId="30">
    <w:nsid w:val="2A487CB0"/>
    <w:multiLevelType w:val="hybridMultilevel"/>
    <w:lvl w:ilvl="0">
      <w:lvlJc w:val="left"/>
      <w:lvlText w:val="%1"/>
      <w:numFmt w:val="lowerLetter"/>
      <w:start w:val="1"/>
    </w:lvl>
    <w:lvl w:ilvl="1">
      <w:lvlJc w:val="left"/>
      <w:lvlText w:val="(%2)"/>
      <w:numFmt w:val="lowerRoman"/>
      <w:start w:val="15"/>
    </w:lvl>
  </w:abstractNum>
  <w:abstractNum w:abstractNumId="31">
    <w:nsid w:val="1D4ED43B"/>
    <w:multiLevelType w:val="hybridMultilevel"/>
    <w:lvl w:ilvl="0">
      <w:lvlJc w:val="left"/>
      <w:lvlText w:val="(%1)"/>
      <w:numFmt w:val="lowerLetter"/>
      <w:start w:val="2"/>
    </w:lvl>
    <w:lvl w:ilvl="1">
      <w:lvlJc w:val="left"/>
      <w:lvlText w:val="%2"/>
      <w:numFmt w:val="lowerRoman"/>
      <w:start w:val="1"/>
    </w:lvl>
  </w:abstractNum>
  <w:abstractNum w:abstractNumId="32">
    <w:nsid w:val="725A06FB"/>
    <w:multiLevelType w:val="hybridMultilevel"/>
    <w:lvl w:ilvl="0">
      <w:lvlJc w:val="left"/>
      <w:lvlText w:val="%1."/>
      <w:numFmt w:val="decimal"/>
      <w:start w:val="7"/>
    </w:lvl>
    <w:lvl w:ilvl="1">
      <w:lvlJc w:val="left"/>
      <w:lvlText w:val="(%2)"/>
      <w:numFmt w:val="lowerLetter"/>
      <w:start w:val="1"/>
    </w:lvl>
  </w:abstractNum>
  <w:abstractNum w:abstractNumId="33">
    <w:nsid w:val="2CD89A32"/>
    <w:multiLevelType w:val="hybridMultilevel"/>
    <w:lvl w:ilvl="0">
      <w:lvlJc w:val="left"/>
      <w:lvlText w:val="%1."/>
      <w:numFmt w:val="decimal"/>
      <w:start w:val="8"/>
    </w:lvl>
    <w:lvl w:ilvl="1">
      <w:lvlJc w:val="left"/>
      <w:lvlText w:val="(%2)"/>
      <w:numFmt w:val="lowerLetter"/>
      <w:start w:val="1"/>
    </w:lvl>
  </w:abstractNum>
  <w:abstractNum w:abstractNumId="34">
    <w:nsid w:val="57E4CCAF"/>
    <w:multiLevelType w:val="hybridMultilevel"/>
    <w:lvl w:ilvl="0">
      <w:lvlJc w:val="left"/>
      <w:lvlText w:val="(%1)"/>
      <w:numFmt w:val="lowerLetter"/>
      <w:start w:val="2"/>
    </w:lvl>
  </w:abstractNum>
  <w:abstractNum w:abstractNumId="35">
    <w:nsid w:val="7A6D8D3C"/>
    <w:multiLevelType w:val="hybridMultilevel"/>
    <w:lvl w:ilvl="0">
      <w:lvlJc w:val="left"/>
      <w:lvlText w:val="(%1)"/>
      <w:numFmt w:val="lowerLetter"/>
      <w:start w:val="9"/>
    </w:lvl>
    <w:lvl w:ilvl="1">
      <w:lvlJc w:val="left"/>
      <w:lvlText w:val="(%2)"/>
      <w:numFmt w:val="lowerRoman"/>
      <w:start w:val="1"/>
    </w:lvl>
  </w:abstractNum>
  <w:abstractNum w:abstractNumId="36">
    <w:nsid w:val="4B588F54"/>
    <w:multiLevelType w:val="hybridMultilevel"/>
    <w:lvl w:ilvl="0">
      <w:lvlJc w:val="left"/>
      <w:lvlText w:val="%1"/>
      <w:numFmt w:val="lowerLetter"/>
      <w:start w:val="1"/>
    </w:lvl>
    <w:lvl w:ilvl="1">
      <w:lvlJc w:val="left"/>
      <w:lvlText w:val="(%2)"/>
      <w:numFmt w:val="lowerRoman"/>
      <w:start w:val="3"/>
    </w:lvl>
  </w:abstractNum>
  <w:abstractNum w:abstractNumId="37">
    <w:nsid w:val="542289EC"/>
    <w:multiLevelType w:val="hybridMultilevel"/>
    <w:lvl w:ilvl="0">
      <w:lvlJc w:val="left"/>
      <w:lvlText w:val="(%1)"/>
      <w:numFmt w:val="lowerLetter"/>
      <w:start w:val="12"/>
    </w:lvl>
    <w:lvl w:ilvl="1">
      <w:lvlJc w:val="left"/>
      <w:lvlText w:val="%2"/>
      <w:numFmt w:val="lowerRoman"/>
      <w:start w:val="1"/>
    </w:lvl>
  </w:abstractNum>
  <w:abstractNum w:abstractNumId="38">
    <w:nsid w:val="6DE91B18"/>
    <w:multiLevelType w:val="hybridMultilevel"/>
    <w:lvl w:ilvl="0">
      <w:lvlJc w:val="left"/>
      <w:lvlText w:val="(%1)"/>
      <w:numFmt w:val="lowerLetter"/>
      <w:start w:val="14"/>
    </w:lvl>
  </w:abstractNum>
  <w:abstractNum w:abstractNumId="39">
    <w:nsid w:val="38437FDB"/>
    <w:multiLevelType w:val="hybridMultilevel"/>
    <w:lvl w:ilvl="0">
      <w:lvlJc w:val="left"/>
      <w:lvlText w:val="%1."/>
      <w:numFmt w:val="decimal"/>
      <w:start w:val="10"/>
    </w:lvl>
    <w:lvl w:ilvl="1">
      <w:lvlJc w:val="left"/>
      <w:lvlText w:val="(%2)"/>
      <w:numFmt w:val="lowerLetter"/>
      <w:start w:val="1"/>
    </w:lvl>
  </w:abstractNum>
  <w:abstractNum w:abstractNumId="40">
    <w:nsid w:val="7644A45C"/>
    <w:multiLevelType w:val="hybridMultilevel"/>
    <w:lvl w:ilvl="0">
      <w:lvlJc w:val="left"/>
      <w:lvlText w:val="(%1)"/>
      <w:numFmt w:val="lowerLetter"/>
      <w:start w:val="3"/>
    </w:lvl>
  </w:abstractNum>
  <w:abstractNum w:abstractNumId="41">
    <w:nsid w:val="32FFF902"/>
    <w:multiLevelType w:val="hybridMultilevel"/>
    <w:lvl w:ilvl="0">
      <w:lvlJc w:val="left"/>
      <w:lvlText w:val="(%1)"/>
      <w:numFmt w:val="lowerLetter"/>
      <w:start w:val="5"/>
    </w:lvl>
  </w:abstractNum>
  <w:abstractNum w:abstractNumId="42">
    <w:nsid w:val="684A481A"/>
    <w:multiLevelType w:val="hybridMultilevel"/>
    <w:lvl w:ilvl="0">
      <w:lvlJc w:val="left"/>
      <w:lvlText w:val="%1"/>
      <w:numFmt w:val="decimal"/>
      <w:start w:val="1"/>
    </w:lvl>
    <w:lvl w:ilvl="1">
      <w:lvlJc w:val="left"/>
      <w:lvlText w:val="(%2)"/>
      <w:numFmt w:val="lowerLetter"/>
      <w:start w:val="6"/>
    </w:lvl>
  </w:abstractNum>
  <w:abstractNum w:abstractNumId="43">
    <w:nsid w:val="579478FE"/>
    <w:multiLevelType w:val="hybridMultilevel"/>
    <w:lvl w:ilvl="0">
      <w:lvlJc w:val="left"/>
      <w:lvlText w:val="%1."/>
      <w:numFmt w:val="decimal"/>
      <w:start w:val="11"/>
    </w:lvl>
    <w:lvl w:ilvl="1">
      <w:lvlJc w:val="left"/>
      <w:lvlText w:val="(%2)"/>
      <w:numFmt w:val="lowerLetter"/>
      <w:start w:val="1"/>
    </w:lvl>
  </w:abstractNum>
  <w:abstractNum w:abstractNumId="44">
    <w:nsid w:val="749ABB43"/>
    <w:multiLevelType w:val="hybridMultilevel"/>
    <w:lvl w:ilvl="0">
      <w:lvlJc w:val="left"/>
      <w:lvlText w:val="%1"/>
      <w:numFmt w:val="decimal"/>
      <w:start w:val="1"/>
    </w:lvl>
    <w:lvl w:ilvl="1">
      <w:lvlJc w:val="left"/>
      <w:lvlText w:val="(%2)"/>
      <w:numFmt w:val="lowerLetter"/>
      <w:start w:val="2"/>
    </w:lvl>
  </w:abstractNum>
  <w:abstractNum w:abstractNumId="45">
    <w:nsid w:val="3DC240FB"/>
    <w:multiLevelType w:val="hybridMultilevel"/>
    <w:lvl w:ilvl="0">
      <w:lvlJc w:val="left"/>
      <w:lvlText w:val="%1."/>
      <w:numFmt w:val="decimal"/>
      <w:start w:val="12"/>
    </w:lvl>
    <w:lvl w:ilvl="1">
      <w:lvlJc w:val="left"/>
      <w:lvlText w:val="%2"/>
      <w:numFmt w:val="lowerLetter"/>
      <w:start w:val="1"/>
    </w:lvl>
  </w:abstractNum>
  <w:abstractNum w:abstractNumId="46">
    <w:nsid w:val="1BA026FA"/>
    <w:multiLevelType w:val="hybridMultilevel"/>
    <w:lvl w:ilvl="0">
      <w:lvlJc w:val="left"/>
      <w:lvlText w:val="%1."/>
      <w:numFmt w:val="decimal"/>
      <w:start w:val="13"/>
    </w:lvl>
  </w:abstractNum>
  <w:abstractNum w:abstractNumId="47">
    <w:nsid w:val="79A1DEAA"/>
    <w:multiLevelType w:val="hybridMultilevel"/>
    <w:lvl w:ilvl="0">
      <w:lvlJc w:val="left"/>
      <w:lvlText w:val="%1."/>
      <w:numFmt w:val="decimal"/>
      <w:start w:val="16"/>
    </w:lvl>
    <w:lvl w:ilvl="1">
      <w:lvlJc w:val="left"/>
      <w:lvlText w:val="(%2)"/>
      <w:numFmt w:val="lowerLetter"/>
      <w:start w:val="1"/>
    </w:lvl>
  </w:abstractNum>
  <w:abstractNum w:abstractNumId="48">
    <w:nsid w:val="75C6C33A"/>
    <w:multiLevelType w:val="hybridMultilevel"/>
    <w:lvl w:ilvl="0">
      <w:lvlJc w:val="left"/>
      <w:lvlText w:val="%1."/>
      <w:numFmt w:val="decimal"/>
      <w:start w:val="17"/>
    </w:lvl>
  </w:abstractNum>
  <w:abstractNum w:abstractNumId="49">
    <w:nsid w:val="12E685FB"/>
    <w:multiLevelType w:val="hybridMultilevel"/>
    <w:lvl w:ilvl="0">
      <w:lvlJc w:val="left"/>
      <w:lvlText w:val="%1."/>
      <w:numFmt w:val="decimal"/>
      <w:start w:val="18"/>
    </w:lvl>
  </w:abstractNum>
  <w:abstractNum w:abstractNumId="50">
    <w:nsid w:val="70C6A529"/>
    <w:multiLevelType w:val="hybridMultilevel"/>
    <w:lvl w:ilvl="0">
      <w:lvlJc w:val="left"/>
      <w:lvlText w:val="%1."/>
      <w:numFmt w:val="decimal"/>
      <w:start w:val="23"/>
    </w:lvl>
  </w:abstractNum>
  <w:abstractNum w:abstractNumId="51">
    <w:nsid w:val="520EEDD1"/>
    <w:multiLevelType w:val="hybridMultilevel"/>
    <w:lvl w:ilvl="0">
      <w:lvlJc w:val="left"/>
      <w:lvlText w:val="%1."/>
      <w:numFmt w:val="decimal"/>
      <w:start w:val="1"/>
    </w:lvl>
  </w:abstractNum>
  <w:abstractNum w:abstractNumId="52">
    <w:nsid w:val="374A3FE6"/>
    <w:multiLevelType w:val="hybridMultilevel"/>
    <w:lvl w:ilvl="0">
      <w:lvlJc w:val="left"/>
      <w:lvlText w:val="(%1)"/>
      <w:numFmt w:val="lowerLetter"/>
      <w:start w:val="1"/>
    </w:lvl>
  </w:abstractNum>
  <w:abstractNum w:abstractNumId="53">
    <w:nsid w:val="4F4EF005"/>
    <w:multiLevelType w:val="hybridMultilevel"/>
    <w:lvl w:ilvl="0">
      <w:lvlJc w:val="left"/>
      <w:lvlText w:val="(%1)"/>
      <w:numFmt w:val="decimal"/>
      <w:start w:val="203"/>
    </w:lvl>
  </w:abstractNum>
  <w:abstractNum w:abstractNumId="54">
    <w:nsid w:val="23F9C13C"/>
    <w:multiLevelType w:val="hybridMultilevel"/>
    <w:lvl w:ilvl="0">
      <w:lvlJc w:val="left"/>
      <w:lvlText w:val="(%1)"/>
      <w:numFmt w:val="decimal"/>
      <w:start w:val="20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2019-12-08T01:53:51Z</dcterms:created>
  <dcterms:modified xsi:type="dcterms:W3CDTF">2019-12-08T01:53:51Z</dcterms:modified>
</cp:coreProperties>
</file>