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760" w:hanging="249"/>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3920" w:right="1100" w:hanging="2816"/>
        <w:spacing w:after="0" w:line="500" w:lineRule="auto"/>
        <w:tabs>
          <w:tab w:leader="none" w:pos="1349" w:val="left"/>
        </w:tabs>
        <w:numPr>
          <w:ilvl w:val="2"/>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5480" w:right="920" w:hanging="4561"/>
        <w:spacing w:after="0" w:line="484" w:lineRule="auto"/>
        <w:tabs>
          <w:tab w:leader="none" w:pos="1162"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jc w:val="center"/>
        <w:ind w:left="4260" w:right="700" w:hanging="3557"/>
        <w:spacing w:after="0" w:line="532" w:lineRule="auto"/>
        <w:tabs>
          <w:tab w:leader="none" w:pos="94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-21590</wp:posOffset>
            </wp:positionV>
            <wp:extent cx="1663065" cy="1028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Guy Avidan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 3 908-5800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+972 3 908-0280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Ordinary shares, par value NIS 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ind w:left="1560"/>
              <w:spacing w:after="0"/>
              <w:rPr>
                <w:sz w:val="20"/>
                <w:szCs w:val="20"/>
                <w:color w:val="auto"/>
              </w:rPr>
            </w:pPr>
            <w:r>
              <w:rPr>
                <w:rFonts w:ascii="Arial" w:cs="Arial" w:eastAsia="Arial" w:hAnsi="Arial"/>
                <w:sz w:val="18"/>
                <w:szCs w:val="18"/>
                <w:b w:val="1"/>
                <w:bCs w:val="1"/>
                <w:color w:val="auto"/>
              </w:rPr>
              <w:t>KRNT</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31, 2019, the registrant had outstanding 40,684,340 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 known seasoned issuer, as defined in Rule 405 of the Securities Act.</w:t>
      </w:r>
    </w:p>
    <w:p>
      <w:pPr>
        <w:spacing w:after="0" w:line="192" w:lineRule="exact"/>
        <w:rPr>
          <w:sz w:val="20"/>
          <w:szCs w:val="20"/>
          <w:color w:val="auto"/>
        </w:rPr>
      </w:pPr>
    </w:p>
    <w:p>
      <w:pPr>
        <w:jc w:val="cente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-86360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jc w:val="center"/>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-86360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0"/>
          <w:szCs w:val="20"/>
          <w:color w:val="auto"/>
        </w:rPr>
      </w:pPr>
    </w:p>
    <w:p>
      <w:pPr>
        <w:jc w:val="center"/>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jc w:val="center"/>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908" w:right="339" w:bottom="1440" w:gutter="0" w:footer="0" w:header="0"/>
        </w:sectPr>
      </w:pPr>
    </w:p>
    <w:p>
      <w:pPr>
        <w:spacing w:after="0" w:line="138"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2740" w:space="720"/>
            <w:col w:w="2100" w:space="720"/>
            <w:col w:w="4960"/>
          </w:cols>
          <w:pgMar w:left="320" w:top="908" w:right="339" w:bottom="1440" w:gutter="0" w:footer="0" w:header="0"/>
          <w:type w:val="continuous"/>
        </w:sectPr>
      </w:pPr>
    </w:p>
    <w:p>
      <w:pPr>
        <w:spacing w:after="0" w:line="3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ind w:right="20" w:firstLine="8"/>
        <w:spacing w:after="0" w:line="277" w:lineRule="auto"/>
        <w:tabs>
          <w:tab w:leader="none" w:pos="16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908" w:right="339" w:bottom="1440" w:gutter="0" w:footer="0" w:header="0"/>
          <w:type w:val="continuous"/>
        </w:sectPr>
      </w:pPr>
    </w:p>
    <w:p>
      <w:pPr>
        <w:spacing w:after="0" w:line="192" w:lineRule="exact"/>
        <w:rPr>
          <w:sz w:val="20"/>
          <w:szCs w:val="20"/>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60" w:hanging="319"/>
        <w:spacing w:after="0" w:line="277"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7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93" w:lineRule="exact"/>
        <w:rPr>
          <w:sz w:val="20"/>
          <w:szCs w:val="20"/>
          <w:color w:val="auto"/>
        </w:rPr>
      </w:pPr>
    </w:p>
    <w:p>
      <w:pPr>
        <w:sectPr>
          <w:pgSz w:w="11900" w:h="16838" w:orient="portrait"/>
          <w:cols w:equalWidth="0" w:num="4">
            <w:col w:w="820" w:space="80"/>
            <w:col w:w="2160" w:space="720"/>
            <w:col w:w="5360" w:space="720"/>
            <w:col w:w="1380"/>
          </w:cols>
          <w:pgMar w:left="320" w:top="908" w:right="339" w:bottom="1440" w:gutter="0" w:footer="0" w:header="0"/>
          <w:type w:val="continuous"/>
        </w:sectPr>
      </w:pPr>
    </w:p>
    <w:p>
      <w:pPr>
        <w:spacing w:after="0" w:line="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2" w:lineRule="exact"/>
        <w:rPr>
          <w:sz w:val="20"/>
          <w:szCs w:val="20"/>
          <w:color w:val="auto"/>
        </w:rPr>
      </w:pPr>
    </w:p>
    <w:p>
      <w:pPr>
        <w:jc w:val="center"/>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-86360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gridSpan w:val="14"/>
          </w:tcPr>
          <w:p>
            <w:pPr>
              <w:ind w:left="32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580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NOTE REGARDING FORWARD-LOOKING STATEMENTS</w:t>
              </w:r>
            </w:hyperlink>
          </w:p>
        </w:tc>
        <w:tc>
          <w:tcPr>
            <w:tcW w:w="282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rPr>
              <w:t>ii</w:t>
            </w:r>
          </w:p>
        </w:tc>
      </w:tr>
      <w:tr>
        <w:trPr>
          <w:trHeight w:val="176"/>
        </w:trPr>
        <w:tc>
          <w:tcPr>
            <w:tcW w:w="8620" w:type="dxa"/>
            <w:vAlign w:val="bottom"/>
            <w:gridSpan w:val="3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USE OF TRADE NAMES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rPr>
              <w:t>iii</w:t>
            </w:r>
          </w:p>
        </w:tc>
      </w:tr>
      <w:tr>
        <w:trPr>
          <w:trHeight w:val="21"/>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CERTAIN ADDITIONAL TERMS AND CONVENTIONS</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rPr>
              <w:t>iii</w:t>
            </w:r>
          </w:p>
        </w:tc>
      </w:tr>
      <w:tr>
        <w:trPr>
          <w:trHeight w:val="216"/>
        </w:trPr>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216"/>
        </w:trPr>
        <w:tc>
          <w:tcPr>
            <w:tcW w:w="8620" w:type="dxa"/>
            <w:vAlign w:val="bottom"/>
            <w:gridSpan w:val="30"/>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26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62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ITEM 1. IDENTITY OF DIRECTORS, SENIOR MANAGEMENT AND ADVISERS</w:t>
              </w:r>
            </w:hyperlink>
          </w:p>
        </w:tc>
        <w:tc>
          <w:tcPr>
            <w:tcW w:w="2340" w:type="dxa"/>
            <w:vAlign w:val="bottom"/>
            <w:tcBorders>
              <w:bottom w:val="single" w:sz="8" w:color="CCEEFF"/>
            </w:tcBorders>
            <w:gridSpan w:val="4"/>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99"/>
              </w:rPr>
              <w:t>1</w:t>
            </w:r>
          </w:p>
        </w:tc>
      </w:tr>
      <w:tr>
        <w:trPr>
          <w:trHeight w:val="175"/>
        </w:trPr>
        <w:tc>
          <w:tcPr>
            <w:tcW w:w="8620" w:type="dxa"/>
            <w:vAlign w:val="bottom"/>
            <w:gridSpan w:val="3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2. OFFER STATISTICS AND EXPECTED TIMETABLE</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3. KEY INFORMATION</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1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30"/>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 INFORMATION ON THE COMPANY</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4A. UNRESOLVED STAFF COMMENTS</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1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30"/>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5. OPERATING AND FINANCIAL REVIEW AND PROSPECTS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53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ITEM 6. DIRECTORS, SENIOR MANAGEMENT AND EMPLOYEES</w:t>
              </w:r>
            </w:hyperlink>
          </w:p>
        </w:tc>
        <w:tc>
          <w:tcPr>
            <w:tcW w:w="332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9"/>
              </w:rPr>
              <w:t>62</w:t>
            </w:r>
          </w:p>
        </w:tc>
      </w:tr>
      <w:tr>
        <w:trPr>
          <w:trHeight w:val="175"/>
        </w:trPr>
        <w:tc>
          <w:tcPr>
            <w:tcW w:w="8620" w:type="dxa"/>
            <w:vAlign w:val="bottom"/>
            <w:gridSpan w:val="30"/>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ITEM 7. MAJOR SHAREHOLDERS AND RELATED PARTY TRANSACTIONS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9"/>
              </w:rPr>
              <w:t>83</w:t>
            </w:r>
          </w:p>
        </w:tc>
      </w:tr>
      <w:tr>
        <w:trPr>
          <w:trHeight w:val="21"/>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8. FINANCIAL INFORMATION</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9"/>
              </w:rPr>
              <w:t>87</w:t>
            </w:r>
          </w:p>
        </w:tc>
      </w:tr>
      <w:tr>
        <w:trPr>
          <w:trHeight w:val="176"/>
        </w:trPr>
        <w:tc>
          <w:tcPr>
            <w:tcW w:w="29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9. THE OFFER AND LISTING</w:t>
              </w:r>
            </w:hyperlink>
          </w:p>
        </w:tc>
        <w:tc>
          <w:tcPr>
            <w:tcW w:w="5700" w:type="dxa"/>
            <w:vAlign w:val="bottom"/>
            <w:tcBorders>
              <w:top w:val="single" w:sz="8" w:color="CCEEFF"/>
            </w:tcBorders>
            <w:gridSpan w:val="23"/>
          </w:tcPr>
          <w:p>
            <w:pPr>
              <w:spacing w:after="0"/>
              <w:rPr>
                <w:sz w:val="15"/>
                <w:szCs w:val="15"/>
                <w:color w:val="auto"/>
              </w:rPr>
            </w:pPr>
          </w:p>
        </w:tc>
        <w:tc>
          <w:tcPr>
            <w:tcW w:w="2620" w:type="dxa"/>
            <w:vAlign w:val="bottom"/>
            <w:tcBorders>
              <w:top w:val="single" w:sz="8" w:color="CCEEFF"/>
            </w:tcBorders>
          </w:tcPr>
          <w:p>
            <w:pPr>
              <w:jc w:val="center"/>
              <w:ind w:left="1630"/>
              <w:spacing w:after="0" w:line="176" w:lineRule="exact"/>
              <w:rPr>
                <w:sz w:val="20"/>
                <w:szCs w:val="20"/>
                <w:color w:val="auto"/>
              </w:rPr>
            </w:pPr>
            <w:r>
              <w:rPr>
                <w:rFonts w:ascii="Arial" w:cs="Arial" w:eastAsia="Arial" w:hAnsi="Arial"/>
                <w:sz w:val="18"/>
                <w:szCs w:val="18"/>
                <w:color w:val="auto"/>
                <w:w w:val="89"/>
              </w:rPr>
              <w:t>87</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ITEM 10. ADDITIONAL INFORMATION</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9"/>
              </w:rPr>
              <w:t>88</w:t>
            </w:r>
          </w:p>
        </w:tc>
      </w:tr>
      <w:tr>
        <w:trPr>
          <w:trHeight w:val="20"/>
        </w:trPr>
        <w:tc>
          <w:tcPr>
            <w:tcW w:w="1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30"/>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ITEM 11. QUANTITATIVE AND QUALITATIVE DISCLOSURES ABOUT MARKET RISK</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9"/>
              </w:rPr>
              <w:t>99</w:t>
            </w:r>
          </w:p>
        </w:tc>
      </w:tr>
      <w:tr>
        <w:trPr>
          <w:trHeight w:val="21"/>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ITEM 12. DESCRIPTION OF SECURITIES OTHER THAN EQUITY SECURITIES</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6"/>
              </w:rPr>
              <w:t>100</w:t>
            </w:r>
          </w:p>
        </w:tc>
      </w:tr>
      <w:tr>
        <w:trPr>
          <w:trHeight w:val="216"/>
        </w:trPr>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216"/>
        </w:trPr>
        <w:tc>
          <w:tcPr>
            <w:tcW w:w="8620" w:type="dxa"/>
            <w:vAlign w:val="bottom"/>
            <w:gridSpan w:val="30"/>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26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578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7"/>
              </w:rPr>
            </w:pPr>
            <w:hyperlink w:anchor="page106">
              <w:r>
                <w:rPr>
                  <w:rFonts w:ascii="Arial" w:cs="Arial" w:eastAsia="Arial" w:hAnsi="Arial"/>
                  <w:sz w:val="18"/>
                  <w:szCs w:val="18"/>
                  <w:color w:val="0000EE"/>
                  <w:w w:val="97"/>
                </w:rPr>
                <w:t>ITEM 13. DEFAULTS, DIVIDEND ARREARAGES AND DELINQUENCIES</w:t>
              </w:r>
            </w:hyperlink>
          </w:p>
        </w:tc>
        <w:tc>
          <w:tcPr>
            <w:tcW w:w="2840" w:type="dxa"/>
            <w:vAlign w:val="bottom"/>
            <w:tcBorders>
              <w:bottom w:val="single" w:sz="8" w:color="CCEEFF"/>
            </w:tcBorders>
            <w:gridSpan w:val="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6"/>
              </w:rPr>
              <w:t>101</w:t>
            </w:r>
          </w:p>
        </w:tc>
      </w:tr>
      <w:tr>
        <w:trPr>
          <w:trHeight w:val="176"/>
        </w:trPr>
        <w:tc>
          <w:tcPr>
            <w:tcW w:w="8620" w:type="dxa"/>
            <w:vAlign w:val="bottom"/>
            <w:tcBorders>
              <w:bottom w:val="single" w:sz="8" w:color="0000EE"/>
            </w:tcBorders>
            <w:gridSpan w:val="30"/>
          </w:tcPr>
          <w:p>
            <w:pPr>
              <w:spacing w:after="0" w:line="176" w:lineRule="exact"/>
              <w:rPr>
                <w:rFonts w:ascii="Arial" w:cs="Arial" w:eastAsia="Arial" w:hAnsi="Arial"/>
                <w:sz w:val="18"/>
                <w:szCs w:val="18"/>
                <w:color w:val="0000EE"/>
                <w:w w:val="95"/>
              </w:rPr>
            </w:pPr>
            <w:hyperlink w:anchor="page106">
              <w:r>
                <w:rPr>
                  <w:rFonts w:ascii="Arial" w:cs="Arial" w:eastAsia="Arial" w:hAnsi="Arial"/>
                  <w:sz w:val="18"/>
                  <w:szCs w:val="18"/>
                  <w:color w:val="0000EE"/>
                  <w:w w:val="95"/>
                </w:rPr>
                <w:t>ITEM 14. MATERIAL MODIFICATIONS TO THE RIGHTS OF SECURITY HOLDERS AND USE OF PROCEEDS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6"/>
              </w:rPr>
              <w:t>101</w:t>
            </w:r>
          </w:p>
        </w:tc>
      </w:tr>
      <w:tr>
        <w:trPr>
          <w:trHeight w:val="21"/>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15. CONTROLS AND PROCEDURES</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6"/>
              </w:rPr>
              <w:t>101</w:t>
            </w:r>
          </w:p>
        </w:tc>
      </w:tr>
      <w:tr>
        <w:trPr>
          <w:trHeight w:val="175"/>
        </w:trPr>
        <w:tc>
          <w:tcPr>
            <w:tcW w:w="33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16. [RESERVED]</w:t>
              </w:r>
            </w:hyperlink>
          </w:p>
        </w:tc>
        <w:tc>
          <w:tcPr>
            <w:tcW w:w="5260" w:type="dxa"/>
            <w:vAlign w:val="bottom"/>
            <w:tcBorders>
              <w:top w:val="single" w:sz="8" w:color="CCEEFF"/>
            </w:tcBorders>
            <w:gridSpan w:val="18"/>
          </w:tcPr>
          <w:p>
            <w:pPr>
              <w:spacing w:after="0"/>
              <w:rPr>
                <w:sz w:val="15"/>
                <w:szCs w:val="15"/>
                <w:color w:val="auto"/>
              </w:rPr>
            </w:pPr>
          </w:p>
        </w:tc>
        <w:tc>
          <w:tcPr>
            <w:tcW w:w="2620" w:type="dxa"/>
            <w:vAlign w:val="bottom"/>
            <w:tcBorders>
              <w:top w:val="single" w:sz="8" w:color="CCEEFF"/>
            </w:tcBorders>
          </w:tcPr>
          <w:p>
            <w:pPr>
              <w:jc w:val="center"/>
              <w:ind w:left="1630"/>
              <w:spacing w:after="0" w:line="176" w:lineRule="exact"/>
              <w:rPr>
                <w:sz w:val="20"/>
                <w:szCs w:val="20"/>
                <w:color w:val="auto"/>
              </w:rPr>
            </w:pPr>
            <w:r>
              <w:rPr>
                <w:rFonts w:ascii="Arial" w:cs="Arial" w:eastAsia="Arial" w:hAnsi="Arial"/>
                <w:sz w:val="18"/>
                <w:szCs w:val="18"/>
                <w:color w:val="auto"/>
                <w:w w:val="86"/>
              </w:rPr>
              <w:t>102</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8"/>
              </w:rPr>
            </w:pPr>
            <w:hyperlink w:anchor="page107">
              <w:r>
                <w:rPr>
                  <w:rFonts w:ascii="Arial" w:cs="Arial" w:eastAsia="Arial" w:hAnsi="Arial"/>
                  <w:sz w:val="18"/>
                  <w:szCs w:val="18"/>
                  <w:color w:val="0000EE"/>
                  <w:w w:val="98"/>
                </w:rPr>
                <w:t>ITEM 16A. AUDIT COMMITTEE FINANCIAL EXPERT</w:t>
              </w:r>
            </w:hyperlink>
          </w:p>
        </w:tc>
        <w:tc>
          <w:tcPr>
            <w:tcW w:w="4320" w:type="dxa"/>
            <w:vAlign w:val="bottom"/>
            <w:tcBorders>
              <w:bottom w:val="single" w:sz="8" w:color="CCEEFF"/>
            </w:tcBorders>
            <w:gridSpan w:val="15"/>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6"/>
              </w:rPr>
              <w:t>102</w:t>
            </w:r>
          </w:p>
        </w:tc>
      </w:tr>
      <w:tr>
        <w:trPr>
          <w:trHeight w:val="176"/>
        </w:trPr>
        <w:tc>
          <w:tcPr>
            <w:tcW w:w="8620" w:type="dxa"/>
            <w:vAlign w:val="bottom"/>
            <w:gridSpan w:val="30"/>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16B. CODE OF ETHICS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6"/>
              </w:rPr>
              <w:t>102</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16C. PRINCIPAL ACCOUNTANT FEES AND SERVICES</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6"/>
              </w:rPr>
              <w:t>102</w:t>
            </w:r>
          </w:p>
        </w:tc>
      </w:tr>
      <w:tr>
        <w:trPr>
          <w:trHeight w:val="20"/>
        </w:trPr>
        <w:tc>
          <w:tcPr>
            <w:tcW w:w="1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30"/>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16D. EXEMPTIONS FROM THE LISTING STANDARDS FOR AUDIT COMMITTEES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6"/>
              </w:rPr>
              <w:t>103</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16E. PURCHASES OF EQUITY SECURITIES BY THE ISSUER AND AFFILIATED PURCHASERS</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6"/>
              </w:rPr>
              <w:t>103</w:t>
            </w:r>
          </w:p>
        </w:tc>
      </w:tr>
      <w:tr>
        <w:trPr>
          <w:trHeight w:val="175"/>
        </w:trPr>
        <w:tc>
          <w:tcPr>
            <w:tcW w:w="8020" w:type="dxa"/>
            <w:vAlign w:val="bottom"/>
            <w:tcBorders>
              <w:top w:val="single" w:sz="8" w:color="0000EE"/>
            </w:tcBorders>
            <w:gridSpan w:val="29"/>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16F. CHANGE IN REGISTRANT’S CERTIFYING ACCOUNTANT</w:t>
              </w:r>
            </w:hyperlink>
          </w:p>
        </w:tc>
        <w:tc>
          <w:tcPr>
            <w:tcW w:w="600" w:type="dxa"/>
            <w:vAlign w:val="bottom"/>
            <w:tcBorders>
              <w:top w:val="single" w:sz="8" w:color="CCEEFF"/>
            </w:tcBorders>
          </w:tcPr>
          <w:p>
            <w:pPr>
              <w:spacing w:after="0"/>
              <w:rPr>
                <w:sz w:val="15"/>
                <w:szCs w:val="15"/>
                <w:color w:val="auto"/>
              </w:rPr>
            </w:pPr>
          </w:p>
        </w:tc>
        <w:tc>
          <w:tcPr>
            <w:tcW w:w="2620" w:type="dxa"/>
            <w:vAlign w:val="bottom"/>
            <w:tcBorders>
              <w:top w:val="single" w:sz="8" w:color="CCEEFF"/>
            </w:tcBorders>
          </w:tcPr>
          <w:p>
            <w:pPr>
              <w:jc w:val="center"/>
              <w:ind w:left="1630"/>
              <w:spacing w:after="0" w:line="176" w:lineRule="exact"/>
              <w:rPr>
                <w:sz w:val="20"/>
                <w:szCs w:val="20"/>
                <w:color w:val="auto"/>
              </w:rPr>
            </w:pPr>
            <w:r>
              <w:rPr>
                <w:rFonts w:ascii="Arial" w:cs="Arial" w:eastAsia="Arial" w:hAnsi="Arial"/>
                <w:sz w:val="18"/>
                <w:szCs w:val="18"/>
                <w:color w:val="auto"/>
                <w:w w:val="86"/>
              </w:rPr>
              <w:t>103</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30"/>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16G. CORPORATE GOVERNANCE</w:t>
              </w:r>
            </w:hyperlink>
          </w:p>
        </w:tc>
        <w:tc>
          <w:tcPr>
            <w:tcW w:w="2620" w:type="dxa"/>
            <w:vAlign w:val="bottom"/>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6"/>
              </w:rPr>
              <w:t>103</w:t>
            </w:r>
          </w:p>
        </w:tc>
      </w:tr>
      <w:tr>
        <w:trPr>
          <w:trHeight w:val="21"/>
        </w:trPr>
        <w:tc>
          <w:tcPr>
            <w:tcW w:w="1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30"/>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16H. MINE SAFETY DISCLOSURE</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6"/>
              </w:rPr>
              <w:t>103</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8620" w:type="dxa"/>
            <w:vAlign w:val="bottom"/>
            <w:gridSpan w:val="30"/>
          </w:tcPr>
          <w:p>
            <w:pPr>
              <w:spacing w:after="0"/>
              <w:rPr>
                <w:sz w:val="20"/>
                <w:szCs w:val="20"/>
                <w:color w:val="auto"/>
              </w:rPr>
            </w:pPr>
            <w:r>
              <w:rPr>
                <w:rFonts w:ascii="Arial" w:cs="Arial" w:eastAsia="Arial" w:hAnsi="Arial"/>
                <w:sz w:val="18"/>
                <w:szCs w:val="18"/>
                <w:b w:val="1"/>
                <w:bCs w:val="1"/>
                <w:color w:val="auto"/>
              </w:rPr>
              <w:t>PART III</w:t>
            </w:r>
          </w:p>
        </w:tc>
        <w:tc>
          <w:tcPr>
            <w:tcW w:w="262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75"/>
        </w:trPr>
        <w:tc>
          <w:tcPr>
            <w:tcW w:w="8620" w:type="dxa"/>
            <w:vAlign w:val="bottom"/>
            <w:gridSpan w:val="30"/>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ITEM 17. FINANCIAL STATEMENTS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6"/>
              </w:rPr>
              <w:t>104</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7"/>
              </w:rPr>
            </w:pPr>
            <w:hyperlink w:anchor="page109">
              <w:r>
                <w:rPr>
                  <w:rFonts w:ascii="Arial" w:cs="Arial" w:eastAsia="Arial" w:hAnsi="Arial"/>
                  <w:sz w:val="18"/>
                  <w:szCs w:val="18"/>
                  <w:color w:val="0000EE"/>
                  <w:w w:val="97"/>
                </w:rPr>
                <w:t>ITEM 18. FINANCIAL STATEMENTS</w:t>
              </w:r>
            </w:hyperlink>
          </w:p>
        </w:tc>
        <w:tc>
          <w:tcPr>
            <w:tcW w:w="5700" w:type="dxa"/>
            <w:vAlign w:val="bottom"/>
            <w:tcBorders>
              <w:bottom w:val="single" w:sz="8" w:color="CCEEFF"/>
            </w:tcBorders>
            <w:gridSpan w:val="2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Arial" w:cs="Arial" w:eastAsia="Arial" w:hAnsi="Arial"/>
                <w:sz w:val="18"/>
                <w:szCs w:val="18"/>
                <w:color w:val="auto"/>
                <w:w w:val="86"/>
              </w:rPr>
              <w:t>104</w:t>
            </w:r>
          </w:p>
        </w:tc>
      </w:tr>
      <w:tr>
        <w:trPr>
          <w:trHeight w:val="175"/>
        </w:trPr>
        <w:tc>
          <w:tcPr>
            <w:tcW w:w="8620" w:type="dxa"/>
            <w:vAlign w:val="bottom"/>
            <w:gridSpan w:val="30"/>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ITEM 19. EXHIBITS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6"/>
              </w:rPr>
              <w:t>104</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76"/>
        </w:trPr>
        <w:tc>
          <w:tcPr>
            <w:tcW w:w="8620" w:type="dxa"/>
            <w:vAlign w:val="bottom"/>
            <w:gridSpan w:val="30"/>
          </w:tcPr>
          <w:p>
            <w:pPr>
              <w:spacing w:after="0" w:line="17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SIGNATURES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86"/>
              </w:rPr>
              <w:t>106</w:t>
            </w: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75"/>
        </w:trPr>
        <w:tc>
          <w:tcPr>
            <w:tcW w:w="8620" w:type="dxa"/>
            <w:vAlign w:val="bottom"/>
            <w:gridSpan w:val="30"/>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INDEX TO FINANCIAL STATEMENTS</w:t>
              </w:r>
            </w:hyperlink>
          </w:p>
        </w:tc>
        <w:tc>
          <w:tcPr>
            <w:tcW w:w="2620" w:type="dxa"/>
            <w:vAlign w:val="bottom"/>
          </w:tcPr>
          <w:p>
            <w:pPr>
              <w:jc w:val="center"/>
              <w:ind w:left="1630"/>
              <w:spacing w:after="0" w:line="176" w:lineRule="exact"/>
              <w:rPr>
                <w:sz w:val="20"/>
                <w:szCs w:val="20"/>
                <w:color w:val="auto"/>
              </w:rPr>
            </w:pPr>
            <w:r>
              <w:rPr>
                <w:rFonts w:ascii="Arial" w:cs="Arial" w:eastAsia="Arial" w:hAnsi="Arial"/>
                <w:sz w:val="18"/>
                <w:szCs w:val="18"/>
                <w:color w:val="auto"/>
                <w:w w:val="96"/>
              </w:rPr>
              <w:t>F-1</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8"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expansion of our servable addressable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continue our expansion into new product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regarding our distribution strategy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concerning the timing for completion of the development of our new, modern manufacturing facility in Kiryat Gat, Israel;</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impact of new accounting pronouncements on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to file and procure additional patents relating to our intellectual property rights and the adequate protection of these rights;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“ITEM 3.D. Risk Factors” and the additional information contained in “ITEM 4 Information on the Company” and “ITEM 5. Operating and Financial Review and Prospects.”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648"/>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TRADE NAMES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Throughout this annual report, we refer to various trademarks, service marks and trade names that we use in our business. “Kornit Digital”,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spacing w:after="0" w:line="17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annual report,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“Kornit Digital,” “our company,” “the Company,” “the registrant,” “we,” “us,” and “our” refer to Kornit Digital Ltd.;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“ordinary shares”, “our shares” and similar expressions refer to the Company’s Ordinary Shares, par value NIS 0.01 per share;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“dollars”, “U.S. dollars”, “U.S. $” and “$” are to United States Dollars;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“shekels” and “NIS” are to New Israeli Shekels, the Israeli currency;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“GAAP” are to U.S. Generally Accepted Accounting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our “articles” are to our Articles of Association,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“Companies Law” are to the Israeli Companies Law, 5759-1999,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“Securities Act” are to the U.S. Securities Act of 1933,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“Exchange Act” are to the U.S. Securities Exchange Act of 1934,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“NASDAQ” are to the NASDAQ Stock Market;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“SEC” are to the United States Securities and Exchange Commission.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Key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annual report, including “ITEM 5. Operating and Financial Review and Prospects” and our consolidated financial statements and the related notes appearing elsewhere in this annual report.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selected consolidated statements of income data for the years ended December 31, 2017, 2018 and 2019 and selected consolidated balance sheet data as of December 31, 2018 and 2019 are derived from our audited consolidated financial statements appearing in ITEM 18. Financial Statements. The selected consolidated statements of income data for the years ended December 31, 2015 and 2016 and the selected consolidated balance sheet data as of December 31, 2015, 2016 and 2017 has been derived from our audited consolidated financial statements not appearing in this annual report. The historical results set forth below are not necessarily indicative of the results to be expected in future periods. Our financial statements have been prepared in accordance with GAAP.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gridSpan w:val="9"/>
          </w:tcPr>
          <w:p>
            <w:pPr>
              <w:jc w:val="right"/>
              <w:ind w:right="34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86,405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108,694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114,088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20" w:type="dxa"/>
            <w:vAlign w:val="bottom"/>
          </w:tcPr>
          <w:p>
            <w:pPr>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color w:val="auto"/>
                <w:vertAlign w:val="superscript"/>
              </w:rPr>
              <w:t>(1)</w:t>
            </w:r>
          </w:p>
        </w:tc>
        <w:tc>
          <w:tcPr>
            <w:tcW w:w="220" w:type="dxa"/>
            <w:vAlign w:val="bottom"/>
          </w:tcPr>
          <w:p>
            <w:pPr>
              <w:spacing w:after="0"/>
              <w:rPr>
                <w:sz w:val="24"/>
                <w:szCs w:val="24"/>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45,820</w:t>
            </w: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59,284</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59,977</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72,504</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97,790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11,950</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17,383</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20,834</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21,912</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18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13,367</w:t>
            </w:r>
          </w:p>
        </w:tc>
        <w:tc>
          <w:tcPr>
            <w:tcW w:w="20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18,338</w:t>
            </w:r>
          </w:p>
        </w:tc>
        <w:tc>
          <w:tcPr>
            <w:tcW w:w="20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21,279</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25,596</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33,573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9,500</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12,259</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13,578</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16,436</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18,498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0"/>
                <w:szCs w:val="20"/>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5,768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income (expenses), net</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Income (loss) before taxes on income (tax benefit)</w:t>
            </w: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5,434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1,476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(1,631)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7,037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10,911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4,725</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(2,015</w:t>
            </w:r>
          </w:p>
        </w:tc>
        <w:tc>
          <w:tcPr>
            <w:tcW w:w="2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12,429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Net earnings (loss) per ordinary share</w:t>
            </w:r>
            <w:r>
              <w:rPr>
                <w:rFonts w:ascii="Arial" w:cs="Arial" w:eastAsia="Arial" w:hAnsi="Arial"/>
                <w:sz w:val="25"/>
                <w:szCs w:val="25"/>
                <w:color w:val="auto"/>
                <w:vertAlign w:val="superscript"/>
              </w:rPr>
              <w:t>(2)</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vMerge w:val="restart"/>
          </w:tcPr>
          <w:p>
            <w:pPr>
              <w:spacing w:after="0" w:line="206" w:lineRule="exact"/>
              <w:rPr>
                <w:sz w:val="20"/>
                <w:szCs w:val="20"/>
                <w:color w:val="auto"/>
              </w:rPr>
            </w:pPr>
            <w:r>
              <w:rPr>
                <w:rFonts w:ascii="Arial" w:cs="Arial" w:eastAsia="Arial" w:hAnsi="Arial"/>
                <w:sz w:val="18"/>
                <w:szCs w:val="18"/>
                <w:color w:val="auto"/>
              </w:rPr>
              <w:t>Weighted average number of ordinary shares used in</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4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4620" w:type="dxa"/>
            <w:vAlign w:val="bottom"/>
          </w:tcPr>
          <w:p>
            <w:pPr>
              <w:ind w:left="180"/>
              <w:spacing w:after="0" w:line="267"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29"/>
                <w:szCs w:val="29"/>
                <w:color w:val="auto"/>
                <w:vertAlign w:val="superscript"/>
              </w:rPr>
              <w:t>(2)</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24,633,369</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30,562,255</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33,574,147</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34,521,352</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38,079,394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26,458,584</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31,732,532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33,574,147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35,363,704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39,294,115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of December 31,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18,464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18,629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74,132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40,473</w:t>
            </w:r>
          </w:p>
        </w:tc>
        <w:tc>
          <w:tcPr>
            <w:tcW w:w="0" w:type="dxa"/>
            <w:vAlign w:val="bottom"/>
          </w:tcPr>
          <w:p>
            <w:pPr>
              <w:spacing w:after="0"/>
              <w:rPr>
                <w:sz w:val="1"/>
                <w:szCs w:val="1"/>
                <w:color w:val="auto"/>
              </w:rPr>
            </w:pPr>
          </w:p>
        </w:tc>
      </w:tr>
      <w:tr>
        <w:trPr>
          <w:trHeight w:val="257"/>
        </w:trPr>
        <w:tc>
          <w:tcPr>
            <w:tcW w:w="4620" w:type="dxa"/>
            <w:vAlign w:val="bottom"/>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65,455</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68,651</w:t>
            </w:r>
          </w:p>
        </w:tc>
        <w:tc>
          <w:tcPr>
            <w:tcW w:w="480" w:type="dxa"/>
            <w:vAlign w:val="bottom"/>
          </w:tcPr>
          <w:p>
            <w:pPr>
              <w:spacing w:after="0"/>
              <w:rPr>
                <w:sz w:val="22"/>
                <w:szCs w:val="22"/>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63,907</w:t>
            </w:r>
          </w:p>
        </w:tc>
        <w:tc>
          <w:tcPr>
            <w:tcW w:w="28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107,584</w:t>
            </w:r>
          </w:p>
        </w:tc>
        <w:tc>
          <w:tcPr>
            <w:tcW w:w="3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205,825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123,352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140,046</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178,374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214,823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405,466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1,839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2,725</w:t>
            </w:r>
          </w:p>
        </w:tc>
        <w:tc>
          <w:tcPr>
            <w:tcW w:w="48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2,155</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2,515</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100,262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107,188</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150,699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179,136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338,303</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w w:val="96"/>
              </w:rPr>
              <w:t>(1) Includes share-based compensation expense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3"/>
              </w:rPr>
              <w:t>(in thousands)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2,087</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Basic and diluted net earnings per ordinary share is computed based on the basic and diluted weighted average number of ordinary shares outstanding during each period. For additional information, see Notes 2aa and 11 to our consolidated financial statements included in ITEM 18. Financial Statements.</w:t>
      </w:r>
    </w:p>
    <w:p>
      <w:pPr>
        <w:spacing w:after="0" w:line="183"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 In November 2015, the Financial Accounting Standards Board, or the FASB, issued Accounting Standards Update No. 2015-17, Income Taxes (Topic 740): Balance Sheet Classification of Deferred Taxes (ASU 2015-17), which simplifies the presentation of deferred income taxes by requiring deferred tax assets and liabilities to be classified as noncurrent on the balance sheet. We adopted this standard early in 2015 retrospectively and reclassified all of our current deferred tax assets to noncurrent deferred tax assets.</w:t>
      </w:r>
    </w:p>
    <w:p>
      <w:pPr>
        <w:spacing w:after="0" w:line="153" w:lineRule="exact"/>
        <w:rPr>
          <w:rFonts w:ascii="Arial" w:cs="Arial" w:eastAsia="Arial" w:hAnsi="Arial"/>
          <w:sz w:val="16"/>
          <w:szCs w:val="16"/>
          <w:color w:val="auto"/>
        </w:rPr>
      </w:pPr>
    </w:p>
    <w:p>
      <w:pPr>
        <w:ind w:left="660" w:right="8100" w:hanging="328"/>
        <w:spacing w:after="0" w:line="500" w:lineRule="auto"/>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7340" w:hanging="328"/>
        <w:spacing w:after="0" w:line="500" w:lineRule="auto"/>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adversely impacted by our failure to timely introduce new products, or to achieve market acceptance or gain adequate market share for new or existing products.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ability to develop innovative new systems and products is important to our business strategy and competitive position. Difficulties or delays in research, development, production or commercialization of new systems and products could adversely impact our sales and competitive position. We cannot ensure that the significant investments that we have made in distribution, sales and customer service teams to launch the new systems will enable us to successfully market, sell and distribute the systems as planned. Market acceptance of the new systems will depend on, among other things, the systems demonstrating a real advantage over existing printers, the success of our sales and marketing teams in creating awareness of the systems, the sales price and the return on investment of the systems relative to alternative printers, customer recognition of the value of our technology, the effectiveness of our marketing campaigns, and the general willingness of potential customers to try new technologies. If we fail to develop and launch new systems and products, experience cost overruns in connection with such development, or the market does not accept our new systems and products, our business, results of operations and financial condition would be adversely affected. Even if we are successful in selling our new systems which provide greater efficiency and lower cost per print, sales of ink and other consumables per system may decrease, which may adversely affect our results of operations, including gross margin and overall profitability.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and consumables and/or alternative spare parts in our systems, our gross margin could decline significantly, and our business could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and spare parts for our existing and growing installed base of systems. Third parties could try to sell, and purchasers of our systems can seek to buy, alternative versions of our ink and other consumables or alternative spare parts. We have encountered limited instances of these activities by third parties in specific regions. Third-party ink and other consumables and spare parts might be less expensive or otherwise more appealing to our customers than our ink and other consumables. Significant sales of third-party inks and other consumables and spare parts to our customers could adversely impact our revenues and would have a more significant effect on our gross margins and overall profitability.</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Given the sensitivity of our systems and, in particular, print heads to lower quality ink, which may cause our print heads to clog or otherwise malfunction, our systems are setup to operate at the highest throughput level only when using our original ink and other consumables in order to protect them from damage. In addition, since we are unable to control the impact of third-party inks, their use and the use of third-party spare parts might void the warranty that comes with our systems. We have also sought to protect the proprietary technology underlying our ink through patents and other forms of intellectual property protections and include an RFID mechanism with our ink tanks. These steps that we have taken to ensure the smooth operation of our systems and our ability to fully invoke all our intellectual property rights may be challenged. Any reduction in our ability to market and sell our ink and other consumables and spare parts for use in our systems may adversely impact our future revenues and our overall profitability.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We face increased competition and if we do not compete successfully, our revenues and demand for our solutions could decline.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principal competition for our digital printing systems comes from manufacturers of analog screen printing systems, textile printers and ink, such as M&amp;R Printing Equipment, Inc., Machines Highest Mechatronic GmbH and S. Roque – Máquinas e Tecnologia Laser, S.A. Our principal competitor in the industrial digital direct-to-garment market is Aeoon Technologies GmbH. We also face competition in this market from Brother International Corporation, Seiko Epson Corporation, Ricoh Company Ltd. and a number of smaller competitors with respect to our entry level system. Recently, a new competitor, with little track record, entered into the market The Dream Junction/OvalJet. Our competitors in the Direct-to-Fabric (also known as R2R), or DTF, market include: Dover Corporation through its MS Printing Solutions S.r.l. subsidiary; Seiko Epson Corporation through its subsidiary, Fratelli Robustelli S.r.l; Durst Phototechnik AG; Electronics for Imaging, Inc. through its Reggiani Macchine SpA subsidiary; and a number of smaller competitors. 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DTF market gained their current market position by merging with, or acquiring, existing companies in the DTF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direct-to-garment and direct-to-fabric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move towards a higher proportion of direct sales in place of indirect sales may have adverse consequences.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go-to-market strategy consists of a hybrid model of indirect and direct sales, depending on the specific territory into which we are selling. We continually evaluate that strategy in the geographies we serve in an effort to best serve our direct or indirect customers. As we shift towards a direct sales model, we may experience an initial disruption to our sales efforts in those jurisdictions as we transition from our previous sales structure. In addition, a shift to a direct sales model might result in a short-term impact on our results of operations, including due to the acquisition of inventory that requires a step up in basis and other such accounting impacts and costs associated with increased headcount and related expenses. Moreover, the implementation of a direct sales model might require significant management time and attention which might have an adverse impact on our business and results of operations during the transition period. We have been exposed to risks as a result of transitioning from an indirect sales model to a direct sales model, such as difficulties maintaining relationships with specific customers, hiring appropriately trained personnel and ensuring compliance with local product registration requirements.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is concentrated among a small number of customers, and our business would be adversely affected by a decline in sales to, or the loss of, those customers.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years ended December 31, 2018 and 2019, our ten largest customers accounted for approximately 55% and 45% of our revenues, respectively. During those same years, Amazon Corporate LLC, a subsidiary of Amazon.com, Inc., which we collectively refer to as Amazon, accounted for approximately 17% and 12% of our revenues, respectively. Given the concentration of our revenues with these customers, the loss of either Amazon or another one of our significant customers, or variability in their order flows, could materially adversely affect our revenues or results of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operating results are subject to seasonal variations, which could cause the price of our ordinary shares to decline.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is seasonal. Either the third or fourth quarter has historically been our strongest quarter in terms of revenues, and the first quarter has been our weakest. This seasonality coincides with spending in anticipation of the holidays towards the end of the year, especially in the United States and Europe. In the last three fiscal years, we have continuously increased our operating expenses throughout the year, and as such, the expense run rate at which we have ended each year is significantly higher than where we started the given year. The carryover of such costs into the first quarter of the following year results in downward pressure on operating margins, which is compounded by seasonally lower revenue in the first quarter compared to other quarters.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during the third and fourth quarters,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third or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larger accounts, and as we continue to invest in the growth of our business, the impact of this seasonal decline in revenues generated from sales of ink and other consumables has had and may continue to have a more pronounced impact on gross margins and operating margins.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of our systems. Customers that we expect to purchase our systems may delay doing so due to timing of obtaining regulatory permits or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Our Allegro and Vulcan systems are offered at a higher average selling price than our other systems and, as a result, have longer sales cycles. The closing of one or more large transactions in a particular quarter may make it more difficult for us to meet market expectations in subsequent quarters, and our failure to close one or more large transactions in a particular quarter could adversely impact our revenues for that quarter. In addition, we may experience slower growth in our gross margins as our new systems gain commercial acceptance. Our gross margins may also fluctuate based on the regions in which sales of these systems occur.</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To the extent that we have excess inventory of ink and consumables that we are unable to sell due to spoilage or otherwise, we may have to write off such inventory. These inventory requirements may also limit our ability to profit from economies of scale in the production and marketing of our ink and other consumables.</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Furthermore, we base our current and future expense levels on our revenue forecasts and operating plans, and our costs are relatively fixed in the short term, due in part to long lead times required for ordering certain components of our systems and ordering assembly of our systems by third-party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2017, we entered into a master purchase agreement with an affiliate of Amazon.com, Inc. governing sales of our systems and ink and other consumables at agreed-upon prices that vary based on sales volumes. We also agreed to provide maintenance services and extended warranties to Amazon at agreed prices. The term of the agreement is five years beginning on May 1, 2016 and extends automatically for additional one-year periods unless terminated by Amazon. The agreement was amended effective as of March 1, 2017, January 1, 2018 and June 29, 2018, respectively. Under the agreement, we were required to issue to an affiliate of Amazon warrants to purchase up to 2,932,176 of our ordinary shares, which vest based on payments made by Amazon in connection with the purchase of goods and services from us.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agreements with Amazon contain a number of material undertakings and other arrangements:</w:t>
      </w:r>
    </w:p>
    <w:p>
      <w:pPr>
        <w:spacing w:after="0" w:line="225" w:lineRule="exact"/>
        <w:rPr>
          <w:sz w:val="20"/>
          <w:szCs w:val="20"/>
          <w:color w:val="auto"/>
        </w:rPr>
      </w:pPr>
    </w:p>
    <w:p>
      <w:pPr>
        <w:jc w:val="both"/>
        <w:ind w:left="980" w:hanging="324"/>
        <w:spacing w:after="0" w:line="22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revenues are presented net of the relative value of the warrants in each particular period related to the revenues recognized. The value of the warrants is determined as the fair value as of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2019, and reported as a reduction of revenue in the Company’s income statement when related revenues are recognized.</w:t>
      </w:r>
    </w:p>
    <w:p>
      <w:pPr>
        <w:spacing w:after="0" w:line="20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agreed to provide a rebate to Amazon based on the number of systems and amount of ink and other consumables Amazon orders in a given 12-month period. The timing and scale of any such rebate may be difficult to predict and may cause fluctuations in our quarterly and annual revenues, gross profit and operating profit.</w:t>
      </w:r>
    </w:p>
    <w:p>
      <w:pPr>
        <w:spacing w:after="0" w:line="183"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71" w:lineRule="exact"/>
        <w:rPr>
          <w:rFonts w:ascii="Arial" w:cs="Arial" w:eastAsia="Arial" w:hAnsi="Arial"/>
          <w:sz w:val="17"/>
          <w:szCs w:val="17"/>
          <w:color w:val="auto"/>
        </w:rPr>
      </w:pPr>
    </w:p>
    <w:p>
      <w:pPr>
        <w:ind w:left="980" w:right="2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required to deliver our products and services to Amazon and to comply with a service level agreement. If we fail to meet the requirements under such service level agreement Amazon will receive credits against its cost for those delayed products or services.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impact of the provisions listed above cannot be fully predicted in advance and could, in certain circumstances, adversely impact our business or results of operations, or the manner in which investors or analysts assess and perceive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relationships with suppliers, especially with single source suppliers of components, were to terminate, our business could be harmed.</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49" w:lineRule="exact"/>
        <w:rPr>
          <w:sz w:val="20"/>
          <w:szCs w:val="20"/>
          <w:color w:val="auto"/>
        </w:rPr>
      </w:pPr>
    </w:p>
    <w:p>
      <w:pPr>
        <w:jc w:val="both"/>
        <w:ind w:left="980" w:hanging="324"/>
        <w:spacing w:after="0" w:line="290"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print heads for our systems are supplied by a sole supplier, FujiFilm Dimatix, Inc., or FDMX. We entered into an agreement with FDMX in 2015, pursuant to which FDMX sells us certain off-the-shelf print heads and additional products, all of which FDMX regularly sells to providers of inkjet systems. Our current agreement terminates in December 2022, at the conclusion of an initial three-year renewal period, and provides for further one-year renewal periods thereafter. The agreement provides that beginning with the start of the first one-year renewal period, FDMX may increase the prices of the products that we purchase from it upon 90-days’ prior notice, subject to certain conditions. During the successive one-year periods, FDMX or we can terminate the agreement upon 90 days’ notice prior to the end of the then-current term. Our agreement further provides that FDMX may, at its option, discontinue products supplied under the agreement, provided that we are given one-year notice of the planned discontinuance and are provided with an end-of-life purchase program.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left="980" w:hanging="324"/>
        <w:spacing w:after="0" w:line="291"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chemical used in some of our inks is supplied by B.G. (Israel) Technologies Ltd., or BG Bond, a subsidiary of Ashtrom Ltd., a large public Israeli industrial company. We entered into an agreement with BG Bond in December 2016 pursuant to which we agree to purchase, and BG Bond agrees to produce this chemical at set prices. In exchange for an upfront payment, which is refundable upon the purchase of a minimum quantity of the chemical, BG Bond agreed to install additional equipment dedicated to the production of the chemical. The agreement is for a term of five years or until we purchase a certain agreed-upon minimum quantity and cannot be terminated by us other than in case of material breach by BG Bond. For some of our inks, this chemical is supplied by The Dow Chemical Company, a multinational producer of chemicals and other compounds. We currently purchase these chemicals from the Dow Chemical Company on a purchase order basis.</w:t>
      </w:r>
    </w:p>
    <w:p>
      <w:pPr>
        <w:spacing w:after="0" w:line="166" w:lineRule="exact"/>
        <w:rPr>
          <w:rFonts w:ascii="Arial" w:cs="Arial" w:eastAsia="Arial" w:hAnsi="Arial"/>
          <w:sz w:val="16"/>
          <w:szCs w:val="16"/>
          <w:color w:val="auto"/>
        </w:rPr>
      </w:pPr>
    </w:p>
    <w:p>
      <w:pPr>
        <w:jc w:val="both"/>
        <w:ind w:left="980" w:hanging="324"/>
        <w:spacing w:after="0" w:line="27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parts of the control system of our systems are supplied by a sole supplier, Yaskawa Europe Technology Ltd., or Yaskawa. Our turnkey suppliers (Flextronics and Sanmina), which assemble the control system on our behalf, purchase those control system parts from Yaskawa. We also purchase additional, spare control system parts from Yaskawa for our service department on a purchase order basis. Yaskawa maintains additional inventory of these control system parts as safety stock for our benefit, based on our requirements.</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of our printing systems contains a dryer that we purchase from Adelco Screen Process, or Adelco, which serves as a sole supplier of that part. The dryer is supplied under an April 2019 agreement that we entered into with Adelco.</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loss of any of these suppliers, or of a supplier for which there are limited other sources, could result in the delay of the manufacture and delivery of our systems or inks and other consumables.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25" w:lineRule="exact"/>
        <w:rPr>
          <w:sz w:val="20"/>
          <w:szCs w:val="20"/>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 in a timely manner;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or inks and other consumables;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73" w:lineRule="auto"/>
        <w:rPr>
          <w:sz w:val="20"/>
          <w:szCs w:val="20"/>
          <w:color w:val="auto"/>
        </w:rPr>
      </w:pPr>
      <w:r>
        <w:rPr>
          <w:rFonts w:ascii="Arial" w:cs="Arial" w:eastAsia="Arial" w:hAnsi="Arial"/>
          <w:sz w:val="17"/>
          <w:szCs w:val="17"/>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new Kiryat Gat facility is being constructed on lands leased by the Company from the Israel Lands Administration, or ILA. If we are unable to continue to use such lands, we would be unable to use the facility and our results of operations and future prospects will suffer as a result. In addition, construction of the facility may subject us to risks of construction delays or cost overruns.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November 2018, we entered into a development agreement, which we refer to as the Development Agreement, with the ILA for the construction of our new, modern, manufacturing facility in Kiryat Gat on lands leased from the ILA. Construction has begun and is currently expected to be completed by 2020. The Development Agreement provides that if our company were a “foreign subject,” which includes our company being under foreign control (i.e., a majority of our ordinary shares are held by non-Israelis), that would constitute a fundamental breach under the agreement. We intend to follow a specific standard process for seeking approval from the ILA in which the ILA approves our entering into the Development Agreement despite our potential status as a “foreign subject,” since our shares are traded on Nasdaq, and we are held by multiple shareholders whose identities are unknown. However, should such approval not be provided, the ILA would be entitled to terminate the Development Agreement if our company would be considered a “foreign subject” under the terms of such agreement. If the Development Agreement were terminated, we would be unable to use the new Kiryat Gat facility being constructed on this property pursuant to the Development Agreement, which would have a material adverse effect on our results of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in January 2019 we entered into a primary contractor agreement with Agrotop Ltd. to begin construction of our Kiryat Gat facility. In April 2019, we entered into an agreement with Y.V. Galil Engineering Ltd. for the design and installation of a production line at the new facility. We are also paying Galil Engineering on a time and materials basis. The construction of the new facility, including the production line, is expected to be completed on or about August 2020. We anticipate some delays due to the Coronavirus effect. We currently estimate that the total cost for land, construction of the facility and design and installation of the production line will be approximately NIS 62 million (approximately $17.5 million based on current exchange rates). This project is subject to risks of delay or cost overruns inherent in any construction project resulting from numerous factors, including the following:</w:t>
      </w:r>
    </w:p>
    <w:p>
      <w:pPr>
        <w:spacing w:after="0" w:line="19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unscheduled delays in the delivery of ordered materials and equipment;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 increases;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interferences;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obtaining necessary permits or in meeting permit conditions.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material delay or cost overrun in connection with the construction of the Kiryat Gat facility or the installation of the production line could adversely impact our results of operations and future prospects.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manufacture our ink and other consumables at our facility in Kiryat Gat, Israel (which we are in the process of replacing with a new, modern facility being constructed). We also rely on contract manufacturing services provided by Flextronics Israel Ltd. and Sanmina-SCI Israel Medical Systems Ltd., which are also in Israel, to assemble our systems. We expect that almost all of our revenues in the near term will be derived from the systems and ink and other consumables manufactured at these facilities.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79" w:lineRule="auto"/>
        <w:rPr>
          <w:sz w:val="20"/>
          <w:szCs w:val="20"/>
          <w:color w:val="auto"/>
        </w:rPr>
      </w:pPr>
      <w:r>
        <w:rPr>
          <w:rFonts w:ascii="Arial" w:cs="Arial" w:eastAsia="Arial" w:hAnsi="Arial"/>
          <w:sz w:val="17"/>
          <w:szCs w:val="17"/>
          <w:color w:val="auto"/>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at any given moment we have only a limited inventory of our systems and ink and other consumables that we can supply to our customers in the event that our manufacturing is disrupted.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decline in the near-term if we fail to execute on our growth strategies.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operating margin was 4.2% in 2019 and 3.9% in 2018, and we had an operating loss of 1.8% in 2017. Our growth strategies, many of which are aimed at achieving operating and net profit margins, include increasing sales to existing customers, acquiring new high-volume customers, capitalizing on growth in our targeted markets and extending our serviceable addressable market by continuing to enhance our solutions. If we do not execute these strategies successfully, it could adversely impact our revenues and have a negative impact on our operating and net profit margins.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negatively affected if we fail to effectively manage our growth.</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experienced significant growth in a relatively short period of time and intend to continue to grow our business. Our revenues grew from $66.4 million in 2014 to $179.9 million in 2019. Our headcount increased from 251 as of December 31, 2014 to 547 as of December 31, 2019. We plan to continue to hire additional employees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we must continue to improve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disruptions of our information technology systems or breaches of our data security could adversely affect our business.</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significant invasion,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 attacks, which may compromise our systems and lead to data leakage either internally or at our third party suppliers or customers. Both data that has been inputted into our main IT platform, which covers records of transactions, financial data and other data reflected in our results of operations, as well as data related to our proprietary rights (such as research and development, and other intellectual property- related data), are subject to material cyber security risks. Our IT systems have been, and are expected to continue to be, the target of malware and other cyber attacks. To date, we are not aware that we have experienced any loss of, or disruption to, material information as a result of any such malware or cyber attack.</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We have invested in advanced protective systems to reduce these risks, some of which have been installed and others that are still in the process of installation.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 attack does not necessarily cause the loss of that information. We furthermore review our protections and remedial measures periodically in order to ensure that they are adequate.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 attack or incident.</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our customers are subject to extensive environmental, health and safety laws and regulations which, if not met, could have a material adverse effect on our business, financial condition and results of operations.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of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i w:val="1"/>
          <w:iCs w:val="1"/>
          <w:color w:val="auto"/>
        </w:rPr>
        <w:t>Exchange rate fluctuations between the U.S. dollar and the Israeli shekel, the Euro and other non-U.S. currencies may negatively affect our earnings.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U.S.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NIS appreciated by 6.3%, 0.1% and 0.9% against the dollar in 2017, 2018 and 2019, respectively. During these periods, there was inflation of 0.4%, 0.8% and 0.6% in Israel in 2017, 2018 and 2019, respectively. If the dollar cost of our operations increases, our dollar-measured results of operations will be adversely affected. See “ITEM 11. Quantitative and Qualitative Disclosures about Market Risk—Foreign Currency Risk.”</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 material portion of our leases are denominated in currencies other than the U.S. dollar, mainly in NIS. In accordance with a new lease accounting standard, which became effective on January 1, 2019, the associated lease liabilities will be remeasured using the current exchange rate in future reporting periods, which may result in material foreign exchange gains or losses. See Note 2, “Significant Accounting Policies”, to the consolidated financial statements included in Item 18 of this annual report for more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 Following certain previously reported changes to our senior management team in 2018 and 2019, effective as of April 1, 2020, Gilad Yron, our Executive VP Global Business, will no longer serve in that role at our company and will be succeeded by Ms. Jecka Glasman, our recently appointed Chief Commercial Officer. To the extent we experience additional frequent changes in our leadership team (or the leadership teams of our subsidiaries) going forward, that could adversely affect our performance in a material manner.</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9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as well as longer collection periods;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uncertainty around the world, including in respect of how our operations and sales in the European Union and the United Kingdom may potentially be impacted by Brexit;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 to the supply of certain of our raw materials for our products that are sourced in countries impacted by the coronavirus outbreak, due to the slowdown in activity there (although our products are manufactured in Israel only);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impact to our revenues worldwide, due to the spread of the coronavirus throughout the world, which has reduced economic activity in markets into which we sell our products;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left="980" w:hanging="324"/>
        <w:spacing w:after="0" w:line="296"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greater risk of a failure of employees to comply with both U.S. and foreign laws, including antitrust regulations, the U.S. Foreign Corrupt Practices Act, or FCPA, the European Union General Data Protection Regulation, or GDPR (which broadened the scope of personal privacy laws to protect the rights of European Union citizens and requires organizations to report on data breaches promptly and obtain the consent of individuals on how their data can be used), the California Consumer Privacy Act, or CCPA (which imposes enhanced disclosure requirements for us vis-à-vis our interactions with customers that are residents of California), and any trade regulations ensuring fair trade practices; and</w:t>
      </w:r>
    </w:p>
    <w:p>
      <w:pPr>
        <w:spacing w:after="0" w:line="161"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that we have in place and/or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patent protection for our solutions or otherwise protect our intellectual property rights, our business could suffer.</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6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of December 31, 2019, we owned twenty-three (23) issued patents in the United States and twenty-three (23) provisional or pending U.S. patent applications, along with thirty-three (33) pending non-U.S. patent applications. We also had eighteen (18) patents issued in non-U.S. jurisdictions, and eleven (11) pending Patent Cooperation Treaty patent applications, which are counterparts of our U.S. patent applications. The non-U.S. jurisdictions in which we have issued patents or pending applications are China, the European Union or European countries of the European Union, Hong Kong, Israel, Canada, Australia, Republic of Korea, South Africa, Brazil, Japan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whiFch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87" w:lineRule="auto"/>
        <w:rPr>
          <w:sz w:val="20"/>
          <w:szCs w:val="20"/>
          <w:color w:val="auto"/>
        </w:rPr>
      </w:pPr>
      <w:r>
        <w:rPr>
          <w:rFonts w:ascii="Arial" w:cs="Arial" w:eastAsia="Arial" w:hAnsi="Arial"/>
          <w:sz w:val="16"/>
          <w:szCs w:val="16"/>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2017 report on intellectual property rights protection and enforcement published by the Office of the United States Trade Representative, such countries included Argentina, Chile, China, India, Indonesia, Russia, Thailand and Ukraine (designated as priority watch list countries).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own trademarks that identify “Kornit” “NeoPigment” and the “K” logo, and we have an additional pending trademark application for the “Konnect” logo, among others, and have registered these trademarks in certain key markets. Although we take steps to monitor the possible infringement or misuse of our trademarks, third parties may violate our trademark rights. In addition, we may not have trademark rights in all of the markets in which we may sell our products. Any unauthorized use of our trademarks could harm our reputation or commercial interests. In addition, efforts to enforce our trademarks may be expensive and time-consuming and may not effectively prevent infringement.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trademark rights may furthermore be subject to litigation. During 2016 we were subject to an opposition to our application to the European Union Intellectual Property Office, or EUIPO, to register the “Kornit” trademark in the European Union, on the part of Grupo FB Maquinaria, S.A., or Grupo, which claimed that it had earlier registered that trademark. While we ultimately succeeded, and the EUIPO ruled in our favor in April 2019 and registered the trademark in our name, we could face similar future challenges to our trademark rights in various jurisdictions around the globe.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in the past and may in the future become subject to third-party claims that assert that our solutions, services and intellectual property infringe, misappropriate or otherwise violate third-party intellectual property or other proprietary rights.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require us to redesign our technology or force us to enter into costly settlement or license agreements on terms that are unfavorable to us;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prevent us from manufacturing, importing, using, or selling some or all of our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 our operations or the markets in which we compete;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costly damage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indemnify our distributors and customers;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pay royalties.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 by 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Undetected defects in the design or manufacturing of our products may harm our business and results of operations.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follow-on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part of our business strategy and in order to remain competitive, we have acquired businesses and may acquire or make investments in other complementary companies, products or technologies. However, we have only made small acquisitions and our experience in acquiring and integrating other companies, products or technologies is limited.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tax liabilities in the future as a result of audits of our tax returns.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subject to income taxes principally in Israel, Germany, Hong-Kong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We are currently subject to a tax audit for the years 2013 to 2018 by the Israeli Tax Authority, or ITA. We have received the assessments for years 2013 and 2014 and they subject to another review by the ITA before they are finalized. The company is eligible to send its comments before the second review. According to a legal opinion we have received from our legal counsels, the claims we had and the positions we took on our tax returns are solid and valid, and we don’t believe the first assessment will be effective. The ITA may furthermore disagree with our positions taken in our tax returns for any other years as well, and we may be subject to additional tax liabilities, which could have a material adverse effect on our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widespread outbreak of illness due to the coronavirus may hurt our business in many ways, and, if prolonged, would likely adversely impact our operating results and financial condition in a significant manner.</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business has begun to be adversely affected by the recent, widespread outbreak of respiratory illness caused by the coronavirus that was first identified in Wuhan, Hubei Province, China. If that outbreak continues or worsens, or if any other outbreak of contagious diseases occurs, and is accompanied by further adverse public health developments, that will likely have a material and adverse effect on our business operations. The impact could include disruptions or restrictions on our ability to ensure the continuous manufacture and supply of our systems and services, as well as temporary closures of our facilities or the facilities of the third-party distributors or service providers for our systems. Any such disruptions or restrictions will adversely impact our revenues, cash flows, and profitability, as well as our overall operating results and financial condition. In addition, the outbreak of contagious diseases in the human population that results in a prolonged widespread health crisis that adversely affects the economies and financial markets worldwide and causes an economic downturn will affect demand for our products and services and significantly adversely impact our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ordinary shares were first offered publicly in our initial public offering in April 2015 at a price of $10.00 per share, and our ordinary shares have subsequently traded as high as $44.55 and as low as $8.10 through March 15, 2020. The market price of our ordinary shares could be highly volatile and may fluctuate substantially as a result of many factors, including:</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changes in service provider relationships, acquisitions, strategic relationships or expansion plans;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prices of our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 Furthermore, share price volatility may impact the fair value of the warrants granted to Amazon and as a result may impact revenues and profits.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(subject to any extraordinary market conditions that might arise) to retain all available funds and any future earnings to fund the development and growth of our business. As a result, capital appreciation, if any, of our ordinary shares should be investors’ principal expected source of gain for the foreseeable future. To the extent that volatile or depressed market conditions (whether in the wake of the coronavirus outbreak or otherwise) reduce the trading price of our ordinary shares substantially for an extended period of time, we may potentially consider using a portion of our cash reserves for share repurchases. In addition to considerations related to corporate finance,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(25%, which is less than the one-third minimum required under the NASDAQ rules) and (ii) independent director oversight requirement for director nominations (the board as a whole, rather than an entirely independent nominating committee or only the independent directors, handles this under Israeli law). See “ITEM 16G. Corporate Governance.” Furthermore, we may in the future elect to follow Israeli home country practices in lieu of the NASDAQ requirements on other matters, such as the requirement to hold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89"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225" w:lineRule="exact"/>
        <w:rPr>
          <w:sz w:val="20"/>
          <w:szCs w:val="20"/>
          <w:color w:val="auto"/>
        </w:rPr>
      </w:pPr>
    </w:p>
    <w:p>
      <w:pPr>
        <w:jc w:val="both"/>
        <w:ind w:firstLine="706"/>
        <w:spacing w:after="0" w:line="263"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to pay for acquisitions using, our equity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Amazon is entitled to certain registration rights with respect to the 2,932,176 ordinary shares underlying its warrants, pursuant to a transaction agreement that we entered into with Amazon on January 10, 2017 and that was effective on May 8, 2016. All shares sold pursuant to an offering covered by a registration statement will be freely transferable except if purchased by an affiliate. See “ITEM 10.C — Material Contracts — Agreements with Amazon —Transaction Agreement and Warrant” in this annual report.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455,735 ordinary shares are issuable under currently vested and exercisable share options granted to employees and office holders as of February 14, 2020. We have filed registration statements on Form S-8 under the Securities Act registering our potential issuance of those ordinary shares under our share incentive plans, of which as of February 24, 2020, there were options, restricted share units and warrants to purchase 3,363,054 shares outstanding. Shares included in such registration statements may be freely sold in the public market upon issuance, except for shares held by affiliates who have certain restrictions on their ability to sell</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Under Section 404 of the Sarbanes-Oxley Act, because we are no longer an emerging growth company, we are for the first time required to obtain an auditor attestation regarding our internal control over financial reporting, which requires enhanced actions on our part that we may not successfully implement in an ongoing manner.</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Effective as of January 1, 2019, we no longer qualify as an “emerging growth company” under the JOBS Act, and we have lost the ability to rely on the exemptions related thereto. Consequently, for the first time, in connection with this annual report, our independent registered public accounting firm is required to attest to the effectiveness of our internal control over financial reporting under Section 404 of the Sarbanes-Oxley Act. We are furthermore required (as we had been previously) to comply with the evaluation and certification requirements of Section 404 with respect to internal control over financial reporting. To maintain the effectiveness of our disclosure controls and procedures and our internal control over financial reporting, we may need to continue enhancing existing, and implement new, financial reporting and management systems, procedures and controls to manage our business effectively and support our growth in the future. Irrespective of compliance with Section 404, any failure of our internal controls could have a material adverse effect on our stated results of operations and harm our reputation. If any such failure were to occur, we may be required to take remedial actions and make required changes to our internal control over financial reporting and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it could adversely affect our operations, financial reporting and/or results of operations and could result in an adverse opinion on internal controls from our independent auditors.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ended December 31, 2019 and we do not expect that we will be classified as a PFIC for the taxable year ending December 31, 2020. However, because PFIC status is based on our income, assets and activities for the entire taxable year, it is not possible to determine whether we will be characterized as a PFIC for our 2020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 - U.S. Federal Income Taxation - Passive Foreign Investment Company Considerations.”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Certain U.S. holders of our ordinary shares may suffer adverse tax consequences if we or any of our non-U.S. subsidiaries are characterized as a “controlled foreign corporation”, or a CFC, under Section 957(a) of the Internal Revenue Code of 1986, as amended, or the Code.</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(for the taxable year of a non-U.S. corporation beginning after December 31, 2017 and for taxable years of shareholders with or within which such taxable years of such non-U.S. corporation ends) 10% or more of the value on any day during the taxable year of such non-U.S. corporation (“10% U.S. Shareholders”). Generally, a 10% U.S. Shareholder of a CFC is required to include currently in gross income such 10% U.S. Shareholder’s share of the CFC’s “Subpart F income”, a portion of the CFC’s earnings to the extent the CFC holds certain U.S. property, and certain other new items under the Tax Cuts and Jobs Act of 2017, or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changes to the CFC constructive ownership rules introduced by the Tax Act may cause one or more of our non-U.S. subsidiaries to be treated as CFCs, may also impact our CFC status and, thus, may affect holders of our common shares that are United States shareholders. For 10% U.S. Shareholders,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common shares and the impact of the Tax Act, especially the changes to the rules relating to CFCs. We have taken steps with the assistance of external tax consultants to prevent our subsidiaries from being treated as CFCs subsidiaries and it is not expected that any of the subsidiaries will be treated as CFCs.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about our business or if analysts, including short sellers, issue unfavorable commentary or downgrade our ordinary shares, the price of our ordinary shares could decline. Additionally, we may fail to meet publicly announced financial guidance or other expectations about our business, which would cause our ordinary shares to decline in value.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The price of our ordinary shares could decline if one or more securities analysts downgrade our ordinary shares or if one or more of those analysts issue other unfavorable commentary or cease publishing reports about us or our business. The market price for our ordinary shares has been in the past, and may be in the future, materially and adversely affected by allegations made in reports issued by short sellers regarding our business model, our management and our financial accounting. If our financial results for a particular period do not meet our guidance or if we reduce our guidance for future periods, the market price of our ordinary shares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headquarters, research and development and manufacturing facility, and the primary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have commenced implementation of a business continuity plan which provides for alternative sites outside of Israel, there can be no assurance that such plan will be successful. Any armed conflict involving Israel could adversely affect our operations and results of operations.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2019, we had 339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will be terminated in the future, which will increase our costs.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and our wholly owned Israeli subsidiary, Kornit Digital Technologies Ltd., or Kornit Technologies, are entitled to various tax benefits under the Israeli Law for the Encouragement of Capital Investments, 1959, or the Investment Law. As a result of this status, we expect to have a reduced tax rate for our taxable income generated in Israel in 2020. However, if we do not meet the requirements for maintaining these benefits, the tax benefits may be reduced or cancelled and the relevant operations would be subject to Israeli corporate tax at the standard rate, which is currently set as 23%. In addition to being subject to the standard corporate tax rate, we might be required to refund any tax benefits that we have already received, as adjusted by the Israeli consumer price index, plus interest and monetary penalties thereon. Once these tax benefits are eliminated, the amount of taxes that we pay will increase, as all our operations would consequently be subject to corporate tax at the standard rate, which could adversely affect our results of operations. Additionally, prior to the expiration of our tax benefits, if we increase our operational activities outside of Israel, for example, via acquisitions, our increased activities may not be eligible for inclusion in Israeli tax benefit programs. See “ITEM 5. Operating and Financial Review and Prospects - Taxation and Israeli Government Programs Applicable to our Company — Law for the Encouragement of Capital Investments, 5719-1959.”</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received and may receive further Israeli government grants for certain research and development activities. The terms of those grants restrict our ability to transfer manufacturing operations or technology outside of Israel.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2019, we received new commitments from the Innovation Authority for non-royalty bearing grants to reimburse us for up to 50% of our research and development expenses in connection with two projects, for an amount of NIS 1.59 million (approximately $0.44 million), in the aggregate. To date, we have received from the Innovation Authority NIS 0.87 million (approximately $245,000)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 in connection with that new funding that we have begun to receive and any past funding that we had received from the Innovation Authority.</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set forth under the Innovation Law, to which we are subject (even after repaying grants we have received) include:</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 funding of the Innovation Authority outside of</w:t>
      </w:r>
      <w:r>
        <w:rPr>
          <w:rFonts w:ascii="Arial" w:cs="Arial" w:eastAsia="Arial" w:hAnsi="Arial"/>
          <w:sz w:val="18"/>
          <w:szCs w:val="18"/>
          <w:i w:val="1"/>
          <w:iCs w:val="1"/>
          <w:color w:val="auto"/>
        </w:rPr>
        <w:t xml:space="preserve"> </w:t>
      </w:r>
      <w:r>
        <w:rPr>
          <w:rFonts w:ascii="Arial" w:cs="Arial" w:eastAsia="Arial" w:hAnsi="Arial"/>
          <w:sz w:val="18"/>
          <w:szCs w:val="18"/>
          <w:color w:val="auto"/>
        </w:rPr>
        <w:t>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86" w:lineRule="exact"/>
        <w:rPr>
          <w:rFonts w:ascii="Arial" w:cs="Arial" w:eastAsia="Arial" w:hAnsi="Arial"/>
          <w:sz w:val="18"/>
          <w:szCs w:val="18"/>
          <w:i w:val="1"/>
          <w:iCs w:val="1"/>
          <w:color w:val="auto"/>
        </w:rPr>
      </w:pPr>
    </w:p>
    <w:p>
      <w:pPr>
        <w:jc w:val="both"/>
        <w:ind w:left="980" w:hanging="324"/>
        <w:spacing w:after="0" w:line="257"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Local manufacturing obligation. </w:t>
      </w:r>
      <w:r>
        <w:rPr>
          <w:rFonts w:ascii="Arial" w:cs="Arial" w:eastAsia="Arial" w:hAnsi="Arial"/>
          <w:sz w:val="18"/>
          <w:szCs w:val="18"/>
          <w:color w:val="auto"/>
        </w:rPr>
        <w:t>The terms of the grants under the Innovation Law require that the manufacturing of products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187"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 required to notify the Innovation Authority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events enumerated in the Innovation Law.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93" w:lineRule="auto"/>
        <w:rPr>
          <w:sz w:val="20"/>
          <w:szCs w:val="20"/>
          <w:color w:val="auto"/>
        </w:rPr>
      </w:pPr>
      <w:r>
        <w:rPr>
          <w:rFonts w:ascii="Arial" w:cs="Arial" w:eastAsia="Arial" w:hAnsi="Arial"/>
          <w:sz w:val="16"/>
          <w:szCs w:val="16"/>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 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“ITEM 10.B — Articles of Association — Acquisitions under Israeli Law.”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articles provide that our directors (other than external directors) are elected on a staggered basis, such that a potential acquirer cannot readily replace our entire board of directors at a single annual general shareholder meeting.</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Information on the Company.</w:t>
      </w:r>
    </w:p>
    <w:p>
      <w:pPr>
        <w:spacing w:after="0" w:line="225" w:lineRule="exact"/>
        <w:rPr>
          <w:sz w:val="20"/>
          <w:szCs w:val="20"/>
          <w:color w:val="auto"/>
        </w:rPr>
      </w:pPr>
    </w:p>
    <w:p>
      <w:pPr>
        <w:ind w:right="7340" w:firstLine="332"/>
        <w:spacing w:after="0" w:line="503" w:lineRule="auto"/>
        <w:tabs>
          <w:tab w:leader="none" w:pos="6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 Our History</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legal name is Kornit Digital Ltd. and we were incorporated under the laws of the State of Israel on January 16, 2002.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2015, we completed our initial public offering, or IPO, pursuant to which we sold 8.165 million ordinary shares for aggregate gross proceeds (before underwriting discounts, commissions and expenses) of $81.65 million. Our ordinary shares began trading on the NASDAQ Global Select Market, under the symbol “KRNT,” on April 2, 2015. On January 31, 2017 and June 18, 2019, we completed follow-on offerings pursuant to which we sold 2.3 million and 5.0 million ordinary shares, respectively, for aggregate gross proceeds (before underwriting discounts, commissions and expenses) of $38.0 million and $137.3 million, respectively.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the provisions of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annual report). Our agent for service of process in the United States is Kornit Digital North America Inc., located at 480 South Dean Street Englewood, NJ 07631, and its telephone number is (262) 518-0200.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Capital Expenditures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Capital expenditures in the years ended December 31, 2017, 2018 and 2019 were principally used for the purchase of property, plant and equipment ($5.7 million, $7.3 million and $5.4 million in 2017, 2018 and 2019, respectively). Those amounts included $1.8 million, in the aggregate invested over the course of those three years towards our now-complete, new headquarters in the United States. The amounts for 2018 and 2019 included $6.1 million spent towards land and construction of our new 6,400 square meter manufacturing and ink storage facility in Kiryat Gat, Israel, for which construction began in January 2019. The construction of that new facility, including a production line being installed there, is expected to be completed approximately in August 2020. We may experience some delays in construction due to the effects of the coronavirus. We currently estimate that the total cost for land, construction of the facility, design and installation of the production line, will be approximately NIS 62 million (approximately $17.5 million based on current exchange rates). We are financing the construction of that facility from cash on hand. On February 7, 2019, we consummated an asset purchase from Hirsch Solutions Inc., our former primary distributor in the United States and Canada, which accounted for 18% and 15% of our revenues in the years ended December 31, 2017 and 2018, respectively, to purchase remaining Kornit business assets related to the former distribution agreement between the companies. On the closing date, our company, through our wholly owned subsidiary Kornit Digital North America Inc., took ownership of relevant Kornit-related customer business assets as well as remaining inventory of systems and ink. Under the related acquisition agreement, the total consideration was $4.7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Industry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General Textile Industry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Textile is a flexible material formed using various processes, including weaving, knitting, crocheting or felting. This material may be used for manufacturing a broad range of conventional as well as advanced, finished goods, which may be broadly categorized (as related to the focus of our business) into fashion, apparel, home decoration and soft signage applications. According to a report published by Marketline in December 2018, the value of the global apparel retail market totaled $1.4 trillion in 2017. The compound annual growth rate (CAGR) of the market was 4.4% between 2013 and 2017. The global apparel retail market is forecast to reach $1.8 trillion in 2022, an increase of 29.7% since 2017, reflecting a CAGR of 5.3%. Rising disposable income, urbanization and population growth in emerging economies is expected to play an important role in improving the lifestyle of consumers, which is expected to drive the demand for textile products.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global printed textile industry involves printing on fabric rolls, finished garments and unsewn pieces of cut fabric at various stages along the value chain in the production of goods for (as related to the focus of our business) fashion, apparel, home decoration and soft signage applications. According to The Future of Digital Textile Printing report published by Pira in 2019, approximately 95% of the global output of printed textile in 2018 was carried out via analogue methods of printing. According to the same Pira report, the global value of digital printed textile output was estimated to be approximately $3.2 billion in 2018 and is expected to grow to approximately $5.5 billion by 2023, reflecting a CAGR of 11.6% in the five-year period from 2018 to 2023. According to the same Pira report, digital textile output volume was estimated to be approximately 2.2 billion square meters in 2018 and is expected to reach 4.1 billion square meters in 2023, reflecting a CAGR of 13.4% for the five-year period from 2018 to 2023. Pira estimates that global digital printed textile output constituted less than 5% of the total global printed textile output in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 Trends Affecting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4.0</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Digitization of manufacturing is transforming the way products are being produced. This transformation process is also broadly referred to as Industry 4.0, representing the fourth industrial revolution occurring in manufacturing. This fourth industrial revolution is mainly about full digitization and the move away from analogue production methods, as well as cloud networks connectivity, and the introduction of autonomous systems fueled by data and machine learning. As a result of the support of machines that keep getting smarter as they get access to more data, the increased use of affordable robotics in production environments, and the data-connected logistics supply chain, our future factories are predicted to become more efficient, productive and less wasteful. The fashion and apparel industry segments in which we operate have been operating for decades in traditional, analogue and labor-intensive models, which will yield to what can also be referred to as Textile 4.0.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E-Commerce Boom</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E-commerce has grown globally at an unprecedented rate and is transforming retailing, across industries. Around the world, e-commerce is entirely changing the way people shop. In the major consumer markets of Europe, the U.S. and China, e-commerce is fast trending towards becoming the preferred shopping method for many people. Having access to global shopping opportunities allows consumers to save time, save money and have access to greater choices. E-commerce giants and technology vendors continue to invest in advanced technologies such as virtual reality, 3D modeling, augmented reality, and artificial intelligence in a continuous effort to improve the online shopping experience.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Goldman Sachs estimated in a research report dated September 24, 2019 that the global ecommerce market (excluding travel) was worth approximately US $2.5 trillion in 2019, with a projected year-over-year CAGR of +20% until 2023. According to the same report, e-commerce was estimated to represent approximately 23.0%, 13.3%, and 10.6% of all retail sales in 2019 in China, the U.S. and Western Europe, respectively. M-commerce is about to burst into the mainstream thanks to a host of technological advances that are making it easier for people to shop on their phones. Business Insider predicted, in a 2019 report, m-commerce volume to rise at a CAGR of 24% from $205.0 billion at 2019 to hit $488.0 billion, or 44% of e-commerce, in 2024.</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a global consumer survey performed by The Nilsen Company in 2018, fashion and apparel are, together, one of the top segments in ecommerce retail</w:t>
      </w:r>
      <w:r>
        <w:rPr>
          <w:rFonts w:ascii="Arial" w:cs="Arial" w:eastAsia="Arial" w:hAnsi="Arial"/>
          <w:sz w:val="18"/>
          <w:szCs w:val="18"/>
          <w:i w:val="1"/>
          <w:iCs w:val="1"/>
          <w:color w:val="auto"/>
        </w:rPr>
        <w:t>,</w:t>
      </w:r>
      <w:r>
        <w:rPr>
          <w:rFonts w:ascii="Arial" w:cs="Arial" w:eastAsia="Arial" w:hAnsi="Arial"/>
          <w:sz w:val="18"/>
          <w:szCs w:val="18"/>
          <w:color w:val="auto"/>
        </w:rPr>
        <w:t xml:space="preserve"> predicted (according to a study published by Statista, the Statistics Portal) to increase at a compound annual rate of 12.2% from $518.9 billion in 2018 to more than $992 billion by 2023, as brands and retailers continue to adopt digital technologies that offer highly relevant and personalized customer experiences.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fashion and apparel industry, mobile purchases account for 65.4% of traffic to online fashion retailers and 57.1% of sales, much higher than the overall retail average.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Retail Meltdown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last decade, various factors have resulted in the shrinking, bankruptcy/reorganization or total closing of numerous traditional North American retailers. Announcements from major retailers of plans to either discontinue or greatly scale back their retail presence continued in 2018 and into 2019. For example, Sears Holdings filed for bankruptcy protection in October 2018, J.C Penney has been closing stores, including in 2019, and Payless Shoesource has announced plans to close all of its stores in 2019.</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real estate tracking done by Coresight Research in 2019 US retailers announced 9,302 store closings, a 59% jump from 2018 and the highest number since Coresight Research began tracking the data in 2012.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research report published by Goldman Sachs on September 5, 2018, states that approximately 27% of announced store closures in 2018 were in the apparel and accessories categories.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 to a research held by UBS in April 2019, Online sales rise will force up to 75,000 stores in the US to close by 2026, including more than 20,000 clothing stores, or 17% of all clothing shops across the US.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primary factors affecting the continued closing of traditional retail stores are the shift in consumer habits towards online shopping, a less than inspiring shopping experience at traditional brick-and-mortar stores, retailers’ inability to sell trend-right apparel, and the ongoing pile-up of unsold inventory, which has put pressure on profits. Traditional retailers are struggling to find the right balance between supply and demand, so that they do not end up with too much inventory on their shelves or in stock rooms. When merchandise piles too high, traditional retailers are forced to use steep discounts to deplete inventory and make room for next season’s goods. Further, eCommerce share gains continue to put pressure on traditional retail stores that are finding it difficult to compete with the level of selection, price, service, and convenience provided by many of the pure-play eCommerce companies or scaled omni-channel retailers.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Social Media Platforms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Social platforms, historically categorized into media and networks (which categories have merged in recent years), have changed the industrial and business landscape, both for companies that have adopted them and for those that have not. Social media platforms have an extremely powerful impact on the ways in which individuals and organizations are communicating with each other, and a powerful impact on consumer trends, demand and brands perception. The number of social media users, according to Dataportal data from Jan 2020, was 3.8 billion, 49% of the total world population. In the US alone, according to Statista data from December 2019, more than 73% of the population use social medias. This mainstream effect has a dramatic impact on the ability of small and micro brands, some of which are initiated by individuals or organizations that are leveraging their social influence status to inspire individuals who, in turn, purchase those brands’ products, to achieve ultra-fast recognition and exponential growth at the expense of traditional players, which need to develop agility in order to connect with consumers.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need to reduce or contain the ecological footprint of the textile industry is affecting the entire industrial system. The urgency for change has flowed through from political and environmental activists and scientists, into mainstream government regulators and business leadership across the globe. A sustainable industrial system requires formulation of new strategies and thinking, integrated into business and operational frameworks around sustainable manufacturing, supply chain design, sustainability performance measurement and ongoing management. Industry is now considered not only part of the problem but also part of the solution. From a practical point of view, as it comes to sustainability strategies, companies are focused on technology improvements enabling cleaner production, pollution prevention, and other sustainable manufacturing practices.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Among the biggest environmental impacts of the textile industry, two noticeable impacts are water pollution and waste of both water and garments.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some of the countries in which garments are produced, untreated toxic wastewaters from textile factories are dumped directly into the rivers. These are extremely harmful for the aquatic life and the health of millions of people living by those riverbanks. The contamination also reaches the sea and eventually spreads around the globe. 200,000 tons of dyes are lost to effluents every year according to an article published by Sustain Your Style. The textile industry is also the second largest consumer of water. According to Sustain Your Style data, it can take up to 200 tons of freshwater per ton of dyed fabric. Consumer behavior and frequently changing fashion trends are making it difficult for fashion brands to predict the volumes of items that will be purchased. Combined with the traditional production methods designed to produce mass volumes of items, result with very large quantities of inventory leftovers. Redundant inventory and lack of adequate recycling infrastructure cause textile waste to rise and become an industry wide problem. According to Common Objective, a global tech solution for sustainable fashion business, 39 million tons of post-consumer textile waste that is generated worldwide each year.</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Considering the size of the textile industry— one of the largest industries in the world—sustainability of the industry is important, but, on top of that, companies can furthermore make a huge difference environmentally, economically and socially. The textile industry has many reasons to place an emphasis on sustainability, including reduced costs, protection of the environment and sustained goodwill from its customers for eco-friendly practices. As one of the world’s most water and air polluting industries, sustainability issues in the textile/apparel industry continue to receive great attention.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 Consumer Trends Affecting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Expression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modern consumers, impacted by the mega industry trends, are increasingly seeking the ability to express their identities and beliefs through the everyday choices that they make. If in the past it was mainly about the choice of brand affiliation that was considered “appropriate” for their self-image, consumers are now seeking new and creative ways to express their identities through unique, customized or personalized impressions, styles, and messages – whether affiliated with their favorite brands, through the creation of their own “private brands” or via affiliation with unique “no brand” designed goods. According to Facebook’s data, 72% of US fashion shoppers say at least one form of personalization increases their likelihood of making a purchase.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Younger consumers are more and more concerned with social and environmental causes, as many increasingly back their beliefs with their tightly coupled expression and consumption habits, favoring goods and brands that are aligned with their personal, social and environmental values and avoiding those that do not.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Instant Gratification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Modern consumers seek solutions faster and easier than ever before, catalyzed by the explosive growth of technology and mobile applications usage. This shift has given way to an on-demand economy where immediate gratification has become the standard across industries, in the form of instant arrival rides in the transportation industry, unlimited on-demand video streaming, minimal wait time for food deliveries, or in the case of retail, instant visibility and availability of product and inventory, and ultra-fast delivery. Consumers expect to be serviced almost instantaneously and are rewarding the brands that understand and meet their instant gratification needs. According to a 2018 report published by Internet Retailer, 66.8% of the top 1,000 retailers in North America offer free shipping and 55.6% offer the option to pay for next-day delivery. According to a US consumer survey conducted in October 2019 among 2,500 consumers, a faster estimated delivery date in the online shopping cart has a big impact on purchase decisions, with 28.6% of shoppers saying they’d be more likely to buy if the order would arrive within a week. Already, 38% of online shoppers expect retailers to offer free two-day delivery and 24% expect free same-day delivery, according to the National Retail Federation.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recent data published by Statista in September 2019 estimated that the number of Amazon customers in the United States willing to pay more to receive products faster, through its Amazon Prime service, exceeded 105 million as of June 2019.</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change in consumer behavior is causing retailers to evaluate ways to alter their approach towards their entire supply chain, with high focus on improved inventory management and an efficient and scalable fulfillment infrastructure. In addition to retooling their internal fulfillment capabilities, many retail brands have begun to leverage the capacity of third-party online stores to meet customer demands for delivery speed and product availability.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Media Influence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 the rise of mega social platforms like YouTube and Instagram, and fueled by the explosive mobile device accessibility, influencer marketing continues making waves on social media and narrowing the bridge between discovery, inspiration and purchase. According to a Yotpo 2019 US fashion eCommerce report, which surveyed 2,000 online consumers, most of today’s consumers are likely to find inspiration from external sources rather than directly from a brand or retailer, more than half (55.2%) of Gen Z (14-24 years old) respondents found inspiration for the most recent online fashion purchase on social media while 50.6% of Millennials (25-34 years old) reported the same. According to another recent study conducted (the Robin Report by Catherine Schetting Salfino), 55% of millennials say that they are less loyal to apparel brands now than they were a few years ago.</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Morning Consult’s latest study, “The Influencer Report” published in 2019, surveying more than 2,000 13-38-year-olds in the US, when asked what traits they consider when deciding which influencers to follow, the vast majority (88%) of respondents are looking for influencers who are authentic and genuinely care about their interests. That can explain why sustainable bloggers and green living influencers are becoming an increasingly popular subgroup. Many fashion influencers across the globe are using their platforms to promote ethical fashion brands, spread eco-conscious messages and encourage users to create a positive impact on the planet.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 Greener”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Environmental degradation has been hitting headlines in recent years. News articles and documentaries around rising seas, declining air quality and shrinking animal populations have become more commonplace. Sales of reusable coffee cups and water bottles took off, plastic straws were banned in many bars and restaurants, and mega consumer brands like Evian and Coca-Cola have committed to manufacture from recycled materials. The impulse to “be greener” is clearly gaining momentum. According to a recent bespoke study carried out in the UK and U.S. by Globalwebindex, half of the digital consumers surveyed said environmental concerns impact their purchasing decisions. Millennials are the ones driving the sustainable movement with their lifestyle and behavioral changes. According to Deloitte 2019 millennials survey, millennials and Gen Zs they are inclined to spend their income on products and services from brands that speak about issues that resonate with them most, such as protecting the environment. Also, when asked on the essence of businesses 27% mentioned improving and protecting the environment, versus 12% in 2018. Social impact and ethics are the most common reasons why millennials change their relationships with businesses. Often coined as the “green generation”, many brands are starting to see the appeal of, and the opportunity to connect with their consumers through, these changes, rather than viewing the changes as a regulatory burden. On Stanford Social Innovation Review paper from 2018, more than 90% of CEOs surveyed state that sustainability is important to their company’s success, and companies develop sustainability strategies, market sustainable products and services, create positions such as chief sustainability officer, and publish sustainability reports for consumers, investors, activists, and the public at large.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According to the Globalwebindex study, 60% of Millennials (aged 22-35) said that they would be more likely than any other generation to pay extra for ecofriendly or sustainable products. With plastic waste currently at the center stage of consumers’ attention, it is likely just a matter of time before consumers better research the manufacturing processes and decoration techniques for their clothes, shoes and bags before buying them, which will increase pressure on brands to connect with the consumer by adopting eco-friendly printing and decoration methods that minimize water pollution, toxic chemicals use and other textile waste.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Governments and brands are collaborating and joining efforts in forming industry regulation to support the eco-friendly global trends. In August 2019, major fashion brands announced a Fashion Pact at the G7 Summit in France, outlining commitments focused on reducing the fashion industry’s contribution to climate change. This is the first time major industry players have set a level of ambition consistent with the UN Paris Agreement goal of keeping global temperature rise below 1.5 degrees Celsius. More than 30 companies signed the pact, including Kering, Gap, Nike, Adidas, H&amp;M, and Chanel. The signatories committed to implementing Science Based Targets to achieve zero greenhouse gas emissions by 2050, including sustainable sourcing of raw materials and 100 percent use of renewable energy in their supply chains by 2030.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on Fashion and Apparel Transformation, as it Relates to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Regardless of size and specific segment, industry players in fashion and apparel, whether traditional brands, digital start-ups, new generation e-tailers, or different forms of customized designers, now need to be nimble, think digital-first and achieve ever-faster speed to market. They need to connect to the end consumer for self-expression, take an active stance on social issues, satisfy consumer demands for ultra-transparency and sustainability, and ensure that they invest in an omni-channel strategy, thereby enhancing their manufacturing productivity, supply chain resilience and their ability to respond to the immediate gratification needs of the evolving consumer. Traditional brands are beginning to self-disrupt their own business models, image and offering in response to the new breed of emerging high growth online-first brands that are accelerating, thanks to changing consumer preferences, decreasing brand loyalty, growing appetite for self-expression, and instant gratification. We expect more traditional brands to follow suit on this omni-channel path of self-disruption, which will have a significant impact on their ability to connect with, and meet the needs of, consumers. In a survey published in 2019 by a leading management consulting firm, top industry executives were asked to describe the words that best describe the industry, with the top three words being: “Changing”, “Digital”, and “Fast”.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following objectives capture some of the key areas of focus, as they relate to our business, as traditional and new generation online-first fashion and apparel players continue to adapt their value propositions and operating models to the rapidly changing industry environment and consumer preferences. We believe that these industry areas of focus will continue to fuel the growing need and demand for our innovative digital textile printing solutions:</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Connect with consumers need for self-expression via unique graphical and text designs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Capture the moment, by shortening the time from inspiration and design to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Offer “unlimited” variety and availability in their virtual and traditional storefronts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Connect with consumers via personalization and customization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Respond to the sustainability demands of consumers and regulators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Respond to consumers’ immediate gratification needs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Impact on the Industry Need and Demand for Operational Transformation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New generation start-up apparel and fashion businesses born and grown in digital and online retail and production, some of which are existing customers of our solutions, have already implemented successful full or partial on-demand production models as they establish their greenfield environments. We expect these businesses to continue scaling and perfecting their existing digital business and operational models, investing in front-end technologies to continue improving the online customer experience, and operationally scaling their partial or full on-demand production capabilities.</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that in order to address the focus areas identified above, traditional industry and brands players will continue to examine and transform their predominantly mass production and inefficient analogue operating production models and supply chains, especially as it comes to managing their finished goods inventory levels, which remains a huge financial risk. Traditional companies have continued to invest “upstream the chain” in better predicting buying trends, consumer preferences, and demand via sophisticated big-data analytics, as they plan their collections and inventory levels; however, consumer demand is more volatile and difficult to predict than ever. The challenge with prediction-only production planning is growing, and industry executives, as evidenced in a 2018 study published by a leading management consulting firm, are increasingly shifting their focus “downstream” to the manufacturing environment, seeking a shift to a more agile, partial or full on-demand production model. We believe that industry players will continue to seek ways to adopt major changes to their business and operational models, and supply chains, and - specifically as it relates to our business - in how they design, produce, and decorate garments and apparel.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below lists a few key production gaps, that prevent a successful transition to partial or full on-demand retailing models, that traditional fashion and apparel manufacturers are looking to close as they plan their future marketing and production strategies: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Mass Customization and Personalization: </w:t>
      </w:r>
      <w:r>
        <w:rPr>
          <w:rFonts w:ascii="Arial" w:cs="Arial" w:eastAsia="Arial" w:hAnsi="Arial"/>
          <w:sz w:val="18"/>
          <w:szCs w:val="18"/>
          <w:color w:val="auto"/>
        </w:rPr>
        <w:t>The capability to manufacture a relatively high volume of product options, carrying unique designs,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tradeoffs in cost, delivery and quality. In a simplified way, the ability to cater demand to mass produce customizable products with unlimited designs, on a one-by-one basis, in a cost-efficient manner.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“Shorter Runs”: </w:t>
      </w:r>
      <w:r>
        <w:rPr>
          <w:rFonts w:ascii="Arial" w:cs="Arial" w:eastAsia="Arial" w:hAnsi="Arial"/>
          <w:sz w:val="18"/>
          <w:szCs w:val="18"/>
          <w:color w:val="auto"/>
        </w:rPr>
        <w:t>Mass production of smaller batches with (most likely) higher number of order amounts, at a similar cost per garment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by producing large batches. This flexibility reduces finished goods inventory risks by identifying buying patterns and responding to demand in a more accurate manner by replenishing stock in ultra-short cycles. The pressure for smaller batch sizes and on-demand replenishment is driven partly by profitability, but also by a desire for sustainability.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Proximity Production, Proximity Decoration and Nearshoring: </w:t>
      </w:r>
      <w:r>
        <w:rPr>
          <w:rFonts w:ascii="Arial" w:cs="Arial" w:eastAsia="Arial" w:hAnsi="Arial"/>
          <w:sz w:val="17"/>
          <w:szCs w:val="17"/>
          <w:color w:val="auto"/>
        </w:rPr>
        <w:t>Two decades ago, U.S. and European mass-market apparel brands and retailers</w:t>
      </w:r>
      <w:r>
        <w:rPr>
          <w:rFonts w:ascii="Arial" w:cs="Arial" w:eastAsia="Arial" w:hAnsi="Arial"/>
          <w:sz w:val="17"/>
          <w:szCs w:val="17"/>
          <w:i w:val="1"/>
          <w:iCs w:val="1"/>
          <w:color w:val="auto"/>
        </w:rPr>
        <w:t xml:space="preserve"> </w:t>
      </w:r>
      <w:r>
        <w:rPr>
          <w:rFonts w:ascii="Arial" w:cs="Arial" w:eastAsia="Arial" w:hAnsi="Arial"/>
          <w:sz w:val="17"/>
          <w:szCs w:val="17"/>
          <w:color w:val="auto"/>
        </w:rPr>
        <w:t>shifted production to Asia to gain a cost advantage. Factors are changing this calculus by making it critical for companies to bring new styles to market more quickly and switch out lines mid-season. According to a recent 2018 survey published by a leading management consulting firm, 54% of purchasing managers surveyed in the US and the EU said that proximity to customers is becoming more important. In another study published by a leading management consulting firm, 60% of apparel procurement executives said that they expect that over 20% of their sourcing volume will be from nearshore by 2025. In addition, rising wages for factory workers across Asia mean that production in Asia is less cost-efficient than it used to be. The real prize is shorter lead times. By reducing time-to-market, companies can produce, partially produce, finish, print or decorate more closely in-line with demand, reducing overstocks and increasing full-price sell-through.</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Microfactories, Speedfactories, Reshoring: </w:t>
      </w:r>
      <w:r>
        <w:rPr>
          <w:rFonts w:ascii="Arial" w:cs="Arial" w:eastAsia="Arial" w:hAnsi="Arial"/>
          <w:sz w:val="17"/>
          <w:szCs w:val="17"/>
          <w:color w:val="auto"/>
        </w:rPr>
        <w:t>Smaller and nimble manufacturing sites, usually planned out in an urban cell model,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efficiently source or produce the raw materials as well as produce and ship finished apparel goods end-to-end. Success of such factories is heavily reliant on a fully digital, real estate efficient, either semi or fully automated manufacturing workflow capability that offsets the inefficient cost structure associated with large analogue equipment, rising costs of real estate and labor costs, predominantly in developed countries.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technology and solutions that we bring to the market in the form of digital textile printing solutions, as listed in our products and technology sections, are key enablers for these business and operating models. We expect increasing demand and adoption of our solutions by start-ups and new-generation digital apparel brands (some of which are our customers), as well as from traditional apparel brands that need to adapt their operational models in order to remain connected with their customers.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151765</wp:posOffset>
            </wp:positionV>
            <wp:extent cx="5100320" cy="2194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0032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57495" cy="788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574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Rotary Screen Printing </w:t>
      </w:r>
      <w:r>
        <w:rPr>
          <w:rFonts w:ascii="Arial" w:cs="Arial" w:eastAsia="Arial" w:hAnsi="Arial"/>
          <w:sz w:val="18"/>
          <w:szCs w:val="18"/>
          <w:color w:val="auto"/>
        </w:rPr>
        <w:t>Rotary screen printing is commonly used to print on outerwear, underwear, sportswear, upholstery and linens. It involves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The following diagram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288925</wp:posOffset>
            </wp:positionV>
            <wp:extent cx="1585595" cy="15347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559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Automated Carousel Screen Printing </w:t>
      </w:r>
      <w:r>
        <w:rPr>
          <w:rFonts w:ascii="Arial" w:cs="Arial" w:eastAsia="Arial" w:hAnsi="Arial"/>
          <w:sz w:val="17"/>
          <w:szCs w:val="17"/>
          <w:color w:val="auto"/>
        </w:rPr>
        <w:t>Automated carousel screen printing is commonly used to print on finished garments and cut pieces.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263525</wp:posOffset>
            </wp:positionV>
            <wp:extent cx="1371600" cy="1568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Direct-to-Garment (DTG) </w:t>
      </w:r>
      <w:r>
        <w:rPr>
          <w:rFonts w:ascii="Arial" w:cs="Arial" w:eastAsia="Arial" w:hAnsi="Arial"/>
          <w:sz w:val="18"/>
          <w:szCs w:val="18"/>
          <w:color w:val="auto"/>
        </w:rPr>
        <w:t>In DTG printing, an inkjet printer prints directly on the textile. DTG printing allows for printing images and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onto finished textiles, such as t-shirts that have already been sewn and dyed. The following chart summarizes the key steps involved in the DTG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123190</wp:posOffset>
            </wp:positionV>
            <wp:extent cx="3120390"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03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Direct-to-Fabric (DTF) </w:t>
      </w:r>
      <w:r>
        <w:rPr>
          <w:rFonts w:ascii="Arial" w:cs="Arial" w:eastAsia="Arial" w:hAnsi="Arial"/>
          <w:sz w:val="18"/>
          <w:szCs w:val="18"/>
          <w:color w:val="auto"/>
        </w:rPr>
        <w:t>In DTF printing, rolls of fabric pass in-line through wide-format inkjet printers that are utilized to directly print images</w:t>
      </w:r>
      <w:r>
        <w:rPr>
          <w:rFonts w:ascii="Arial" w:cs="Arial" w:eastAsia="Arial" w:hAnsi="Arial"/>
          <w:sz w:val="18"/>
          <w:szCs w:val="18"/>
          <w:b w:val="1"/>
          <w:bCs w:val="1"/>
          <w:color w:val="auto"/>
        </w:rPr>
        <w:t xml:space="preserve"> </w:t>
      </w:r>
      <w:r>
        <w:rPr>
          <w:rFonts w:ascii="Arial" w:cs="Arial" w:eastAsia="Arial" w:hAnsi="Arial"/>
          <w:sz w:val="18"/>
          <w:szCs w:val="18"/>
          <w:color w:val="auto"/>
        </w:rPr>
        <w:t>and designs onto rolling fabric. The following chart summarizes the key steps involved in the DTF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114300</wp:posOffset>
            </wp:positionV>
            <wp:extent cx="3848735" cy="505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impacting these businesses, we believe that the global printed textile industry offers a significant and rapidly growing market for digital printing solutions.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Digital Textile Printing Addresses the Industry Needs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characteristics of digital textile printing enable new business and operating models, help industry players as they address their manufacturing gaps, and, as these characteristics relate to our business, are driving the shift from analog to digital textile printing:</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Manufacturing flexibility: </w:t>
      </w:r>
      <w:r>
        <w:rPr>
          <w:rFonts w:ascii="Arial" w:cs="Arial" w:eastAsia="Arial" w:hAnsi="Arial"/>
          <w:sz w:val="18"/>
          <w:szCs w:val="18"/>
          <w:color w:val="auto"/>
        </w:rPr>
        <w:t>Digital textile printing allows a full image or design to be printed on a garment or cut fabric in one manufacturing step,</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multiple steps in an analog printing process. Digital textile printing gives manufacturers the ability to print short runs, with personalization capabilities, in a cost-effective manner with a minimum order quantity of one unit. Unlike screen printing, digital printing cost remains the same when printing a single unit or multiple units. This allows printers to execute orders one by one without needing to accumulate large demand for a design before printing.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Design flexibility: </w:t>
      </w:r>
      <w:r>
        <w:rPr>
          <w:rFonts w:ascii="Arial" w:cs="Arial" w:eastAsia="Arial" w:hAnsi="Arial"/>
          <w:sz w:val="18"/>
          <w:szCs w:val="18"/>
          <w:color w:val="auto"/>
        </w:rPr>
        <w:t>Digital textile printing enables a larger variety of artwork to be imprinted, without limitations on number of colors per design</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high-resolution imaging.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Integration with advanced workflow environments: </w:t>
      </w:r>
      <w:r>
        <w:rPr>
          <w:rFonts w:ascii="Arial" w:cs="Arial" w:eastAsia="Arial" w:hAnsi="Arial"/>
          <w:sz w:val="18"/>
          <w:szCs w:val="18"/>
          <w:color w:val="auto"/>
        </w:rPr>
        <w:t>Digital textile printing is better suited for transition to full digitization of the production floor</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including connectivity to cloud networking elements and productivity analytics software solutions.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Reduced time between design and production: </w:t>
      </w:r>
      <w:r>
        <w:rPr>
          <w:rFonts w:ascii="Arial" w:cs="Arial" w:eastAsia="Arial" w:hAnsi="Arial"/>
          <w:sz w:val="17"/>
          <w:szCs w:val="17"/>
          <w:color w:val="auto"/>
        </w:rPr>
        <w:t>The digital textile printing process allows for samples to be quickly produced, evaluated, and</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which permits brand owners to increase the frequency and variety of replenishment cycles in response to fashion trends.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Decreased risk of excess inventory: </w:t>
      </w:r>
      <w:r>
        <w:rPr>
          <w:rFonts w:ascii="Arial" w:cs="Arial" w:eastAsia="Arial" w:hAnsi="Arial"/>
          <w:sz w:val="18"/>
          <w:szCs w:val="18"/>
          <w:color w:val="auto"/>
        </w:rPr>
        <w:t>The costly and time-consuming upfront setup required in analog production methods is avoided when using</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printing technologies. Therefore, digital printing enables the cost-efficient production of a smaller quantity of garments, which mitigates excess inventory risk and improves profitability. Stocking blank garments or fabric and decorating them only when demand is identified significantly reduces the amount of inventory at risk. This reduces working capital requirements, thereby enabling the emergence of numerous online businesses which are focused on the sale of printed textiles.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Reduced labor and physical space requirements: </w:t>
      </w:r>
      <w:r>
        <w:rPr>
          <w:rFonts w:ascii="Arial" w:cs="Arial" w:eastAsia="Arial" w:hAnsi="Arial"/>
          <w:sz w:val="18"/>
          <w:szCs w:val="18"/>
          <w:color w:val="auto"/>
        </w:rPr>
        <w:t>Digital textile printing requires significantly less labor to print an equivalent output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reduction in process steps. The unique Kornit proprietary process of digital textile printing further reduces the need for labor and introduces additional floor space savings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 Textile business is very seasonal and the need to retain employees bares a heavy financial burden. The move to digital printing significantly reduces the need for manpower and allows for a more flexible cost structure.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Sustainability: </w:t>
      </w:r>
      <w:r>
        <w:rPr>
          <w:rFonts w:ascii="Arial" w:cs="Arial" w:eastAsia="Arial" w:hAnsi="Arial"/>
          <w:sz w:val="16"/>
          <w:szCs w:val="16"/>
          <w:color w:val="auto"/>
        </w:rPr>
        <w:t>Digital textile printing significantly reduces industrial water consumption and discharge of toxic chemicals by eliminating the need</w:t>
      </w:r>
      <w:r>
        <w:rPr>
          <w:rFonts w:ascii="Arial" w:cs="Arial" w:eastAsia="Arial" w:hAnsi="Arial"/>
          <w:sz w:val="16"/>
          <w:szCs w:val="16"/>
          <w:i w:val="1"/>
          <w:iCs w:val="1"/>
          <w:color w:val="auto"/>
        </w:rPr>
        <w:t xml:space="preserve"> </w:t>
      </w:r>
      <w:r>
        <w:rPr>
          <w:rFonts w:ascii="Arial" w:cs="Arial" w:eastAsia="Arial" w:hAnsi="Arial"/>
          <w:sz w:val="16"/>
          <w:szCs w:val="16"/>
          <w:color w:val="auto"/>
        </w:rPr>
        <w:t>to wash screens for color changes and repeated use. We believe that this results in reduced environmental impact and, in turn, enables manufacturers to comply with regulatory and brand guidelines at a location of their choosing, in many cases in populated areas which are not industrial in nature.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with a major focus on the fashion, apparel and home décor segments of the industry.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vision is to create a better world where everybody can bond, design and express their identities, one impression at a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focus on the rapidly growing high 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 as further described in our “Industry Overview” section above.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lycra and denim. With throughputs ranging from 32 to 235 garments per hour, our entry 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38"/>
        <w:spacing w:after="0" w:line="291" w:lineRule="auto"/>
        <w:rPr>
          <w:sz w:val="20"/>
          <w:szCs w:val="20"/>
          <w:color w:val="auto"/>
        </w:rPr>
      </w:pPr>
      <w:r>
        <w:rPr>
          <w:rFonts w:ascii="Arial" w:cs="Arial" w:eastAsia="Arial" w:hAnsi="Arial"/>
          <w:sz w:val="16"/>
          <w:szCs w:val="16"/>
          <w:color w:val="auto"/>
        </w:rPr>
        <w:t>We have also recently (in April 2019) supplemented our original DTG printing technology with our Kornit NeoPoly Technology, which is our industry’s first digital, industrial process for high-quality printing on polyester, thereby opens the large sport and athleisure market to our digital printing</w:t>
      </w:r>
    </w:p>
    <w:p>
      <w:pPr>
        <w:jc w:val="both"/>
        <w:spacing w:after="0" w:line="267" w:lineRule="auto"/>
        <w:rPr>
          <w:sz w:val="20"/>
          <w:szCs w:val="20"/>
          <w:color w:val="auto"/>
        </w:rPr>
      </w:pPr>
      <w:r>
        <w:rPr>
          <w:rFonts w:ascii="Arial" w:cs="Arial" w:eastAsia="Arial" w:hAnsi="Arial"/>
          <w:sz w:val="16"/>
          <w:szCs w:val="16"/>
          <w:color w:val="auto"/>
        </w:rPr>
        <w:t>solutions. The new Kornit NeoPoly Technology addresses existing challenges with a new process and ink set implemented in the Kornit NeoPigment</w:t>
      </w:r>
      <w:r>
        <w:rPr>
          <w:rFonts w:ascii="Arial" w:cs="Arial" w:eastAsia="Arial" w:hAnsi="Arial"/>
          <w:sz w:val="26"/>
          <w:szCs w:val="26"/>
          <w:color w:val="auto"/>
          <w:vertAlign w:val="superscript"/>
        </w:rPr>
        <w:t>T</w:t>
      </w:r>
      <w:r>
        <w:rPr>
          <w:rFonts w:ascii="Arial" w:cs="Arial" w:eastAsia="Arial" w:hAnsi="Arial"/>
          <w:sz w:val="16"/>
          <w:szCs w:val="16"/>
          <w:color w:val="auto"/>
        </w:rPr>
        <w:t xml:space="preserve"> process. Our new process handles polyester applications without having to compromise on design, run size, substrate or labor. The breakthrough technological innovation has been achieved by an innovative ink set and a physical and chemical process specifically developed for low-temperature curing, and polyester-enhancing functionalities developed to maintain fabric characteristics and provide superior fastness. This unique process overcomes dye migration on polyester. The inks are Eco-Passport certified, and do not contain PVCs or any other toxic ingredients. The first system equipped with our Kornit NeoPoly Technology is the Kornit Avalanche Poly Pro, a member of our industrial platform, which became commercially available in April 2019.</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Building on the expertise and capabilities that we have accumulated in developing and offering differentiated solutions for the industrial DTG market, we also market an industrial digital printing solution, the Kornit Presto, which targets the on-demand DTF market. While the DTG market generally involves printing on finished garments, the DTF market is focused on printing on fabrics that are subsequently converted into finished garments, home or office décor, and other items. The Kornit Presto (like our predecessor DTF product, the Kornit Allegro) utilizes our proprietary wet-on-wet printing methodology and houses an integrated curing system. It offers the sole (following its predecessor, the Allegro) single-step, eco-friendly, stand-alone industrial DTF digital textile printing solution available on the market. We primarily market the Kornit Presto to businesses seeking horizontal or vertical expansions into fabric decoration, such as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and to sustainable fashion producers seeking a competitive edge in today’s changing supply chains. We believe that with the Presto we are well positioned to take advantage of the growing trend towards customized home décor and on-demand fabric printing, with increased focus on sustainable production. We began selling the Presto commercially in the second quarter of 2019 (after having introduced our initial DTF digital textile printing solution, the Kornit Allegro, four years earlier, in the second quarter of 2015).</w:t>
      </w:r>
    </w:p>
    <w:p>
      <w:pPr>
        <w:spacing w:after="0" w:line="1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were founded in 2002 in Israel, shipped our first system in 2005 and, as of December 31, 2019, had more than 1,000 customers globally. As of December 31, 2019, we had 547 employees located across four regions: Israel, America, Europe and Asia Pacific. In the year ended December 31, 2019, we generated revenues of $179.9 million, representing an increase of 26.3% over the prior fiscal year. In the year ended December 31, 2019, we generated 61% of our revenues from the Americas region, 27% from the Europe, Middle East and Asia (“EMEA”) region, and 12% from the Asia Pacific region.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our key 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Leading player in the fast-growing industrial digital DTG market.</w:t>
      </w:r>
    </w:p>
    <w:p>
      <w:pPr>
        <w:spacing w:after="0" w:line="225" w:lineRule="exact"/>
        <w:rPr>
          <w:sz w:val="20"/>
          <w:szCs w:val="20"/>
          <w:color w:val="auto"/>
        </w:rPr>
      </w:pPr>
    </w:p>
    <w:p>
      <w:pPr>
        <w:jc w:val="both"/>
        <w:ind w:firstLine="638"/>
        <w:spacing w:after="0" w:line="288" w:lineRule="auto"/>
        <w:rPr>
          <w:sz w:val="20"/>
          <w:szCs w:val="20"/>
          <w:color w:val="auto"/>
        </w:rPr>
      </w:pPr>
      <w:r>
        <w:rPr>
          <w:rFonts w:ascii="Arial" w:cs="Arial" w:eastAsia="Arial" w:hAnsi="Arial"/>
          <w:sz w:val="16"/>
          <w:szCs w:val="16"/>
          <w:color w:val="auto"/>
        </w:rPr>
        <w:t>We are the leading player in the fast-growing, industrial and mass production, digital DTG market based on our sales, and have more than 1,000 customers globally. We have been revolutionizing the industry since 2005 and have developed a robust solutions portfolio and scaled our go-to-market infrastructure over the course of this period. Other than our unique intellectual property and technology, and our robust go-to-market infrastructure, our application experts have the best industry knowledge. Consequently, we believe we can greatly support and advise our existing and future customers with the best-known methods to optimize their production environments. Our own internal estimates, based on our understanding of the industry, combined with data from available market reports on the estimated production quantities of garments, are that approximately 15 billion impressions are printed direct-to-garment annually in the global apparel industry, including the decoration of, among other forms of garments, T-shirts, jerseys, and trousers. We estimate the number of annual impressions to grow to approximately 23 billion on an annualized run-rate basis, by the end of 2023. We estimate that only approximately 1 to 2% of these impressions are printed digitally today. We therefore believe that our leadership position, combined with continued technology innovation, and operational improvements, will allow us to grow our business in the coming years.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Well-positioned to disrupt the DTF market with our unique single-step manufacturing solution. </w:t>
      </w:r>
      <w:r>
        <w:rPr>
          <w:rFonts w:ascii="Arial" w:cs="Arial" w:eastAsia="Arial" w:hAnsi="Arial"/>
          <w:sz w:val="16"/>
          <w:szCs w:val="16"/>
          <w:color w:val="auto"/>
        </w:rPr>
        <w:t>We believe we are well positioned to capitalize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growing trend toward on-demand home décor with our unique DTF solution. Our Kornit Presto system (like our former Kornit Allegro), combined with our proprietary process, was designed to offer a single-step manufacturing solution which is especially suited for businesses which do not have a vertically-integrated textile mill. Unlike other digital textile printers, the Kornit Presto does not require multiple pre-processing and post-processing steps that are customarily used in vertically integrated textile mills and that utilize high levels of energy and space and have a negative environmental impact. Given its architecture, it is perfectly suited for short and micro runs. The Kornit Presto is compact in size, requires a single person to operate, and fits very well in an urban and non-industrial setting. The Kornit Presto is unique in its ability to print on multiple fabric types without the need for different inks and consumables, while generally other systems and technologies for DTF digital printing require dedication of discrete printers to specific fabric types.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Disruptive technology that enables our customers to adopt new, or improve existing, business models. </w:t>
      </w:r>
      <w:r>
        <w:rPr>
          <w:rFonts w:ascii="Arial" w:cs="Arial" w:eastAsia="Arial" w:hAnsi="Arial"/>
          <w:sz w:val="17"/>
          <w:szCs w:val="17"/>
          <w:color w:val="auto"/>
        </w:rPr>
        <w:t>Our digital printing solutions allow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develop new, or improve existing, business and operational models by enabling them to produce short to medium runs of high-quality customized garments efficiently. This facilitates online business models that require an on-demand and made-to-order basis and allows brand owners to produce and decorate garments in-house. With a constantly growing worldwide customer base of more than 1,000 customers, we are witnessing the creation of a global fulfillment network of printing specialists that are leveraged by large numbers of websites that offer customizable garment printing services. As demand from these customers continues to grow, so does utilization of our systems, which in turn print more impressions, consume more ink and once used to their full capacity, require purchasing of more systems.</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Environmentally-friendly printing processes. </w:t>
      </w:r>
      <w:r>
        <w:rPr>
          <w:rFonts w:ascii="Arial" w:cs="Arial" w:eastAsia="Arial" w:hAnsi="Arial"/>
          <w:sz w:val="16"/>
          <w:szCs w:val="16"/>
          <w:color w:val="auto"/>
        </w:rPr>
        <w:t>A significant portion of global industrial water pollution comes from textile dyeing, printing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finishing.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Attractive business model. </w:t>
      </w:r>
      <w:r>
        <w:rPr>
          <w:rFonts w:ascii="Arial" w:cs="Arial" w:eastAsia="Arial" w:hAnsi="Arial"/>
          <w:sz w:val="16"/>
          <w:szCs w:val="16"/>
          <w:color w:val="auto"/>
        </w:rPr>
        <w:t>We currently offer a broad portfolio of differentiated digital printing solutions for the digital industrial and mass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DTG market. Our 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expands our ability to provide value-added services to our customers. Our customer relationships are further strengthened by a trend towards ownership of multiple systems, as the number of customers with at least two systems has grown from 155 as of December 31, 2014, to 271 as of December 31, 2018, and to 277 as of December 2019. The number of customers with at least 10 systems has grown from nine as of December 31, 2014, to 17 as of December 31, 2019. We anticipate revenue from services to increase over time as we reach upgrade cycles across our growing installed base and continue to expand our service contracts business model. Additionally, sales of ink and other consumables are generally higher in high throughput systems such as the Vulcan Plus, Atlas, Avalanche and Presto systems. Large customers typically run at high utilization rates and can consume up to five times as much ink per year compared to other customers.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Product upgrade strategy. </w:t>
      </w:r>
      <w:r>
        <w:rPr>
          <w:rFonts w:ascii="Arial" w:cs="Arial" w:eastAsia="Arial" w:hAnsi="Arial"/>
          <w:sz w:val="17"/>
          <w:szCs w:val="17"/>
          <w:color w:val="auto"/>
        </w:rPr>
        <w:t>In 2016 we started implementing a long-term strategy for supporting our installed base with upgrade paths to newer,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advanced, systems. The goal of this strategy is to allow our customers to extend the return on their investment in Kornit systems, and in return, we enjoy growth in system utilization and on-going capital investments in our equipment through the depreciation cycle.</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Product refurbishment strategy. </w:t>
      </w:r>
      <w:r>
        <w:rPr>
          <w:rFonts w:ascii="Arial" w:cs="Arial" w:eastAsia="Arial" w:hAnsi="Arial"/>
          <w:sz w:val="16"/>
          <w:szCs w:val="16"/>
          <w:color w:val="auto"/>
        </w:rPr>
        <w:t>In 2019, and going into 2020, we introduced a new line of factory refurbished systems, based on the Avalanche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Storm platforms. This new line of business will enable us to expand our product offering with the latest technology capabilities at different price points, as well as provide us with maximal control over any after-market activity. This initiative makes it easier for our existing customer base to adopt our latest technology as they trade-in their existing relevant installed base, which in turn will find its way to new customers who are more capital expenditure sensitive. As a part of our sustainability strategy, this new line of business enables us to re-use systems, sub-modules and other parts to their fullest potential and life expectancy, thus reducing waste and other environmental impacts of unnecessary production of new systems.</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Robust intellectual property portfolio driven by an innovation-based culture. </w:t>
      </w:r>
      <w:r>
        <w:rPr>
          <w:rFonts w:ascii="Arial" w:cs="Arial" w:eastAsia="Arial" w:hAnsi="Arial"/>
          <w:sz w:val="16"/>
          <w:szCs w:val="16"/>
          <w:color w:val="auto"/>
        </w:rPr>
        <w:t>Our intellectual property portfolio reflects over a decade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investments in digital textile printing, which we believe creates significant barriers to entry. We have developed a strong base of technology know-how, backed by our portfolio of intellectual property, which includes 30 issued patents and 21 provisional or pending US applications, 33 pending non-US patent applications and 11 pending PCT applications that cover wet-on-wet printing methodology, ink formulations, printing processes and related methods and systems. Our team of over 128 researchers and developers, including chemists, electrical engineers, system engineers, software engineers and mechanical engineers, ensures that our systems remain technologically advanced, and are well engineered, user-friendly and highly reliable.</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Extensive product portfolio and strong new product pipeline. </w:t>
      </w:r>
      <w:r>
        <w:rPr>
          <w:rFonts w:ascii="Arial" w:cs="Arial" w:eastAsia="Arial" w:hAnsi="Arial"/>
          <w:sz w:val="18"/>
          <w:szCs w:val="18"/>
          <w:color w:val="auto"/>
        </w:rPr>
        <w:t>With throughputs ranging from 32 to 235 garments per hour, our DTG systems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suited for smaller industrial operators with limited budgets, as well as mass producers with complex needs. Since 2015, we have commercialized several new solutions in the DTG market: the Vulcan and (recently, in January 2020) the Vulcan Plus, cost-effective digital substitutions for carousel screen printing and high-capacity, industrial DTG systems; the HD family of solutions (including, in January 2020, the Storm HD6 Lite refurbished system); the Atlas, our high throughput mass production digital DTG system; and, beginning in April 2019, our specialty DTG solutions—the Avalanche Poly Pro and Avalanche DC Pro, which enable digital printing on a variety of polyester products and other fabric types, including cotton, cotton-polyester blends, silk, leather, denim, linen and wool. Our future roadmap remains focused on the continued development of proprietary processes, continuously expanding the breadth of applications upon which we can print while pushing the envelope of cost-efficient manufacturing further as a means to expand our servable addressable markets.</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At the heart of a true industrial revolution, or Textile 4.0. </w:t>
      </w:r>
      <w:r>
        <w:rPr>
          <w:rFonts w:ascii="Arial" w:cs="Arial" w:eastAsia="Arial" w:hAnsi="Arial"/>
          <w:sz w:val="16"/>
          <w:szCs w:val="16"/>
          <w:color w:val="auto"/>
        </w:rPr>
        <w:t>Every digital printing revolution starts with printing small quantities of particular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designs where the advantages of digital technology are most pronounced. The ability to expand the addressable market of digital printing relies heavily on constant reduction of cost per printed unit (CPP). Given our deep technological foundations, we have been able to constantly reduce CPP by increasing system output as well as increasing the efficiency of our inks, allowing customers to consume less ink while achieving excellent results. Given this progression, we are now able to offer a cost-effective alternative to screen printing for runs of up to 500 garments</w:t>
      </w:r>
      <w:r>
        <w:rPr>
          <w:rFonts w:ascii="Arial" w:cs="Arial" w:eastAsia="Arial" w:hAnsi="Arial"/>
          <w:sz w:val="16"/>
          <w:szCs w:val="16"/>
          <w:i w:val="1"/>
          <w:iCs w:val="1"/>
          <w:color w:val="auto"/>
        </w:rPr>
        <w:t>,</w:t>
      </w:r>
      <w:r>
        <w:rPr>
          <w:rFonts w:ascii="Arial" w:cs="Arial" w:eastAsia="Arial" w:hAnsi="Arial"/>
          <w:sz w:val="16"/>
          <w:szCs w:val="16"/>
          <w:color w:val="auto"/>
        </w:rPr>
        <w:t xml:space="preserve"> making our products a viable printing solution for large scale retailers who now seek to move to quick inventory replenishment and are constantly moving to shorter runs of production.</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Strong management team. </w:t>
      </w:r>
      <w:r>
        <w:rPr>
          <w:rFonts w:ascii="Arial" w:cs="Arial" w:eastAsia="Arial" w:hAnsi="Arial"/>
          <w:sz w:val="17"/>
          <w:szCs w:val="17"/>
          <w:color w:val="auto"/>
        </w:rPr>
        <w:t>Our Chief Executive Officer, Ronen Samuel, and our Chief Financial Officer, Guy Avidan, bring extensive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managing publicly traded companies and/or in management roles in the printing industry. Our management team’s industry expertise and extensive experience in running global companies will enable us to execute our growth strategy. Our management infrastructure also includes executives who are experienced in the management of people, large scale business, innovation and product development in larger public organizations including HP, Applied Materials, NICE, Amdocs and Mitsubishi Fuso Trucks of America. Over the past five years, we have also invested heavily in human resources to support our growth. Since 2013, our workforce has almost tripled from 190 to 547 as of December 31, 2019. Additionally, more than 208 of our employees are in the field, enabling us to provide more localized service to our customers.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Our Strategy and Catalysts for Growth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key elements of our growth strategy and catalysts that will drive our business expansion: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Remove market and technology barriers to drive continued organic growth.</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focused on ongoing investments in our research and development, product management, and applications development areas to continue driving innovation within the industry, thereby allowing our customers and prospects to grow their businesses by enabling them to expand their product offering with additional applications, designs, and fabric types. We focus on constantly removing barriers as they relate to quality, hand feel, and cost (as evidenced in the release of our latest HD family of solutions). We will continue to drive the productivity of our technology to allow existing and future customers to cost effectively obtain new jobs and transfer existing recurring jobs and impressions from analog to digital printing, which will drive increased sales of systems, consumables and services. As part of our strategy, we will continue to bring to the market solutions that enable efficient mass production and customization in a rapidly transforming industry that is shifting to shorter production runs and mass production of on-demand, at times one-by-one, orders. We believe that removing market barriers includes periodically introducing to the market innovative digital processes that address key industry pain points and gaps, which traditional analogue techniques cannot handle, do so with poor quality, or do so in a non-cost efficient or environmentally sustainable manner. We believe that continuing to remove market and technology barriers and developing new features and functionality of our solutions will allow us to win new customers and increase system, consumables and services sales to existing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 Key Adjacent Markets.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plan to continue growing our customer base by targeting new customers in markets that are adjacent to the markets in which we have been operating. To-date, we have been catering predominantly to the customized design market, consisting of online businesses of different sizes, focused mainly on mass customization and personalization that are enabled by using our technology. An example of our success in this market is the Master Purchase Agreement, that we entered into on January 10, 2017, with an affiliate of Amazon.com, Inc. To date we have supplied several systems, large quantities of inks and consumables and have been providing paid service to multiple facilities under the agreement. During the years 2018 and 2019, Amazon related revenues were $24.2 million and $22.15 million, respectively. We expect that our relationship with Amazon will continue to expand in the future and that they will remain a significant customer. We expect continued growth with other existing customers in the customized design market as they seek to grow capacity, provide new applications and expand into new market segments and geographies. We also expect to add new customers in the customized design market, as the market continues to grow and develop. With the breadth of our existing portfolio and our continued investment in features and functionality, we believe we are well positioned to expand our market reach by penetrating adjacent markets in the form of traditional and start-up brands, private labels, and the promotional market, in which we can drive adoption of digital DTG printing solutions in place of analogue screen-printing production methods, which are currently primarily relied upon. While we have started to penetrate these markets, directly or via third-party fulfillers and decorators, we plan to deepen our penetration into these important markets as they seek to transform their business and operating models.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Maximize system utilization by existing customers.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focused on increasing sales to existing customers by introducing new digital printing applications, developing new features and functionality of our systems, offering new system upgrade products to make it easier for customers to renew their fleets and update their IB to the latest technology available, increasing sales of software and value-added services, offering customers empowerment program inclusive of basic and advanced training, with a goal of enabling our customers to increase utilization of their systems. We also intend to actively refer business to our customers by connecting them with online businesses that seek fulfillment partners, which will enhance customer intimacy. Our objective is to help customers operate their businesses more efficiently, print more impressions and increase utilization of their systems, thereby requiring more ink and other consumables purchases as well as potential investment in new systems as they require additional capacity.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Expanding our GTM and services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invest in our go-to-market infrastructure across geographies, including in our sales, applications, and services teams. While maintaining an overall hybrid go-to-market strategy that includes both indirect and direct sales, we have adopted a direct sales model in North America and are assessing moving towards that model in one or more additional key markets. In North America, we initiated the transition towards direct sales via our acquisition of the U.S.-based digital DTG printing assets of SPSI in 2016, in which we acquired an increasing number of larger accounts, which require a more direct relationship between our company and the related customers. We completed the transition in North America to a full direct sales model in February 2019, with our acquisition of customer business assets from Hirsch, our former primary distributor in the United States and Canada. By fostering direct sales relationships with our North American customers, we aim to deepen our relationship with them as well as better align our product roadmap to meet their needs.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Strategic accounts are an important and valued part of our business and future growth, and we continue to make the appropriate investments in ensuring we serve their needs as it comes to sales, application consulting and services support. We expect to continue developing our strategic accounts practice in a combination of dedicated regional and corporate resources as we strive to help these important customers improve their business performances by delivering best-in-class customer experience.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seeking to increase the number of customers that rely on us to provide services for their systems by expanding our service capabilities and driving adoption of our portfolio of services contracts. As of December 31, 2019, we had service contracts in place with approximately 24% of our installed base. Service revenues exceeded 10% of our overall revenues for the first time in 2017 and, in 2019, amounted to $23.3 million. In addition to driving gross margin improvement, we believe this will provide us an opportunity for direct contact with customers with the goal of reducing system down-time, educating customers about optimal use of our systems to drive increased utilization and growth in the number of impressions printed, expanding the variety of print applications and increasing sales of post-warranty service contracts and other professional application development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leadership position through acquisitions and strategic partnerships.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seek to continue to differentiate ourselves and extend our leadership position. From time to time, we may supplement our internal efforts with complementary inorganic initiatives such as acquisitions and strategic partnerships to enhance our positioning. For example, our acquisition of Polymeric Imaging in 2015 expanded our ink technology capabilities, our acquisitions of the digital DTG printing assets of SPSI in 2016 enabled us to strengthen our direct sales channel and gain access to a large screen-printing customer base, and the acquisition of business assets from Hirsch in 2019 helped us transition to a full direct sales model in North America. Each of these acquisitions enhanced the positioning of our company. Future acquisitions may also allow us to strengthen our existing portfolio of solutions or add new capabilities.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Direct-to-Garment (DTG) Systems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2019 we started consolidation of our core DTG products portfolio to rely on our HD technology. This represents a clear focus in our product offering, supporting our strategy to penetrate the market segment of brands and private labels. The combination of our HD technology, together with the Eco-Rapid ink-set, introduced in January 2019, enables our customers to produce retail-quality prints with competitive cost per print, allowing them to replace screen printed jobs, including those targeted for the retail market. Levelling up our entire product portfolio to the superior performance of our HD technology allows us to execute on our screen-replacement strategy across different market segments and a variety of customer types and sizes. The underlying strategy behind this system lineup is to accommodate a variety of customer types with the highest digital printing capabilities at a variety of productivity levels and price points, as they are now able to produce the same retail-quality at the same CPP on all our HD systems. The differentiation across our new line of HD systems is mainly based on system productivity and total cost of ownership, with a clear benefit to our higher productivity systems.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100" w:type="dxa"/>
            <w:vAlign w:val="bottom"/>
            <w:gridSpan w:val="3"/>
          </w:tcPr>
          <w:p>
            <w:pPr>
              <w:ind w:left="1660"/>
              <w:spacing w:after="0"/>
              <w:rPr>
                <w:sz w:val="20"/>
                <w:szCs w:val="20"/>
                <w:color w:val="auto"/>
              </w:rPr>
            </w:pPr>
            <w:r>
              <w:rPr>
                <w:rFonts w:ascii="Arial" w:cs="Arial" w:eastAsia="Arial" w:hAnsi="Arial"/>
                <w:sz w:val="18"/>
                <w:szCs w:val="18"/>
                <w:b w:val="1"/>
                <w:bCs w:val="1"/>
                <w:color w:val="auto"/>
              </w:rPr>
              <w:t>Yearly Output HD Portfolio</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Output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1"/>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System</w:t>
            </w:r>
          </w:p>
        </w:tc>
        <w:tc>
          <w:tcPr>
            <w:tcW w:w="69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range*</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Storm HD6 Lite</w:t>
            </w: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50K-60K</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2900" w:type="dxa"/>
            <w:vAlign w:val="bottom"/>
          </w:tcPr>
          <w:p>
            <w:pPr>
              <w:spacing w:after="0"/>
              <w:rPr>
                <w:sz w:val="20"/>
                <w:szCs w:val="20"/>
                <w:color w:val="auto"/>
              </w:rPr>
            </w:pPr>
            <w:r>
              <w:rPr>
                <w:rFonts w:ascii="Arial" w:cs="Arial" w:eastAsia="Arial" w:hAnsi="Arial"/>
                <w:sz w:val="18"/>
                <w:szCs w:val="18"/>
                <w:b w:val="1"/>
                <w:bCs w:val="1"/>
                <w:color w:val="auto"/>
              </w:rPr>
              <w:t>Storm HD6</w:t>
            </w: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96K-165K</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Avalanche HD6</w:t>
            </w: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237K-360K </w:t>
            </w:r>
            <w:r>
              <w:rPr>
                <w:rFonts w:ascii="Arial" w:cs="Arial" w:eastAsia="Arial" w:hAnsi="Arial"/>
                <w:sz w:val="14"/>
                <w:szCs w:val="14"/>
                <w:color w:val="auto"/>
              </w:rPr>
              <w:t>(3)</w:t>
            </w:r>
          </w:p>
        </w:tc>
      </w:tr>
      <w:tr>
        <w:trPr>
          <w:trHeight w:val="216"/>
        </w:trPr>
        <w:tc>
          <w:tcPr>
            <w:tcW w:w="2900" w:type="dxa"/>
            <w:vAlign w:val="bottom"/>
          </w:tcPr>
          <w:p>
            <w:pPr>
              <w:spacing w:after="0"/>
              <w:rPr>
                <w:sz w:val="20"/>
                <w:szCs w:val="20"/>
                <w:color w:val="auto"/>
              </w:rPr>
            </w:pPr>
            <w:r>
              <w:rPr>
                <w:rFonts w:ascii="Arial" w:cs="Arial" w:eastAsia="Arial" w:hAnsi="Arial"/>
                <w:sz w:val="18"/>
                <w:szCs w:val="18"/>
                <w:b w:val="1"/>
                <w:bCs w:val="1"/>
                <w:color w:val="auto"/>
              </w:rPr>
              <w:t>Atlas</w:t>
            </w: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xml:space="preserve">422K-640K </w:t>
            </w:r>
            <w:r>
              <w:rPr>
                <w:rFonts w:ascii="Arial" w:cs="Arial" w:eastAsia="Arial" w:hAnsi="Arial"/>
                <w:sz w:val="14"/>
                <w:szCs w:val="14"/>
                <w:color w:val="auto"/>
              </w:rPr>
              <w:t>(3)</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Vulcan Plus</w:t>
            </w: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620K-940K </w:t>
            </w:r>
            <w:r>
              <w:rPr>
                <w:rFonts w:ascii="Arial" w:cs="Arial" w:eastAsia="Arial" w:hAnsi="Arial"/>
                <w:sz w:val="14"/>
                <w:szCs w:val="14"/>
                <w:color w:val="auto"/>
              </w:rPr>
              <w:t>(3)</w:t>
            </w: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Yearly output measured in high productivity print mode (13”X13“, Dark)</w:t>
      </w:r>
    </w:p>
    <w:p>
      <w:pPr>
        <w:spacing w:after="0" w:line="2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is based on productivity of 8 hours shift in the range of 220 working days to 250 working days.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is based on productivity range of 8 hours shift in 220 working days to 12 hours shift in 250 working days.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is based on productivity range of 12 hours shift in 220 working days to 16 hours shift in 250 working days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beginning of 2019, we launched a new industrial DTG platform – the Kornit Atlas. The Atlas represents our next generation direct-to-garment printing platform, equipped with our next generation HD technology and designed mainly for high-volume garment decoration businesses and mid-to-large size screen printers. With its retail-grade print quality, high productivity and attractive total cost of ownership, the Atlas allows our customers to serve additional market needs and open new opportunities.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2020, we introduced the Storm HD6 Lite Refurbished, which effectively replaces the Kornit Storm II, enables DTG printing for smaller print operations, such as commercial printers moving to the industrial market and analogue printers broadening their production capabilities. It has a production capacity of up to 60,000 impressions annually and provides on-demand DTG printing that meets high-level, retail quality and sustainability standards.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2020, we also launched the Vulcan Plus, which is currently our highest productivity HD system, with the best total cost of ownership for large production facilities with high volumes of mass customization print jobs. The Vulcan Plus is based on the Vulcan platform, that was introduced in 2016, and was designed based on our customers feedback and field experience with the platform.</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Building on the massive new product introduction of 2019 and the beginning of 2020 we were able to create an extensive HD product portfolio, ranging all our main product platforms and a multitude of product configurations – starting from the Storm, through the Avalanche, and all the way to the Atlas and the Vulcan. In alignment with our products upgrade strategy, different upgrade paths are available to the HD systems, enabling our customers to equip themselves with new and superior capabilities and improve cost of ownership on their existing systems, expanding their business opportunities and allowing us to gain additional revenues from our existing installed base.</w:t>
      </w:r>
    </w:p>
    <w:p>
      <w:pPr>
        <w:spacing w:after="0" w:line="188"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b w:val="1"/>
          <w:bCs w:val="1"/>
          <w:i w:val="1"/>
          <w:iCs w:val="1"/>
          <w:color w:val="auto"/>
        </w:rPr>
        <w:t>Specialty DTG</w:t>
      </w:r>
      <w:r>
        <w:rPr>
          <w:rFonts w:ascii="Arial" w:cs="Arial" w:eastAsia="Arial" w:hAnsi="Arial"/>
          <w:sz w:val="18"/>
          <w:szCs w:val="18"/>
          <w:color w:val="auto"/>
        </w:rPr>
        <w:t>: In 2019 we established another line of products as a part of our DTG offering – specialty solutions. This new line of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introduces a diversification in our offering, representing our product strategy of solutions. The underlying strategy behind this new line of products is to identify specific market needs and application challenges representing major market opportunities and address them with unique and specific solutions. In 2019 we introduced a new and innovative process for printing on dyed polyester, addressing the cross-industry challenge of dye-migration, when decorating dyed polyester. This new solution was introduced to market during 2019 on a new system from the Avalanche platform – the Avalanche Poly Pro.</w:t>
      </w:r>
    </w:p>
    <w:p>
      <w:pPr>
        <w:spacing w:after="0" w:line="192"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Based on our new NeoPoly technology, the Avalanche Poly Pro can print on dyed polyester, using our new and innovative low temperature curing process, thus eliminating the challenge of dye-migration, currently existing in all other polyester decoration techniques.</w:t>
      </w:r>
    </w:p>
    <w:p>
      <w:pPr>
        <w:spacing w:after="0" w:line="170"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color w:val="auto"/>
        </w:rPr>
        <w:t>The Avalanche Poly Pro enables the production of on-demand customized polyester products, without minimum order quantity, providing all the advantages of digital printing on polyester. The system can print on a variety of polyester fabrics including poly blends (e.g. poly-lycra, poly-cotton), a variety of fabric builds and textures, including woven and knitted fabrics, as well as on recycled polyester. This new specialty product solution is added to the already existing Avalanche DC Pro, which is the only digital solution we know for discharge printing in the market.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836"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Direct-to-Fabric (DTF) Systems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Presto</w:t>
      </w:r>
      <w:r>
        <w:rPr>
          <w:rFonts w:ascii="Arial" w:cs="Arial" w:eastAsia="Arial" w:hAnsi="Arial"/>
          <w:sz w:val="16"/>
          <w:szCs w:val="16"/>
          <w:color w:val="auto"/>
        </w:rPr>
        <w:t>: Our Presto system has replaced our Allegro system - which was the first DTF printing system to allow for one-step DTF printing.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Presto, like the Allegro, combines a printing system and a drying and curing module so that a full end-to-end manufacturing process is enabled. Unlike the Presto, most DTF printers require additional steps. The Presto (like the Allegro before it) takes advantage of our patented wet-on-wet methodology to allow for in-line printing on various fabrics, without requiring a separate pre-treatment process, thereby avoiding the need to use textiles that are specifically pre-treated for digital printing. The Presto is designed to achieve high throughputs and does not require water or steam for any part of the printing process, making it friendly to the environment. By using our proprietary pigment-based ink, Presto can print on a variety of natural and synthetic fabrics providing customers with a significant level of flexibility. Most other dye-based systems are specifically designed to print on specific fabric types and cannot be used with other types of fabric as the processes and consumables used vary considerably from one to the other.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systems range in pricelist from $69,000 to over $820,000 and consume an average of $5,000 to $300,000 of ink and consumables annually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DTG Systems: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table summarizes key aspects of our DTG systems, all of which are compatible with a wide range of fabrics, including cotton, wool, polyester, viscose, lycra and various blends, and print at maximum resolutions ranging from 600 to 1,200 DPI. With the introduction of our Avalanche Poly Pro, our systems now also enable large-scale printing on dyed polyester, which has served as an entry point for us into the lucrative athleisure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Effective Throughput</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System</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 Customer</w:t>
            </w:r>
          </w:p>
        </w:tc>
        <w:tc>
          <w:tcPr>
            <w:tcW w:w="2340" w:type="dxa"/>
            <w:vAlign w:val="bottom"/>
            <w:gridSpan w:val="2"/>
          </w:tcPr>
          <w:p>
            <w:pPr>
              <w:jc w:val="center"/>
              <w:ind w:right="80"/>
              <w:spacing w:after="0" w:line="271" w:lineRule="exact"/>
              <w:rPr>
                <w:sz w:val="20"/>
                <w:szCs w:val="20"/>
                <w:color w:val="auto"/>
              </w:rPr>
            </w:pPr>
            <w:r>
              <w:rPr>
                <w:rFonts w:ascii="Arial" w:cs="Arial" w:eastAsia="Arial" w:hAnsi="Arial"/>
                <w:sz w:val="18"/>
                <w:szCs w:val="18"/>
                <w:b w:val="1"/>
                <w:bCs w:val="1"/>
                <w:color w:val="auto"/>
                <w:w w:val="92"/>
              </w:rPr>
              <w:t>Light/Dark Garments</w:t>
            </w:r>
            <w:r>
              <w:rPr>
                <w:rFonts w:ascii="Arial" w:cs="Arial" w:eastAsia="Arial" w:hAnsi="Arial"/>
                <w:sz w:val="29"/>
                <w:szCs w:val="29"/>
                <w:b w:val="1"/>
                <w:bCs w:val="1"/>
                <w:color w:val="auto"/>
                <w:w w:val="92"/>
                <w:vertAlign w:val="superscript"/>
              </w:rPr>
              <w:t>(1)</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Colors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Max. Printing Area</w:t>
            </w: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Breeze</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Entry Level</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32/25</w:t>
            </w: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CMYK + White</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14 x 18 in</w:t>
            </w: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Storm HD6 Lite</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line="256" w:lineRule="exact"/>
              <w:rPr>
                <w:sz w:val="20"/>
                <w:szCs w:val="20"/>
                <w:color w:val="auto"/>
              </w:rPr>
            </w:pPr>
            <w:r>
              <w:rPr>
                <w:rFonts w:ascii="Arial" w:cs="Arial" w:eastAsia="Arial" w:hAnsi="Arial"/>
                <w:sz w:val="18"/>
                <w:szCs w:val="18"/>
                <w:color w:val="auto"/>
                <w:w w:val="87"/>
              </w:rPr>
              <w:t>40/30</w:t>
            </w:r>
            <w:r>
              <w:rPr>
                <w:rFonts w:ascii="Arial" w:cs="Arial" w:eastAsia="Arial" w:hAnsi="Arial"/>
                <w:sz w:val="29"/>
                <w:szCs w:val="29"/>
                <w:b w:val="1"/>
                <w:bCs w:val="1"/>
                <w:color w:val="auto"/>
                <w:w w:val="87"/>
                <w:vertAlign w:val="superscript"/>
              </w:rPr>
              <w:t>(2)</w:t>
            </w:r>
          </w:p>
        </w:tc>
        <w:tc>
          <w:tcPr>
            <w:tcW w:w="100" w:type="dxa"/>
            <w:vAlign w:val="bottom"/>
          </w:tcPr>
          <w:p>
            <w:pPr>
              <w:spacing w:after="0"/>
              <w:rPr>
                <w:sz w:val="22"/>
                <w:szCs w:val="2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CMYKGR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7"/>
        </w:trPr>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Storm 1000</w:t>
            </w:r>
            <w:r>
              <w:rPr>
                <w:rFonts w:ascii="Arial" w:cs="Arial" w:eastAsia="Arial" w:hAnsi="Arial"/>
                <w:sz w:val="29"/>
                <w:szCs w:val="29"/>
                <w:b w:val="1"/>
                <w:bCs w:val="1"/>
                <w:color w:val="auto"/>
                <w:vertAlign w:val="superscript"/>
              </w:rPr>
              <w:t>*</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 x 28 in</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Storm Hexa</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Storm HD6</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70/55</w:t>
            </w:r>
            <w:r>
              <w:rPr>
                <w:rFonts w:ascii="Arial" w:cs="Arial" w:eastAsia="Arial" w:hAnsi="Arial"/>
                <w:sz w:val="29"/>
                <w:szCs w:val="29"/>
                <w:b w:val="1"/>
                <w:bCs w:val="1"/>
                <w:color w:val="auto"/>
                <w:w w:val="87"/>
                <w:vertAlign w:val="superscript"/>
              </w:rPr>
              <w:t>(2)</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 x 28 in</w:t>
            </w:r>
          </w:p>
        </w:tc>
      </w:tr>
      <w:tr>
        <w:trPr>
          <w:trHeight w:val="257"/>
        </w:trPr>
        <w:tc>
          <w:tcPr>
            <w:tcW w:w="216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Storm Duo</w:t>
            </w:r>
            <w:r>
              <w:rPr>
                <w:rFonts w:ascii="Arial" w:cs="Arial" w:eastAsia="Arial" w:hAnsi="Arial"/>
                <w:sz w:val="29"/>
                <w:szCs w:val="29"/>
                <w:b w:val="1"/>
                <w:bCs w:val="1"/>
                <w:color w:val="auto"/>
                <w:vertAlign w:val="superscript"/>
              </w:rPr>
              <w:t>*</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190/N.A</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7"/>
        </w:trPr>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Avalanche</w:t>
            </w:r>
            <w:r>
              <w:rPr>
                <w:rFonts w:ascii="Arial" w:cs="Arial" w:eastAsia="Arial" w:hAnsi="Arial"/>
                <w:sz w:val="29"/>
                <w:szCs w:val="29"/>
                <w:b w:val="1"/>
                <w:bCs w:val="1"/>
                <w:color w:val="auto"/>
                <w:vertAlign w:val="superscript"/>
              </w:rPr>
              <w:t>*</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150/100</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Avalanche Poly Pro</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106/85</w:t>
            </w: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CMYK + White + Poly Enhancer</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DC Pro</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150/100</w:t>
            </w: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CMYK + White + Discharge ink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Avalanche 1000</w:t>
            </w:r>
            <w:r>
              <w:rPr>
                <w:rFonts w:ascii="Arial" w:cs="Arial" w:eastAsia="Arial" w:hAnsi="Arial"/>
                <w:sz w:val="29"/>
                <w:szCs w:val="29"/>
                <w:b w:val="1"/>
                <w:bCs w:val="1"/>
                <w:color w:val="auto"/>
                <w:vertAlign w:val="superscript"/>
              </w:rPr>
              <w:t>*</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220/160</w:t>
            </w:r>
          </w:p>
        </w:tc>
        <w:tc>
          <w:tcPr>
            <w:tcW w:w="100" w:type="dxa"/>
            <w:vAlign w:val="bottom"/>
          </w:tcPr>
          <w:p>
            <w:pPr>
              <w:spacing w:after="0"/>
              <w:rPr>
                <w:sz w:val="22"/>
                <w:szCs w:val="2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6"/>
        </w:trPr>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Avalanche Hexa</w:t>
            </w:r>
            <w:r>
              <w:rPr>
                <w:rFonts w:ascii="Arial" w:cs="Arial" w:eastAsia="Arial" w:hAnsi="Arial"/>
                <w:sz w:val="29"/>
                <w:szCs w:val="29"/>
                <w:b w:val="1"/>
                <w:bCs w:val="1"/>
                <w:color w:val="auto"/>
                <w:vertAlign w:val="superscript"/>
              </w:rPr>
              <w:t>*</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180/140</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Avalanche HDK</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line="256" w:lineRule="exact"/>
              <w:rPr>
                <w:sz w:val="20"/>
                <w:szCs w:val="20"/>
                <w:color w:val="auto"/>
              </w:rPr>
            </w:pPr>
            <w:r>
              <w:rPr>
                <w:rFonts w:ascii="Arial" w:cs="Arial" w:eastAsia="Arial" w:hAnsi="Arial"/>
                <w:sz w:val="18"/>
                <w:szCs w:val="18"/>
                <w:color w:val="auto"/>
                <w:w w:val="86"/>
              </w:rPr>
              <w:t>105/85</w:t>
            </w:r>
            <w:r>
              <w:rPr>
                <w:rFonts w:ascii="Arial" w:cs="Arial" w:eastAsia="Arial" w:hAnsi="Arial"/>
                <w:sz w:val="29"/>
                <w:szCs w:val="29"/>
                <w:b w:val="1"/>
                <w:bCs w:val="1"/>
                <w:color w:val="auto"/>
                <w:w w:val="86"/>
                <w:vertAlign w:val="superscript"/>
              </w:rPr>
              <w:t>(2)</w:t>
            </w:r>
          </w:p>
        </w:tc>
        <w:tc>
          <w:tcPr>
            <w:tcW w:w="100" w:type="dxa"/>
            <w:vAlign w:val="bottom"/>
          </w:tcPr>
          <w:p>
            <w:pPr>
              <w:spacing w:after="0"/>
              <w:rPr>
                <w:sz w:val="22"/>
                <w:szCs w:val="2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HD6</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105/85</w:t>
            </w:r>
            <w:r>
              <w:rPr>
                <w:rFonts w:ascii="Arial" w:cs="Arial" w:eastAsia="Arial" w:hAnsi="Arial"/>
                <w:sz w:val="29"/>
                <w:szCs w:val="29"/>
                <w:b w:val="1"/>
                <w:bCs w:val="1"/>
                <w:color w:val="auto"/>
                <w:w w:val="86"/>
                <w:vertAlign w:val="superscript"/>
              </w:rPr>
              <w:t>(2)</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Atlas</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line="256" w:lineRule="exact"/>
              <w:rPr>
                <w:sz w:val="20"/>
                <w:szCs w:val="20"/>
                <w:color w:val="auto"/>
              </w:rPr>
            </w:pPr>
            <w:r>
              <w:rPr>
                <w:rFonts w:ascii="Arial" w:cs="Arial" w:eastAsia="Arial" w:hAnsi="Arial"/>
                <w:sz w:val="18"/>
                <w:szCs w:val="18"/>
                <w:color w:val="auto"/>
                <w:w w:val="85"/>
              </w:rPr>
              <w:t>200/160</w:t>
            </w:r>
            <w:r>
              <w:rPr>
                <w:rFonts w:ascii="Arial" w:cs="Arial" w:eastAsia="Arial" w:hAnsi="Arial"/>
                <w:sz w:val="29"/>
                <w:szCs w:val="29"/>
                <w:b w:val="1"/>
                <w:bCs w:val="1"/>
                <w:color w:val="auto"/>
                <w:w w:val="85"/>
                <w:vertAlign w:val="superscript"/>
              </w:rPr>
              <w:t>(2)</w:t>
            </w:r>
          </w:p>
        </w:tc>
        <w:tc>
          <w:tcPr>
            <w:tcW w:w="100" w:type="dxa"/>
            <w:vAlign w:val="bottom"/>
          </w:tcPr>
          <w:p>
            <w:pPr>
              <w:spacing w:after="0"/>
              <w:rPr>
                <w:sz w:val="22"/>
                <w:szCs w:val="2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Paradigm II</w:t>
            </w:r>
            <w:r>
              <w:rPr>
                <w:rFonts w:ascii="Arial" w:cs="Arial" w:eastAsia="Arial" w:hAnsi="Arial"/>
                <w:sz w:val="29"/>
                <w:szCs w:val="29"/>
                <w:b w:val="1"/>
                <w:bCs w:val="1"/>
                <w:color w:val="auto"/>
                <w:vertAlign w:val="superscript"/>
              </w:rPr>
              <w:t>*</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120/120</w:t>
            </w:r>
          </w:p>
        </w:tc>
        <w:tc>
          <w:tcPr>
            <w:tcW w:w="10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CMYK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 x 19.5 in</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Vulcan</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250/250</w:t>
            </w: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15.5 x 19.5 in</w:t>
            </w: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Vulcan Plus</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235/235</w:t>
            </w: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15.7 x 19.7 in</w:t>
            </w:r>
          </w:p>
        </w:tc>
      </w:tr>
    </w:tbl>
    <w:p>
      <w:pPr>
        <w:spacing w:after="0" w:line="8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i w:val="1"/>
          <w:iCs w:val="1"/>
          <w:color w:val="auto"/>
        </w:rPr>
        <w:t>System undergoing End of Life process.</w:t>
      </w:r>
    </w:p>
    <w:p>
      <w:pPr>
        <w:spacing w:after="0" w:line="2" w:lineRule="exact"/>
        <w:rPr>
          <w:sz w:val="20"/>
          <w:szCs w:val="20"/>
          <w:color w:val="auto"/>
        </w:rPr>
      </w:pPr>
    </w:p>
    <w:p>
      <w:pPr>
        <w:jc w:val="both"/>
        <w:ind w:left="340" w:hanging="332"/>
        <w:spacing w:after="0" w:line="249"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Maximum output for sellable product for dark and light garments. Output for all systems, except the Vulcan and Vulcan Plus, is measured in High Productivity print mode using A4 size prints per hour with pretreatment included. Output for the Vulcan and Vulcan Plus systems is measured in Standard print mode using 12 x 12 in size prints per hour with pretreatment included. The throughput measurement is based on 10 t-shirt print procedure.</w:t>
      </w:r>
    </w:p>
    <w:p>
      <w:pPr>
        <w:spacing w:after="0" w:line="3" w:lineRule="exact"/>
        <w:rPr>
          <w:rFonts w:ascii="Arial" w:cs="Arial" w:eastAsia="Arial" w:hAnsi="Arial"/>
          <w:sz w:val="18"/>
          <w:szCs w:val="18"/>
          <w:i w:val="1"/>
          <w:iCs w:val="1"/>
          <w:color w:val="auto"/>
        </w:rPr>
      </w:pPr>
    </w:p>
    <w:p>
      <w:pPr>
        <w:ind w:left="340" w:hanging="332"/>
        <w:spacing w:after="0"/>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Measurement method changed to 13''x13'' image impression instead of A4.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jc w:val="both"/>
        <w:ind w:firstLine="748"/>
        <w:spacing w:after="0" w:line="259" w:lineRule="auto"/>
        <w:rPr>
          <w:sz w:val="20"/>
          <w:szCs w:val="20"/>
          <w:color w:val="auto"/>
        </w:rPr>
      </w:pPr>
      <w:r>
        <w:rPr>
          <w:rFonts w:ascii="Arial" w:cs="Arial" w:eastAsia="Arial" w:hAnsi="Arial"/>
          <w:sz w:val="18"/>
          <w:szCs w:val="18"/>
          <w:color w:val="auto"/>
        </w:rPr>
        <w:t>Kornit NeoPigment™ inks are water based, non-toxic, phthalate free and free of heavy metals and follow the highest international sustainability standards such as Eco-Passport, GOTS and per specific customer requirements. Our ink and consumables consist of our patented NeoPigment™ ink, proprietary binding agent, priming fluid, wiping fluid and flushing fluid. We categorize our line of inks into two category groups: Direct-to-Garment and Direct-to-Fabric.</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our DTG systems we hold four set of ink series: NeoPigment™, NeoPigment™ Rapid, NeoPigment™ Eco-Rapid and NeoPigment™ Olympia. The first two ink sets are designed for Kornit legacy products while the Eco-Rapid is the most advanced ink set designed for retail quality. These three ink sets are available in seven colors (W+CMYKRG) and a complementary binding agent. NeoPigment™ Olympia is designed for our new polyester printing system, the Avalanche Poly Pro, available in five colors (W+CMYK) and an enhancer. The printing process is unique and innovative specially designed for polyester printing overcoming the challenges by implementing four crucial steps. The first step, a fixation agent specially designed and formulated for polyester fabrics. The second step, white layer with special properties resulting in high quality white color, high opacity and elastic properties for high performance. The third step, CMYK printing, allowing increased color gamut and spot color matching and finishing with a poly-enhancer, designed for high quality finishing with improved durability and refined hand-feel.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our Direct-to Fabric systems we have two ink set: NeoPigment™ Intenso and NeoPigment™ Robusto. Those are designed for our Roll-to-Roll systems and consist of six colors (CMYKRG), while the Intenso holds additional fluorescent colors and a light-K color. with our Direct-to-Fabrics ink series we have developed and patented a fixation on the fly (FOF) process. This unique consumable allows to print in a single step solution, avoiding the need of fabric pre-treatment and enabling minimal environmental impact.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our inks are formulated for optimal use exclusively in our systems.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Given the proprietary nature of our printing methodology, our ink and consumables attachment rate is close to 100%. We also continuously invest in the development of new ink formulas for our systems in order to expand the range of applications we can print, further increase the quality of our high-resolution images and designs and improve color fastness.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high-resolution images and designs without compromising the texture or feel of the garment.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DTG systems arrive with our QuickP Production software embedded. The software manages the system operation and prepares image files for print. QuickP Production is a simple to use solution that allows users to control key operating parameters, such as ink dots per inch, or DPI, perform maintenance and calibration procedures and import image files and prepare them for print.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Some of our customers also purchase our QuickP Designer software. QuickP Designer is a software package that combines our own internally developed Raster Image Processing, or RIP, software with other print job management capabilities and includes an advanced ink consumption estimation tool. A single QuickP Designer license can be used to support multiple Kornit systems.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79" w:lineRule="auto"/>
        <w:rPr>
          <w:sz w:val="20"/>
          <w:szCs w:val="20"/>
          <w:color w:val="auto"/>
        </w:rPr>
      </w:pPr>
      <w:r>
        <w:rPr>
          <w:rFonts w:ascii="Arial" w:cs="Arial" w:eastAsia="Arial" w:hAnsi="Arial"/>
          <w:sz w:val="17"/>
          <w:szCs w:val="17"/>
          <w:color w:val="auto"/>
        </w:rPr>
        <w:t>In 2018 we introduced to market a new professional RIP software specifically designed in full collaboration with ColorGate. This new offering allows our customers to enhance our systems’ performance in the areas of print quality and color management, allowing them to achieve superior results and manage high-end color demanding applications. The combination of this new product offering, together with our HD technology, also serves our screen-printing replacement strategy, allowing our customers to achieve color accuracy and matching to screen prints.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2019 we introduced to the market the Kornit Konnect, our new cloud-based, software analytics connectivity platform that enables businesses to maximize productivity of their digital printing solutions. In its first phase, the Kornit Konnect enables businesses to monitor production, analyze insights and manage their fleet, in order to eliminate blind spots. It includes a fleet management dashboard, data driven benchmarks, actual production costs, and cost structures per job, making it easy for businesses to learn more, react faster and perform better.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services consist of maintenance and support, and professional services. We are seeking to increase the number of customers that rely on us to provide services for their systems by expanding our service capabilities. As of December 31, 2019, we had service contracts in place with approximately 32% of our industrial and mass production installed base. Starting in 2020, we expect this rate to increase, as according to our new policy, each industrial system will be sold along with a service contract. Service revenues exceeded 10% of our overall revenues for the first time in 2017 and, in 2019, amounted to $23.3 million.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and Support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Starting in 2019, we provide a six-month warranty, which covers parts, labor, and remote support. Our customers can also purchase an additional year of support coverage at the time of purchase. After this period, customers can renew their support contract by purchasing a support package that includes remote support, on-site support, software updates, and on-site yearly maintenance. Alternatively, they can choose to rely on our support on a time-and-materials basis. In the United States, we provide direct service to all of our customers. In the EMEA region, we provide direct service to nearly half of our install base, while the other half receives that support through our independent distributors. In the Asia Pacific region, service is provided by our independent distributors, and we provide second line support, if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systems are designed such that customers can operate them without the assistance of our company or our independent distributors. However, we provide the Customer Empowerment Program to ensure an efficient knowledge-transfer process and to help our customers become proficient and independent at operating their systems in a short period of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Customer Empowerment Program is composed of four touchpoints:</w:t>
      </w:r>
    </w:p>
    <w:p>
      <w:pPr>
        <w:spacing w:after="0" w:line="225" w:lineRule="exact"/>
        <w:rPr>
          <w:sz w:val="20"/>
          <w:szCs w:val="20"/>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Digital Touchpoint: This is available before the system is installed at the customer site. Includes access to a variety of online tutorials and documentation.</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Basic Technical and Application Training: Consists of a five-day course in our training center. Includes an overview of the system and involves practice by the customer performing typical maintenance, application, and operation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Installation Training – Consists of three days on-site during the installation of the system, to ensure that the machine is up-and-running as expected.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Ramp-up Training – Three to five days of professional services. Includes customized consulting aimed at optimizing the use of our systems. These professional services are provided at our regional offices or on-site at the customer.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right="20" w:firstLine="648"/>
        <w:spacing w:after="0" w:line="277" w:lineRule="auto"/>
        <w:rPr>
          <w:sz w:val="20"/>
          <w:szCs w:val="20"/>
          <w:color w:val="auto"/>
        </w:rPr>
      </w:pPr>
      <w:r>
        <w:rPr>
          <w:rFonts w:ascii="Arial" w:cs="Arial" w:eastAsia="Arial" w:hAnsi="Arial"/>
          <w:sz w:val="18"/>
          <w:szCs w:val="18"/>
          <w:color w:val="auto"/>
        </w:rPr>
        <w:t>We have furthermore established three training centers at our regional offices in the US, Germany, and Hong Kong, respectively. We continuously seek to expand the number and content of our training programs.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diverse global customer base consisted of more than 1,000 customers as of December 31, 2019. Throughout our growing installed base, our customers can serve a variety of different business models, particularly the new business models that have developed in response to the evolution of consumer trends and the rapid growth of the online retail market. Our solutions enable this category of “web-to-print” businesses to fulfill consumer demand more quickly and cost-effectively in a manner that is differentiated from traditional brick and mortar businesses. A number of large-scale, web-to-print platforms have emerged. These platforms often leverage digital printing solutions to facilitate business for other content providers.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ecosystem of web-to-print businesses that we currently serve includes:</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Companies manufacturing and selling their own designs that are advertised on their own websites and through other marketing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Hybrid Printers</w:t>
      </w:r>
      <w:r>
        <w:rPr>
          <w:rFonts w:ascii="Arial" w:cs="Arial" w:eastAsia="Arial" w:hAnsi="Arial"/>
          <w:sz w:val="18"/>
          <w:szCs w:val="18"/>
          <w:color w:val="auto"/>
        </w:rPr>
        <w:t>. Companies that both manufacture in-house and outsource manufacturing to third party fulfillment providers, who are often also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Third Party Fulfillment Centers</w:t>
      </w:r>
      <w:r>
        <w:rPr>
          <w:rFonts w:ascii="Arial" w:cs="Arial" w:eastAsia="Arial" w:hAnsi="Arial"/>
          <w:sz w:val="18"/>
          <w:szCs w:val="18"/>
          <w:color w:val="auto"/>
        </w:rPr>
        <w:t>. Companies serving as third party fulfillment for other businesses. Third party fulfillment providers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our customers. Demand for these businesses is typically generated online through other web retailers.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10. Additional Information— C. - Material Contracts - Agreements with Amazon.”</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corporate structure consists of Kornit Digital Ltd., our Israeli parent company, and five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(5) Kornit Digital UK Ltd., which was incorporated on August 30, 2017 under the laws of England and Wales, and (6) Kornit Digital Japan KK which was incorporated on March 9, 2020 under the laws of Japan.</w:t>
      </w:r>
    </w:p>
    <w:p>
      <w:pPr>
        <w:spacing w:after="0" w:line="18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headquarters are located in Rosh Ha’Ayin, Israel in an office and research and development facility consisting of approximately 107,000 square feet. The lease for this office expires in December 2025, with an option to extend the lease for an additional five years. We lease an additional facility of approximately 8,000 square feet near our corporate headquarters. The lease for this additional space expires in December 2020, with an option to extend the lease for an additional 18 months. In Israel, we also lease a manufacturing facility in Kiryat Gat, which consists of approximately 19,000 square feet. The lease for the Kiryat Gat manufacturing facility expires on May 31, 2021, and we have an option to lease this facility for an additional three years. We can terminate this lease by providing 180 days’ prior notice. During high season we can more than double our current output at the facility by increasing the number of shifts on the existing production lines without requiring us to expand the physical structure of the facility. We have secured a location for a new, modern, manufacturing facility that we intend to build in Kiryat Gat with the goal of increasing operational efficiency and providing for improved safety and security. Construction began in January 2019 and is expected to be completed approximately in August 2020. We will experience some delays due to the effects of the coronavirus. We have incurred capital expenditures for the new facility in order to complete the acquisition of the property and building of this facility.</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new U.S. headquarters are located in Englewood, New Jersey. We have entered into a lease for these headquarters, which are comprised of approximately 15,845 square feet of offices and warehouse. The lease for this location expires in February 2028. We maintain additional sales, support and marketing offices in Dusseldorf, Hong Kong and Shanghai.</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Operating and Financial Review and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contained in this section should be read in conjunction with our financial statements for the year ended December 31, 2019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DTG and DTF segments of the printed textile industry. Our solutions include our proprietary digital printing systems, ink and other consumables, associated software and value-added services that allow for large scale printing of short runs of complex images and designs directly on finished garments and fabrics.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Building on the expertise and capabilities that we have accumulated in developing and offering differentiated solutions for the industrial DTG market, we also market an industrial digital printing solution, the Presto, which targets the on-demand DTF market. While the DTG market generally involves printing on finished garments, the DTF market is focused on printing on fabrics that are subsequently converted into finished garments, home or office décor, and other items. The Presto (like our predecessor DTF product, the Allegro) utilizes our proprietary wet-on-wet printing methodology and houses an integrated drying and curing system. It offers the sole (following its predecessor, the Allegro) single-step, eco-friendly, stand-alone industrial DTF digital textile printing solution available on the market. We primarily market the Presto to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We believe that with the Presto we are well positioned to take advantage of the growing trend towards customized home décor and on-demand fabric printing. We began selling the Presto commercially in the second quarter of 2019 (after having introduced our initial DTF digital textile printing solution, the Allegro, four years earlier, in the second quarter of 2015).</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go-to-market strategy consists of a hybrid model of indirect and direct sales, with a trend towards adopting a direct sales model in certain key markets, as we have done in North America. We have historically generated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Our agreement with our previous primary independent distributor in North America terminated effective as of February 7, 2019, following which we transitioned towards a direct sales model in that region.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At the same time, we look to acquire new high-volume customers, which drives higher sales of ink and other consumables. We are also seeking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founded in 2002 in Israel and shipped our first system in 2005. As of December 31, 2019, we had 547 employees located across four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regions: Israel, America, Europe and the Asia Pacific regions.</w:t>
      </w:r>
    </w:p>
    <w:p>
      <w:pPr>
        <w:spacing w:after="0" w:line="20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Operating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audited financial statements for the years ended December 31, 2017, 2018 and 2019 and related notes and the information contained in ITEM 18. Financial Statements. Our financial statements have been prepared in accordance with GAAP</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Substantially all of our revenues are generated from sales of our systems and ink and other consumables. Prior to 2017, we derived, and in the near term we expect to continue to derive, a majority of our revenues from sales of our systems. However, in 2017, due to lower systems sales, which resulted in large part from the delay in receipt of permits for a new site for one of our large customers in the United States, we derived a larger portion of our revenues from sales of ink and consumables. In the medium term, we are targeting an equal mix of revenues from our systems compared to ink and other consumables, due to our growing installed base, which generates recurring revenues from sales of ink and other consumables. We do not, however, consider the period-to-period changes in our total installed base to be a helpful metric in assessing our performance because we currently sell a number of different systems that have significantly different throughput characteristics and average selling prices, which do not, therefore, provide evidence as to revenues from systems sales or expected consumables sales. Instead, because we have not experienced material changes in the prices at which we sell ink and other consumables, we believe the best measure of the success of our strategy for recurring revenues from our growing installed base is the amount of the increase in revenues from ink and other consumables that is generated in each period.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right="20" w:firstLine="648"/>
        <w:spacing w:after="0" w:line="277" w:lineRule="auto"/>
        <w:rPr>
          <w:sz w:val="20"/>
          <w:szCs w:val="20"/>
          <w:color w:val="auto"/>
        </w:rPr>
      </w:pPr>
      <w:r>
        <w:rPr>
          <w:rFonts w:ascii="Arial" w:cs="Arial" w:eastAsia="Arial" w:hAnsi="Arial"/>
          <w:sz w:val="18"/>
          <w:szCs w:val="18"/>
          <w:color w:val="auto"/>
        </w:rPr>
        <w:t>We generate the services portion of our revenues from the provision of spare parts to our distributors and customers, post-warranty service contracts, value added services consisting of time and material based support and system upgrades.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historically sold our products directly and through independent distributors who resell them to customers. Sales by our distributors accounted for approximately 44% and 30% of our revenues during 2018 and 2019, respectively. On February 7, 2019, our agreement with our previous primary independent distributor in North America, which accounted for 15% of our revenues in the year ended December 31, 2018, terminated. Despite our transition to a direct sales model in North America, we continue to generate a small, non-material portion of our revenues from the distribution of our products in North America via certain independent distributors.</w:t>
      </w:r>
    </w:p>
    <w:p>
      <w:pPr>
        <w:spacing w:after="0" w:line="188" w:lineRule="exact"/>
        <w:rPr>
          <w:sz w:val="20"/>
          <w:szCs w:val="20"/>
          <w:color w:val="auto"/>
        </w:rPr>
      </w:pPr>
    </w:p>
    <w:p>
      <w:pPr>
        <w:jc w:val="both"/>
        <w:ind w:firstLine="638"/>
        <w:spacing w:after="0" w:line="301" w:lineRule="auto"/>
        <w:rPr>
          <w:sz w:val="20"/>
          <w:szCs w:val="20"/>
          <w:color w:val="auto"/>
        </w:rPr>
      </w:pPr>
      <w:r>
        <w:rPr>
          <w:rFonts w:ascii="Arial" w:cs="Arial" w:eastAsia="Arial" w:hAnsi="Arial"/>
          <w:sz w:val="16"/>
          <w:szCs w:val="16"/>
          <w:color w:val="auto"/>
        </w:rPr>
        <w:t>We recognize revenues in accordance with ASC No. 606, “Revenue from Contracts with Customers”. As such,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periodically provide customer incentive programs including product discounts, volume-based rebates and warrants, which are accounted for as variable consideration which is deducted from revenue in the period in which the revenue is recognized. These reductions to revenue are made based upon reasonable and reliable estimates that are determined by historical experience and the specific terms and conditions of the incentive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“-Critical Accounting Policies-Revenue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86"/>
              </w:rPr>
              <w:t>(in thousands except percentages)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60,541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100,457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32,015</w:t>
            </w:r>
          </w:p>
        </w:tc>
        <w:tc>
          <w:tcPr>
            <w:tcW w:w="26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45,195</w:t>
            </w:r>
          </w:p>
        </w:tc>
        <w:tc>
          <w:tcPr>
            <w:tcW w:w="26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48,810</w:t>
            </w:r>
          </w:p>
        </w:tc>
        <w:tc>
          <w:tcPr>
            <w:tcW w:w="2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27.1</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15,572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r>
      <w:tr>
        <w:trPr>
          <w:trHeight w:val="23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tcPr>
          <w:p>
            <w:pPr>
              <w:spacing w:after="0"/>
              <w:rPr>
                <w:sz w:val="20"/>
                <w:szCs w:val="20"/>
                <w:color w:val="auto"/>
              </w:rPr>
            </w:pPr>
          </w:p>
        </w:tc>
      </w:tr>
      <w:tr>
        <w:trPr>
          <w:trHeight w:val="25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114,088</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142,373</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179,866</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fees that are charged to our customers are recognized as revenue in the period shipped and the related costs for providing these services are recorded as a cost of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shipping and handling fees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96" w:lineRule="auto"/>
        <w:rPr>
          <w:sz w:val="20"/>
          <w:szCs w:val="20"/>
          <w:color w:val="auto"/>
        </w:rPr>
      </w:pPr>
      <w:r>
        <w:rPr>
          <w:rFonts w:ascii="Arial" w:cs="Arial" w:eastAsia="Arial" w:hAnsi="Arial"/>
          <w:sz w:val="16"/>
          <w:szCs w:val="16"/>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 We expect that gross margins will increase due to improvements in economies of scale and improvements in services gross margin.</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We are seeking to generate greater revenues from our service offering, and thereby leverage the fixed cost component associated with it, by increasing sales of post-warranty service contracts, selling upgrade kits and providing other professional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expenses are classified into four categories: research and development expenses, sales and marketing expenses, general and administrative expenses and restructuring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at a controlled pace as we hire new employees to support growth of our business, but at a slower pace than in prior years. In the long term, we expect operating expenses to decrease as a percentage of revenues.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largest component of our research and development expenses is salaries and related personnel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research and development employees. Research and development expenses also include purchases of laboratory supplies; expenses related to beta testing of our systems; and allocated overhead costs for facilities, including rent payments under our facilities leases. We record all research and development expenses as they are incurred. We expect research and development expenses to slightly increase in absolute terms as we continue to hire additional personnel for the development of upgrades to existing systems and additional systems that we develop. Our current research and development efforts are primarily focused on our next generation of DTF and DTG systems. We are also investing in the development of new ink formulas for our new systems and in order to expand the range of fabrics on which we can print and further improve color quality and diversification of our high-resolution images and designs.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largest component of our sales and marketing expenses is salaries and related personnel expenses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sales and other sales-support employees. Sales and marketing expenses also include trade shows, other advertising and promotions, including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including pursuant to our direct product distribution strategy in certain key markets.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largest component of our general and administrative expenses is salaries and related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in the near term, but at a slower pace than in prior years, as a result of the hiring of additional personnel to support our growth and to support our operations at our relatively new U.S. headquarters, which had been moved from Mequon, Wisconsin to Englewood, New Jersey.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Finance Income, Net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Finance income, net consists of interest income and foreign currency exchange gains or losses. Foreign currency exchange changes reflect gains or losses related to changes in the value of our non-U.S. dollar denominated financial assets, primarily cash and cash equivalents, and trade payables and receivables. As of December 31, 2019,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corporate tax rate in Israel was 24% in 2017 and was reduced to 23% for 2018 and all subsequent years. However, as discussed in greater detail below under “Taxation and Israeli Government Programs Applicable To Our Company — Israeli Tax Considerations and Government Programs,” we and our wholly-owned Israeli subsidiary, Kornit Technologies, are entitled to various tax benefits under the Israeli Law for the Encouragement of Capital Investments, 1959, or the Investment Law.</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Starting January 1, 2014 and based on the Israeli law, we consolidate the two separate results of our Israeli operations only for tax purposes such that net operating loss carryforwards of Kornit Technologies generated from 2014 onwards can be used to offset Israeli taxable income from us. Kornit Technologies currently generates enough carryforward net operating losses to offset the taxable income of the parent. Accordingly, we were not subject to effective income tax in Israel in 2017, 2018 or 2019, and our effective tax rate was the blended rate of our Israeli tax and those of our non-Israeli subsidiaries in their respective jurisdictions of organization. [NATY – done 19.3.20]</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Comparison of Period to Period Results of Operations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101,953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156,594</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12,135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16,644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23,272</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46,480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13,497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59,977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72,504</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97,790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54,111</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69,869</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82,076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20,834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21,912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13,578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16,436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18,498</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56,194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64,265</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74,478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Finance income, net</w:t>
            </w:r>
          </w:p>
        </w:tc>
        <w:tc>
          <w:tcPr>
            <w:tcW w:w="2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1,433</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taxes on income (tax benefit)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Taxes on income (tax benefit)</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(5,392)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
              <w:spacing w:after="0" w:line="256" w:lineRule="exact"/>
              <w:rPr>
                <w:sz w:val="20"/>
                <w:szCs w:val="20"/>
                <w:color w:val="auto"/>
              </w:rPr>
            </w:pPr>
            <w:r>
              <w:rPr>
                <w:rFonts w:ascii="Arial" w:cs="Arial" w:eastAsia="Arial" w:hAnsi="Arial"/>
                <w:sz w:val="16"/>
                <w:szCs w:val="16"/>
                <w:color w:val="auto"/>
              </w:rPr>
              <w:t>(2,015</w:t>
            </w:r>
            <w:r>
              <w:rPr>
                <w:rFonts w:ascii="Arial" w:cs="Arial" w:eastAsia="Arial" w:hAnsi="Arial"/>
                <w:sz w:val="29"/>
                <w:szCs w:val="29"/>
                <w:color w:val="auto"/>
                <w:vertAlign w:val="superscript"/>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10,167</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81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(as a % of revenues)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9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3"/>
              </w:rPr>
              <w:t>89.4%</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7"/>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w w:val="96"/>
              </w:rPr>
              <w:t>10.6</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11.7</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6"/>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180" w:type="dxa"/>
            <w:vAlign w:val="bottom"/>
          </w:tcPr>
          <w:p>
            <w:pPr>
              <w:spacing w:after="0" w:line="203" w:lineRule="exact"/>
              <w:rPr>
                <w:sz w:val="20"/>
                <w:szCs w:val="20"/>
                <w:color w:val="auto"/>
              </w:rPr>
            </w:pPr>
            <w:r>
              <w:rPr>
                <w:rFonts w:ascii="Arial" w:cs="Arial" w:eastAsia="Arial" w:hAnsi="Arial"/>
                <w:sz w:val="18"/>
                <w:szCs w:val="18"/>
                <w:color w:val="auto"/>
              </w:rPr>
              <w:t>Cost of revenues</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6"/>
              </w:rPr>
              <w:t>40.8</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37.4</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w w:val="96"/>
              </w:rPr>
              <w:t>11.8</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13.5</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0"/>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6"/>
              </w:rPr>
              <w:t>52.6</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50.9</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7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47.4</w:t>
            </w:r>
          </w:p>
        </w:tc>
        <w:tc>
          <w:tcPr>
            <w:tcW w:w="3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49.1</w:t>
            </w:r>
          </w:p>
        </w:tc>
        <w:tc>
          <w:tcPr>
            <w:tcW w:w="2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45.6</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w w:val="96"/>
              </w:rPr>
              <w:t>18.3</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15.4</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6"/>
              </w:rPr>
              <w:t>18.7</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18.0</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w w:val="96"/>
              </w:rPr>
              <w:t>11.9</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11.5</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0"/>
        </w:trPr>
        <w:tc>
          <w:tcPr>
            <w:tcW w:w="7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7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49.3</w:t>
            </w:r>
          </w:p>
        </w:tc>
        <w:tc>
          <w:tcPr>
            <w:tcW w:w="3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45.1</w:t>
            </w:r>
          </w:p>
        </w:tc>
        <w:tc>
          <w:tcPr>
            <w:tcW w:w="2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Finance income, net</w:t>
            </w: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on income (tax benefit)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20" w:type="dxa"/>
            <w:vAlign w:val="bottom"/>
            <w:gridSpan w:val="2"/>
          </w:tcPr>
          <w:p>
            <w:pPr>
              <w:spacing w:after="0"/>
              <w:rPr>
                <w:sz w:val="20"/>
                <w:szCs w:val="20"/>
                <w:color w:val="auto"/>
              </w:rPr>
            </w:pPr>
            <w:r>
              <w:rPr>
                <w:rFonts w:ascii="Arial" w:cs="Arial" w:eastAsia="Arial" w:hAnsi="Arial"/>
                <w:sz w:val="18"/>
                <w:szCs w:val="18"/>
                <w:color w:val="auto"/>
              </w:rPr>
              <w:t>Taxes on income (tax benefit)</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increased by $37.5 million, or 26.3%, to $179.9 million in 2019 from $142.4 million in 2018, which is net of $5.1 million and $4.6 million, in 2019 and 2018, respectively, in fair value of the warrants associated with revenues recognized from Amazon. The growth in revenues resulted from: a 8.9% increase in ink and other consumables revenues to $65.2 million in 2019 from $59.9 million in 2018; a 39.8% increase in service revenues to $23.3 million in 2019 from $16.6 million in 2018, and an increase of 38.8% in systems revenues from $65.8 million in 2018 to $91.4 million in 2019. The $5.3 million increase in ink and other consumables revenues was due to a larger installed base, partially offset by install base transition to HD technology (which does not consume ink and other consumables as much). The $25.5 million increase in systems revenues was attributable to the launch of new systems and upgrades, which resulted in accelerated growth of our install base. The increase in our services revenues was due to an increase in sales of spare parts and service contracts to our installed base as well as an increase in systems upgrades.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Cost of revenues increased by $25.3 million, or 34.9%, to $97.8 million in 2019 from $72.5 million in 2018. Gross profit increased by $12.2 million, or 17.5%, to $82.1 million in 2019 from $69.9 million in 2018. Gross margin decreased to 45.6% in 2019, compared to 49.1% in 2018 as a result of the following factors: an additional $3.0 million of cost of revenues incurred related to an acquisition in 2019; less favorable product mix in 2019; and an increase in inventory write-offs by $1.0 million in 2019 compared to 2018.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9"/>
              </w:rPr>
              <w:t>Amount</w:t>
            </w:r>
          </w:p>
        </w:tc>
        <w:tc>
          <w:tcPr>
            <w:tcW w:w="1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9"/>
              </w:rPr>
              <w:t>Revenues</w:t>
            </w:r>
          </w:p>
        </w:tc>
        <w:tc>
          <w:tcPr>
            <w:tcW w:w="22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89"/>
              </w:rPr>
              <w:t>Revenues</w:t>
            </w: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9"/>
              </w:rPr>
              <w:t>($ in thousands)</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22,407</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25,596</w:t>
            </w:r>
          </w:p>
        </w:tc>
        <w:tc>
          <w:tcPr>
            <w:tcW w:w="1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33,573</w:t>
            </w:r>
          </w:p>
        </w:tc>
        <w:tc>
          <w:tcPr>
            <w:tcW w:w="1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7,977</w:t>
            </w:r>
          </w:p>
        </w:tc>
        <w:tc>
          <w:tcPr>
            <w:tcW w:w="32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2.3% in 2019 compared to 2018. This primarily reflected the robust</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 our operations in 2019, and was driven by an increase of $1.1 million in salaries and related personnel expenses and share based compensation due to an increase in the number of employees, with higher seniority and variable compensation payout, compared to 2018, offset, in part, by a decrease of $0.4 million in expenses related to consulting services. As a percentage of total revenues, our research and development expenses decreased during this period from 15.4% in 2018 to 12.5% in 2019. This primarily resulted from the capitalization of software development expenses in an amount of $1.2 million in 2019, which had the effect of reducing research and development expenses in 2019.</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31.2% in 2019 compared to 2018. This increase was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$4.4 million in salaries and related personnel expenses and share-based compensation expenses, mainly due to a higher average number of employees during 2019 compared to 2018; an increase in sales commissions and variable compensation paid in 2019; and a $1.6 million increase due to participation in ITMA shows and increased investment in product roadshows compared to 2018. As a percentage of total revenues, our sales and marketing expenses increased during this period from 18.0% in 2018 to 18.7% in 2019.</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12.5% in 2019 compared to 2018. This primarily resulted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$1.4 million in salaries, related personnel expenses and share-based compensation expenses mainly due to the hiring of additional personnel and an increase of $0.5 million in IT expenses and of $0.3 million in consulting service expenses. As a percentage of total revenues, our general and administrative expenses decreased from 11.5% in 2018 to 10.3% in 2019.</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During 2017, we determined to transition our US headquarters to New Jersey. As part of this transition, we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certain employees for early retirement or retention. We recorded expenses of $0.3 million in 2018, related to those agreements. We did not record any expenses related to restructuring costs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income, net amounted to $1.4 million of income in 2018 compared to income of $3.3 million in 2019. The $1.9 million increase primarily resulted from $4.5 million of financial income from interest on marketable securities, bank deposits and other sources in 2019 compared to $2.5 million of financial income from those sources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Taxes on income amounted to $0.7 million in 2019 compared to tax benefit of $5.4 million in 2018. We record net deferred tax assets to the extent we believe these assets will more likely than not be realized. As of each reporting date, our management considers new evidence, both positive and negative, that could impact management’s view with regards to the future realization of deferred tax assets for each jurisdiction. During the year ended December 31, 2018, we released $5.5 million of valuation allowances against our deferred tax assets, primarily related to the carrying forward of net operating losses, or NOLs.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96" w:lineRule="auto"/>
        <w:rPr>
          <w:sz w:val="20"/>
          <w:szCs w:val="20"/>
          <w:color w:val="auto"/>
        </w:rPr>
      </w:pPr>
      <w:r>
        <w:rPr>
          <w:rFonts w:ascii="Arial" w:cs="Arial" w:eastAsia="Arial" w:hAnsi="Arial"/>
          <w:sz w:val="16"/>
          <w:szCs w:val="16"/>
          <w:color w:val="auto"/>
        </w:rPr>
        <w:t>We are currently subject to a tax audit for the years 2013 to 2018 by the Israeli Tax Authority, or ITA. We have received the assessments for years 2013 and 2014 these assessments are subjects to another review by the ITA before they are finalized. The company is eligible to send its comments before the second review. According to a legal opinion we received from our legal counsels, the claims we had and the positions we took on our tax returns are solid and valid, and we don’t believe the first assessment will be effective. The ITA may furthermore disagree with our positions taken in our tax returns for any other years as well, and we may be subject to additional tax liabilities, which could have a material adverse effect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We have omitted in this annual report a discussion comparing the results of our operations for the years ended December 31, 2017 and 2018. In order to view that discussion, please see “ITEM 5. Operating and Financial Review and Prospects - A. Operating Results - Comparison of Period to Period Results of Operations - Comparison of the Years Ended December 31, 2017 and 2018” in our Annual Report on Form 20-F for the year ended December 31, 2018, which we filed with the SEC on March 26,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following significant accounting policies are the basis for the most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generate revenues from sales of systems, consumables and services. We generate revenues from sale of our products directly to end-users and indirectly through independent distributors, all of whom are considered end-users.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products, which consist of systems and consumables, are recognized at the point in time when control has transferred, in accordance with the agreed-upon delivery terms.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from services are derived mainly from the sale of print heads, spare parts, upgrade kits and service contracts. Our print heads, spare parts and upgrade kits revenues (collectively “Spare parts”) are recognized at the point in time when control has transferred, in accordance with the agreed-upon delivery terms. Service contracts are recognized over time, on a straight-line basis, over the period of the service.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48"/>
        <w:spacing w:after="0" w:line="255" w:lineRule="auto"/>
        <w:rPr>
          <w:sz w:val="20"/>
          <w:szCs w:val="20"/>
          <w:color w:val="auto"/>
        </w:rPr>
      </w:pPr>
      <w:r>
        <w:rPr>
          <w:rFonts w:ascii="Arial" w:cs="Arial" w:eastAsia="Arial" w:hAnsi="Arial"/>
          <w:sz w:val="18"/>
          <w:szCs w:val="18"/>
          <w:color w:val="auto"/>
        </w:rPr>
        <w:t>For multiple performance obligations arrangements, such as selling a system with a service contract, installation and training, we account for each performance obligation separately, as it is distinct. The transaction price is allocated to each distinct performance obligation on a relative stand-alone selling price, or SSP, basis, and revenue is recognized for each performance obligation when control has passed. In most cases, we are able to establish SSP based on the observable prices of services sold separately in comparable circumstances to similar customers and for products based on our best estimates of the price at which we would have sold the product regularly on a stand-alone basis. We reassess the SSP on a periodic basis or when facts and circumstances change.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account for training and installation as a separate performance obligation due to its immateriality in the context of our contracts.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revenues from training and installation are recognized upon the delivery of our systems.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periodically provide customer incentive programs in the form of product discounts, volume-based rebates and warrants, which are accounted for as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Inventories are measured at the lower of cost or net realizable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net realizable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December 31, 2019, we had $37.5 million of inventory, of which $21.4 million consisted of raw materials and components and $16.1 million consisted of completed systems, ink and other consumables. We recorded inventory write-offs in total amounts of $3.0 million, $1.8 million and $2.8 million for the years ended December 31, 2017, 2018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 - Stock Based Compensation,” or ASC 718, which requires us to measure the cost of options and RSUs based on the fair value of the award on the grant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RSU is the market value as determined by the closing share price at the date of the grant.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which requires the use of subjective assumptions, including the expected term of the award and the expected volatility of the price of our common stock. We recognize compensation expense over the vesting period using the straight-line method and classify these amounts in the consolidated financial statements based on the department to which the related employee reports. 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income taxes in Israel, United States Europe and Asia Pacific.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we believe the resulting tax balances as of December 31, 2017, 2018 and 2019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2019 we granted a six-months warranty on our systems and recorded a provision for warranty at the time at which a product’s revenue was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Marketable securities currently are comprised of debt securities. We determine the appropriate classification of marketable securities at the time of purchase and re-evaluate such designation at each balance sheet date. In accordance with FASB ASC No. 320, “Investment Debt and Equity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finance income, net. The amortized cost of marketable securities is adjusted for amortization of premium and accretion of discount to maturity, both of which, together with interest, are included in finance income, net. We classify our marketable securities as either short-term or long-term based on each instrument’s underlying contractual maturity date and our expectations as to sales and redemptions in the following year.</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an impairment charge when a decline in the fair value of our investments in debt securities below the cost basis of such securities is judged to be other-than-temporary. The determination of credit losses requires significant judgment and actual results may be materially different from our estimates. Factors considered in making such a determination include the duration and severity of the impairment, the reason for the decline in value, the ability of the issuer to meet payment obligations, the potential recovery period and our intent to sell, including whether it is more likely than not that we will be required to sell the investment before recovery of cost basis. For securities that are deemed other-than-temporarily impaired, the amount of impairment is recognized in the statement of operations and is limited to the amount related to credit losses, while impairment related to other factors is recognized in other comprehensive income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6"/>
          <w:szCs w:val="16"/>
          <w:color w:val="auto"/>
        </w:rPr>
        <w:t>During the years ended December 31, 2018 and 2019, no other-than temporary impairment were recorded related to our marketable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“Significant Accounting Policies” to the Consolidated Financial Statements included in Part III, Item 18 of this Annual Report on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Considerations and Government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brief summary of the material Israeli tax laws applicable to us, and certain Israeli Government programs that benefit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22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Israeli companies are generally subject to corporate tax on their taxable income. Since 2018, the corporate tax rate has been 23% (in 2017, the corporate tax rate was 24%). However, the effective tax rate payable by a company that derives income from an Approved Enterprise, a Benefited Enterprise, a Preferred Enterprise, a Special Preferred Enterprise, a Preferred Technology Enterprise or Special Preferred Technology Enterprise (as discussed below) may be considerably less. Capital gains derived by an Israeli company are subject to the prevailing corporate tax 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Industry (Taxes), 5729-1969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 The Israeli companies are an "Industrial Company" as defined by the Israeli Law for the Encouragement of Industry (Taxation), 1969.</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or in the “Area”, in accordance with the definition under section 3A of the Israeli Income Tax Ordinance (New Version) 1961, or the Ordinance, and owned by it. An “Industrial Enterprise” is defined as an enterprise whose principal activity in any given tax year is industrial production.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tax benefits, among others, are available to Industrial Companies: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deduction of the cost of purchased know-how, patents and rights to use a patent and know-how or certain other intangible property rights (other than goodwill) that were purchased in good faith and are used for the development or promotion of the Industrial Enterprise, over an eight-year period commencing on the year in which such rights were first exercised;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controlled by it;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 commencing in the year of the offering.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Eligibility for benefits under the Industry Encouragement Law is not subject to receipt of prior approval from any governmental authority.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6"/>
          <w:szCs w:val="16"/>
          <w:color w:val="auto"/>
        </w:rPr>
        <w:t>There can be no assurance that we will continue to qualify as an Industrial Company or that the benefits described above will be available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Capital Investments, 5719-1959</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discussion is a summary of the Investment Law following its most recent 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2005 Amendment applies to new investment programs and investment programs commencing after 2004, but does not apply to investment programs approved prior to April 1, 2005, referred to as Approved Enterprises.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 Authority for a pre-ruling confirming that it is in compliance with the provisions of the Investment Law, as amended.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Tax benefits are available under the 2005 Amendment to production facilities (or other eligible facilities) which are generally required to derive more than 25%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from the end of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73" w:lineRule="auto"/>
        <w:rPr>
          <w:sz w:val="20"/>
          <w:szCs w:val="20"/>
          <w:color w:val="auto"/>
        </w:rPr>
      </w:pPr>
      <w:r>
        <w:rPr>
          <w:rFonts w:ascii="Arial" w:cs="Arial" w:eastAsia="Arial" w:hAnsi="Arial"/>
          <w:sz w:val="17"/>
          <w:szCs w:val="17"/>
          <w:color w:val="auto"/>
        </w:rPr>
        <w:t>The extent of the tax benefits available under the 2005 Amendment to qualifying income of a Benefited Enterprise depends on, among other things, the geographic location within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within Israel, and a reduced corporate tax rate of between 10% to 25% for the remainder of the benefits period, depending on the level of foreign investment in the company in each year. The benefits period is limited to 12 or 14 years from the year the company first chose to have the tax benefits apply, depending on the location of the company within Israel.</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company qualifying for tax benefits under the 2005 Amendment which pays a dividend out of income derived by its Benefited Enterprise during the tax exemption period will be subject to deferred corporate tax in respect of the gross amount of the dividend distributed (grossed-up to reflect the pre-tax income that it would have had to earn in order to distribute the dividend) at the corporate tax rate which would have otherwise been applicable. Dividends paid out of income attributed to a Benefited Enterprise (or out of dividends received from a company whose income is attributed to a Benefited Enterprise) are generally subject to withholding tax at source at the rate of 15% or such lower rate as may be provided in an applicable tax treaty (subject to the receipt in advance of a valid certificate from the Israel Tax Authority allowing for a reduced tax rate).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Israel Tax Authority allowing for a reduced tax rate). In the case of a Foreign Investors’ Company (as such term is defined in the Investment Law), the 12-year limitation on reduced withholding tax on dividends does not apply.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have Benefited Enterprise programs under the Investment Law which, entitle us to a tax exemption for undistributed income and a reduced tax rate. The benefits period for our company began in 2010. Our company had enjoyed these tax benefits until 2019. We believe that we qualify as a Preferred Technology Enterprise under the 2017 Amendment (as described below), and we are considering whether apply for benefits under the 2017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under the 2011 Amendment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an industrial company that was incorporated in Israel, which is not wholly owned by a governmental entity, and which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was reduced to 12.5% and 7%, respectively, in 2013 and increased to 16% and 9%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benefits under the 2011 Amendment also include accelerated depreciation and amortization for tax purposes.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273" w:lineRule="auto"/>
        <w:rPr>
          <w:sz w:val="20"/>
          <w:szCs w:val="20"/>
          <w:color w:val="auto"/>
        </w:rPr>
      </w:pPr>
      <w:r>
        <w:rPr>
          <w:rFonts w:ascii="Arial" w:cs="Arial" w:eastAsia="Arial" w:hAnsi="Arial"/>
          <w:sz w:val="17"/>
          <w:szCs w:val="17"/>
          <w:color w:val="auto"/>
        </w:rPr>
        <w:t>As of January 1, 2014, dividends paid out of preferred income attributed to a Preferred Enterprise or to a Special Preferred Enterprise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subsequently distributed to individuals or a non-Israeli company, withholding of 20% or such lower rate as may be provided in an applicable tax treaty will apply). In 2017 through 2019 dividends paid out of preferred income attributed to a Special Preferred Enterprise directly to a foreign parent company are subject to withholding tax at source at the rate of 5% (temporary provisions).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Tax benefits under the 2017 Amendment that became effective on January 1, 2017.</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2017 Amendment was enacted as part of the Economic Efficiency Law that was published on December 29, 2016, and is effective as of January 1, 2017, The 2017 Amendment provides new tax benefits for two types of “Technology Enterprises”, as described below, and is in addition to the other existing tax beneficial programs under the Investment Law.</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Innovation Authority.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Innovation Authority.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Dividends distributed by a Preferred Technology Enterprise or a Special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 If such dividends are distributed to a foreign parent company holding, solely or together with another foreign company, at least 90% of the shares of the distributing company and other conditions are met, the withholding tax rate will be 4% (or a lower rate under a tax treaty, if applicable, subject to the receipt in advance of a valid certificate from the Israel Tax Authority allowing for a reduced tax rate).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48"/>
        <w:spacing w:after="0" w:line="277" w:lineRule="auto"/>
        <w:rPr>
          <w:sz w:val="20"/>
          <w:szCs w:val="20"/>
          <w:color w:val="auto"/>
        </w:rPr>
      </w:pPr>
      <w:r>
        <w:rPr>
          <w:rFonts w:ascii="Arial" w:cs="Arial" w:eastAsia="Arial" w:hAnsi="Arial"/>
          <w:sz w:val="18"/>
          <w:szCs w:val="18"/>
          <w:color w:val="auto"/>
        </w:rPr>
        <w:t>We believe that our Israeli subsidiary qualify as a Preferred Technology Enterprise, as it meets the relevant conditions, and therefore subject to a tax rate of 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Tax Considerations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22, 2017, the U.S. enacted the Tax Cuts and Jobs Act of 2017, which among other provisions, reduced the U.S. corporate tax rate from 35% to 21%, effective January 1, 2018.</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At December 31, 2017, we re-measured our U.S. deferred tax assets and liabilities, based on the new rates at which they are expected to reverse in the future. The tax expense recorded in 2017, related to the re-measurement of the deferred tax balance, was $355,000.</w:t>
      </w:r>
    </w:p>
    <w:p>
      <w:pPr>
        <w:spacing w:after="0" w:line="14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had approximately $40.7 million in cash and cash equivalents, $95.0 million in short term deposits and $128.0 million in marketable securities, which, in the aggregate, total $263.7 million. We fund our operations with cash generated from operating activities and cash raised via our equity financings, including our January 2017 and June 2019 follow-on offerings. In the past, we have also raised capital through the sale of equity securities to investors in private placements.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cash requirements have principally been for working capital, capital expenditures and acquisitions. Our working capital requirements reflect the growth in our business. Historically, we have funded our working capital requirements (primarily for inventory and accounts receivable) and capital expenditures from cash flows provided by our operating activities, investments in our equity securities and cash and cash equivalents on hand. We have funded our acquisitions from the proceeds of our April 2015 initial public offering and cash on hand. Our current capital expenditures relate primarily to our manufacturing facility for our ink and other consumables in Kiryat Gat, Israel. In addition to investments in this facility, our capital investments have included improvements and expansion of our worldwide locations and corporate facilities to support our growth and investment and improvements in our information technology.</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most significant elements of our working capital requirements are for inventory, accounts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months based on anticipated customer demand. Our accounts receivable increased in 2019 due to the increase in our revenues. Our trade payables increased in 2019 due to an increase in sales projected for 2020 compared to the projection for 2019.</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have two lines of credit with Israeli banks for total borrowings of up to $3 million, all of which was undrawn as of December 31, 2019. These lines of credit are unsecured and available subject to: (i) our maintenance of a 30% ratio of total tangible shareholders’ equity to total tangible assets; and (ii) the total credit use must be less than 70% of our and our subsidiaries’ receivables. Interest rates across these credit lines varied from 0.2% to 2.3% as of December 31, 2019.</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or our follow-on offerings. Our future capital requirements will depend on many factors, including our rate of revenue growth, the timing and extent of spending to support product development efforts, the expansion of our sales and marketing activities, the timing of introductions of new solutions and the continuing market acceptance of our solutions, as well as other business development efforts.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(in thousands)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5,990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33,368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(46,744)</w:t>
            </w: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16,682</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(179,497)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36,437</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2019 was $11.0 million.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operating activities consisted of net income of $10.2 million, as adjusted upwards in an amount of $16.0 million for non-cash line items, including stock-based compensation expenses, depreciation, amortization of intangible assets, fair value of warrants deducted from revenues, amortization of premium on marketable securities, realized loss on sale of marketable securities and foreign currency translation gain on inter-company balances with foreign subsidiaries and other adjustments not included hereunder in an amount of $1.6 million.</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2019, our accounts receivable increased by $18.6 million reflecting the increase in our revenues in 2019. DSO for the year ended December 31, 2019 increased to 82, compared to 56 for the year ended December 31, 2018.</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2019, our inventory increased by $7.4 million compared to the year ended December 31, 2018, out of which $4.2 was attributed to cash operating activities. This was primarily due to our new product introduction and the need to maintain higher level if inventory to support increased install base and future business activities.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experienced an increase of $6.0 million in trade payables in 2019 that mainly derived from an increase in the sales that we projected for 2020 compared to 2019, in line with the growth in our sales and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2018 was $33.4 million.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consisted of net income of $12.4 million, as adjusted upwards in an amount of $16.3 million for non-cash line items, including stock-based compensation expenses, depreciation, amortization of intangible assets, fair value of warrants deducted from revenues, amortization of premium on marketable securities, realized loss on sale of marketable securities and foreign currency translation gain on inter-company balances with foreign subsidiaries, and adjustments for cash line items of $4.7 million.</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2018, our trade receivables decreased by $1.1 million due to an improvement in collection during December 2018. DSO for the year ended December 31, 2018 was 56, compared to 74 for the year ended December 31,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2018, our inventory decreased by $4.0 million relative to the year ended December 31, 2017. This was primarily due to an improvement in our sales and operations planning process.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right="20" w:firstLine="648"/>
        <w:spacing w:after="0" w:line="277" w:lineRule="auto"/>
        <w:rPr>
          <w:sz w:val="20"/>
          <w:szCs w:val="20"/>
          <w:color w:val="auto"/>
        </w:rPr>
      </w:pPr>
      <w:r>
        <w:rPr>
          <w:rFonts w:ascii="Arial" w:cs="Arial" w:eastAsia="Arial" w:hAnsi="Arial"/>
          <w:sz w:val="18"/>
          <w:szCs w:val="18"/>
          <w:color w:val="auto"/>
        </w:rPr>
        <w:t>We also experienced an increase of $4.4 million in trade payables that mainly derived from an increase in the sales that we projected for 2019 compared to 2018, in line with the growth in our sales and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also had an increase in deferred taxes in 2018. For more information, please see “ITEM 5. Operating and Financial Review and Prospects— A. Operating Results— Comparison of Period to Period Results of Operations— Comparison of the Years Ended December 31, 2017 and 2018” in our Annual Report on Form 20-F for the year ended December 31, 2018, which we filed with the SEC on March 26,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w:t>
      </w:r>
    </w:p>
    <w:p>
      <w:pPr>
        <w:spacing w:after="0" w:line="225"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7"/>
          <w:szCs w:val="17"/>
          <w:color w:val="auto"/>
        </w:rPr>
        <w:t>For a discussion of our cash flows provided by operating activities in the year ended December 31, 2017, please see “ITEM 5. Operating and Financial Review and Prospects— B. Liquidity and Capital Resources— Net Cash Provided by (Used in) Operating Activities—Year Ended December 31, 2017” in our Annual Report on Form 20-F for the year ended December 31, 2018, which we filed with the SEC on March 26,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Net cash used in investing activities was $179.5 million for the year ended December 31, 2019, which was primarily attributable to our investment in marketable securities and bank deposits of $205.5 million, purchase of property, plant and equipment of $5.4 million and cash paid in connection with acquisition of $4.7 million, offset , in part, by $37.5 million of proceeds from the sale and maturity of marketable securities. Net cash provided by investing activities was $16.7 million for the year ended December 31, 2018, which was primarily attributable to $47.2 million of proceeds from the sale and maturity of marketable securities, offset, in part, by $23.2 million of cash used for investment in short term bank deposits and marketable securities and $7.3 million of cash used for purchase of property, plant and equipment. Net cash used in investing activities for the year ended December 31, 2017 was $46.7 million which was primarily attributable to our investment in marketable securities and short term bank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Net cash provided by financing activities was $135.1 million for the year ended December 31, 2019, which was primarily attributable to our follow-on offering in June 2019, in which we raised $129.7 million of net proceeds. Net cash provided by financing activities was $5.5 million for the year ended December 31, 2018, which was attributable to the exercise of share options, partially offset by $0.9 million of cash used for the payment of contingent consideration in connection with the acquisition of SPSI. Net cash provided by financing activities was $36.4 million for the year ended December 31, 2017, which was primarily attributable to our follow-on offering in January 2017, in which we raised $35.1 million of net proceeds.</w:t>
      </w:r>
    </w:p>
    <w:p>
      <w:pPr>
        <w:spacing w:after="0" w:line="17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 description of our research and development programs and the amounts that we have incurred over the last three years pursuant to those programs, please see “ITEM 5. Operating and Financial Review and Prospects— A. Operating Results— Components of Statement of Operations— Operating Expenses— Research and Development Expenses” and “ITEM 5. Operating and Financial Review and Prospects— A. Operating Results— Comparison of Period to Period Results of Operations.”</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results of operations and financial condition may be affected by various trends and factors discussed in “ITEM 3.D Risk Factors,” including “If the market for digital textile printing does not develop as we anticipate, our sales may not grow as quickly as expected and our share price could decline,” and in “ITEM 4.B Business Overview—Industry Overview.” Additional trends that could potentially impact our results of operations and financial condition include changes in political, military or economic conditions in Israel and in the Middle East, general slowing of local or global economies and decreased economic activity in one or more of our target markets.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Off-Balance Sheet Arrangements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purposes entities and other structured finance entities.</w:t>
      </w:r>
    </w:p>
    <w:p>
      <w:pPr>
        <w:spacing w:after="0" w:line="16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contractual obligations as of December 31, 2019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89"/>
              </w:rPr>
              <w:t>Payments Due by Period</w:t>
            </w: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41"/>
        </w:trPr>
        <w:tc>
          <w:tcPr>
            <w:tcW w:w="3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thereafter</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8"/>
                <w:szCs w:val="28"/>
                <w:color w:val="auto"/>
                <w:vertAlign w:val="superscript"/>
              </w:rPr>
              <w:t>(1)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26,316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56"/>
        </w:trPr>
        <w:tc>
          <w:tcPr>
            <w:tcW w:w="3280" w:type="dxa"/>
            <w:vAlign w:val="bottom"/>
          </w:tcPr>
          <w:p>
            <w:pPr>
              <w:spacing w:after="0" w:line="256" w:lineRule="exact"/>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3,039</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26,367</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80" w:type="dxa"/>
            <w:vAlign w:val="bottom"/>
          </w:tcPr>
          <w:p>
            <w:pPr>
              <w:spacing w:after="0" w:line="270" w:lineRule="exact"/>
              <w:rPr>
                <w:sz w:val="20"/>
                <w:szCs w:val="20"/>
                <w:color w:val="auto"/>
              </w:rPr>
            </w:pPr>
            <w:r>
              <w:rPr>
                <w:rFonts w:ascii="Arial" w:cs="Arial" w:eastAsia="Arial" w:hAnsi="Arial"/>
                <w:sz w:val="18"/>
                <w:szCs w:val="18"/>
                <w:color w:val="auto"/>
              </w:rPr>
              <w:t xml:space="preserve">Severance payment </w:t>
            </w:r>
            <w:r>
              <w:rPr>
                <w:rFonts w:ascii="Arial" w:cs="Arial" w:eastAsia="Arial" w:hAnsi="Arial"/>
                <w:sz w:val="29"/>
                <w:szCs w:val="29"/>
                <w:color w:val="auto"/>
                <w:vertAlign w:val="superscript"/>
              </w:rPr>
              <w:t>(4)</w:t>
            </w:r>
          </w:p>
        </w:tc>
        <w:tc>
          <w:tcPr>
            <w:tcW w:w="22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1,035</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56,757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lease obligations consist of our contractual rental expenses under operating leases of facilities and vehicles.</w:t>
      </w:r>
    </w:p>
    <w:p>
      <w:pPr>
        <w:spacing w:after="0" w:line="225"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Consists of accruals for certain income tax positions under ASC 740 that are paid upon settlement, and for which we are unable to reasonably estimate the ultimate amount and timing of settlement. See Note 13(i) to our consolidated financial statements included in ITEM 18 of this annual report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all open purchase order, or PO, commitments through the end of 2021.</w:t>
      </w:r>
    </w:p>
    <w:p>
      <w:pPr>
        <w:spacing w:after="0" w:line="225"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Severance payments obligation of $1.0 million are payable only upon termination, retirement or death of our employees. Of this amount, $0.7 million is unfunded as of December 31, 2019. Since we are unable to reasonably estimate the timing of settlement, the timing of such payments is not specified in the table. See also Note 2(x) to our consolidated financial statements appearing in “ITEM 18. Financial Statements” of this annual report.</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Directors, Senior Management and Employees.</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5040" w:type="dxa"/>
            <w:vAlign w:val="bottom"/>
          </w:tcPr>
          <w:p>
            <w:pPr>
              <w:ind w:left="220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Executive Officers</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Guy Avidan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Gilad Yron*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of Global Business</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Jecka Glasman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Omer Kulka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Chief Marketing Officer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Kobi Mann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(who are not also executive officers)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Yuval Cohen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Ben-Zur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5200" w:type="dxa"/>
            <w:vAlign w:val="bottom"/>
            <w:gridSpan w:val="2"/>
          </w:tcPr>
          <w:p>
            <w:pPr>
              <w:spacing w:after="0" w:line="256" w:lineRule="exact"/>
              <w:rPr>
                <w:sz w:val="20"/>
                <w:szCs w:val="20"/>
                <w:color w:val="auto"/>
              </w:rPr>
            </w:pPr>
            <w:r>
              <w:rPr>
                <w:rFonts w:ascii="Arial" w:cs="Arial" w:eastAsia="Arial" w:hAnsi="Arial"/>
                <w:sz w:val="18"/>
                <w:szCs w:val="18"/>
                <w:color w:val="auto"/>
              </w:rPr>
              <w:t>Lauri Hanover</w:t>
            </w:r>
            <w:r>
              <w:rPr>
                <w:rFonts w:ascii="Arial" w:cs="Arial" w:eastAsia="Arial" w:hAnsi="Arial"/>
                <w:sz w:val="29"/>
                <w:szCs w:val="29"/>
                <w:color w:val="auto"/>
                <w:vertAlign w:val="superscript"/>
              </w:rPr>
              <w:t>(1)(2)(3)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56"/>
        </w:trPr>
        <w:tc>
          <w:tcPr>
            <w:tcW w:w="5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Alon Lumbroso</w:t>
            </w:r>
            <w:r>
              <w:rPr>
                <w:rFonts w:ascii="Arial" w:cs="Arial" w:eastAsia="Arial" w:hAnsi="Arial"/>
                <w:sz w:val="29"/>
                <w:szCs w:val="29"/>
                <w:color w:val="auto"/>
                <w:vertAlign w:val="superscript"/>
              </w:rPr>
              <w:t>(3)</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CEEFF"/>
          </w:tcPr>
          <w:p>
            <w:pPr>
              <w:spacing w:after="0"/>
              <w:rPr>
                <w:sz w:val="22"/>
                <w:szCs w:val="2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5200" w:type="dxa"/>
            <w:vAlign w:val="bottom"/>
            <w:gridSpan w:val="2"/>
          </w:tcPr>
          <w:p>
            <w:pPr>
              <w:spacing w:after="0" w:line="256" w:lineRule="exact"/>
              <w:rPr>
                <w:sz w:val="20"/>
                <w:szCs w:val="20"/>
                <w:color w:val="auto"/>
              </w:rPr>
            </w:pPr>
            <w:r>
              <w:rPr>
                <w:rFonts w:ascii="Arial" w:cs="Arial" w:eastAsia="Arial" w:hAnsi="Arial"/>
                <w:sz w:val="18"/>
                <w:szCs w:val="18"/>
                <w:color w:val="auto"/>
              </w:rPr>
              <w:t>Stephen Nigro</w:t>
            </w:r>
            <w:r>
              <w:rPr>
                <w:rFonts w:ascii="Arial" w:cs="Arial" w:eastAsia="Arial" w:hAnsi="Arial"/>
                <w:sz w:val="29"/>
                <w:szCs w:val="29"/>
                <w:color w:val="auto"/>
                <w:vertAlign w:val="superscript"/>
              </w:rPr>
              <w:t>(3)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56"/>
        </w:trPr>
        <w:tc>
          <w:tcPr>
            <w:tcW w:w="5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Yehoshua (Shuki) Nir </w:t>
            </w:r>
            <w:r>
              <w:rPr>
                <w:rFonts w:ascii="Arial" w:cs="Arial" w:eastAsia="Arial" w:hAnsi="Arial"/>
                <w:sz w:val="29"/>
                <w:szCs w:val="29"/>
                <w:color w:val="auto"/>
                <w:vertAlign w:val="superscript"/>
              </w:rPr>
              <w:t>(1)(2)(3)</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22"/>
                <w:szCs w:val="2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520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Dov Ofer</w:t>
            </w:r>
            <w:r>
              <w:rPr>
                <w:rFonts w:ascii="Arial" w:cs="Arial" w:eastAsia="Arial" w:hAnsi="Arial"/>
                <w:sz w:val="13"/>
                <w:szCs w:val="13"/>
                <w:color w:val="auto"/>
              </w:rPr>
              <w:t>(1)(2)(3)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firstLine="8"/>
        <w:spacing w:after="0" w:line="277" w:lineRule="auto"/>
        <w:tabs>
          <w:tab w:leader="none" w:pos="13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Mr. Yron will serve as SVP Global Business until March 31, 2020. Beginning on April 1, 2020, he will assist in connection with specific projects, until the end of his employment on August 31, 2020.</w:t>
      </w:r>
    </w:p>
    <w:p>
      <w:pPr>
        <w:spacing w:after="0" w:line="17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 under the NASDAQ Stock Market rules.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7"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Ronen Samuel </w:t>
      </w:r>
      <w:r>
        <w:rPr>
          <w:rFonts w:ascii="Arial" w:cs="Arial" w:eastAsia="Arial" w:hAnsi="Arial"/>
          <w:sz w:val="18"/>
          <w:szCs w:val="18"/>
          <w:color w:val="auto"/>
        </w:rPr>
        <w:t>has served as our Chief Executive Officer since August 2018 and as a director since August 2019. Prior to joining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Mr. Samuel served in various 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Guy Avidan </w:t>
      </w:r>
      <w:r>
        <w:rPr>
          <w:rFonts w:ascii="Arial" w:cs="Arial" w:eastAsia="Arial" w:hAnsi="Arial"/>
          <w:sz w:val="17"/>
          <w:szCs w:val="17"/>
          <w:color w:val="auto"/>
        </w:rPr>
        <w:t>has served as our Chief Financial Officer since September 2014. From July 2010 until November 2014, Mr. Avidan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Finance and Chief Financial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Gilad Yron </w:t>
      </w:r>
      <w:r>
        <w:rPr>
          <w:rFonts w:ascii="Arial" w:cs="Arial" w:eastAsia="Arial" w:hAnsi="Arial"/>
          <w:sz w:val="18"/>
          <w:szCs w:val="18"/>
          <w:color w:val="auto"/>
        </w:rPr>
        <w:t>has served as our Executive Vice President of Global Business since May 2016 and will continue till March 31st, 2020. From April</w:t>
      </w:r>
      <w:r>
        <w:rPr>
          <w:rFonts w:ascii="Arial" w:cs="Arial" w:eastAsia="Arial" w:hAnsi="Arial"/>
          <w:sz w:val="18"/>
          <w:szCs w:val="18"/>
          <w:i w:val="1"/>
          <w:iCs w:val="1"/>
          <w:color w:val="auto"/>
        </w:rPr>
        <w:t xml:space="preserve"> </w:t>
      </w:r>
      <w:r>
        <w:rPr>
          <w:rFonts w:ascii="Arial" w:cs="Arial" w:eastAsia="Arial" w:hAnsi="Arial"/>
          <w:sz w:val="18"/>
          <w:szCs w:val="18"/>
          <w:color w:val="auto"/>
        </w:rPr>
        <w:t>1st, 2020 he will assist in connection with specific projects until the end of his employment on August 31, 2020. From February 2015 until April 2016, Mr. Yron served as Senior Vice President of Products at Stratasys, Ltd. (NASDAQ: SSYS). His previous positions with Stratasys included VP Business Development and strategic alliances and Managing Director of Asia Pacific and Japan operating out of Hong Kong. From 2006 until 2010, Mr. Yron served in various positions for Nur Macroprinters, which later became part of HP, including Business Manager for the Asia-Pacific region and Service Director. Mr. Yron holds a Bs.C. in Physics from Tel Aviv University in Israel.</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Jecka Glasman </w:t>
      </w:r>
      <w:r>
        <w:rPr>
          <w:rFonts w:ascii="Arial" w:cs="Arial" w:eastAsia="Arial" w:hAnsi="Arial"/>
          <w:sz w:val="18"/>
          <w:szCs w:val="18"/>
          <w:color w:val="auto"/>
        </w:rPr>
        <w:t>has served as our Chief Commercial Officer since November 2019. Prior to joining our company, Ms. Glasman served as the US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for SodaStream (NASDAQ: SODA) since December 2017. Prior to joining SodaStream, for 3 years since November 2014, Jecka was the President and CEO of Mitsubishi Fuso Trucks of America, A Daimler Trucks subsidiary of Daimler AG (ETR: DAI). Jecka began her career as an Officer in the Israel Defense Forces, followed by a decade in the Israeli Prime Minister’s Office. She then joined Comverse Technology, a world leader in the telecom industry (NASDAQ: CMVT) where she spent over 10 years progressing from a Project Manager to various sales and operations leadership positions covering Central Europe and EMEA. Her last position at Comverse was Senior VP, Global Services Business Unit. Jecka holds an Executive MBA from Tel Aviv University, a BA in Computer Science and a BA in Economics and Business Administration from the Tel Aviv Jaffa Academic College, Israel.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Omer Kulka </w:t>
      </w:r>
      <w:r>
        <w:rPr>
          <w:rFonts w:ascii="Arial" w:cs="Arial" w:eastAsia="Arial" w:hAnsi="Arial"/>
          <w:sz w:val="17"/>
          <w:szCs w:val="17"/>
          <w:color w:val="auto"/>
        </w:rPr>
        <w:t>has served as our Chief Marketing Officer since July 2017. Omer joined Kornit in 2011 with years of extensive experience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industry, holding positions spanning R&amp;D to Marketing and Business Management. Since joining Kornit he has held several managerial positions at the company including Director of the Wide-Format Division and Director of Product Marketing. Omer holds a BSc in Computer Science, a BA in Philosophy and an MA in History and Philosophy of Sciences and Ideas from Tel Aviv University.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Kobi Mann </w:t>
      </w:r>
      <w:r>
        <w:rPr>
          <w:rFonts w:ascii="Arial" w:cs="Arial" w:eastAsia="Arial" w:hAnsi="Arial"/>
          <w:sz w:val="18"/>
          <w:szCs w:val="18"/>
          <w:color w:val="auto"/>
        </w:rPr>
        <w:t>has served as our Chief Technology Officer since January 2020, prior to that he has held the position of VP Consumables &amp;</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development since September 2017. Kobi Mann joined Kornit in 2004 as an R&amp;D Chemist and has held core technology roles. As one of Kornit’s founders he brings over 15 years of experience in the field of Inkjet Technology. Kobi has played a critical role in the design and the execution of core projects and processes in the company. During his tenure at Kornit, he has managed and led R&amp;D Chemistry, technology groups, transfer to production, Print heads and QA as well as lead Kornit’s Ink plant design. Prior to his executive, Kobi has held several managerial positions including Business Development of Consumables and Director of Global Application, an arena he established in Kornit. Kobi holds a B.Sc. Chemistry and Executive MBA – both from Bar Ilan University in Israel.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Yuval Cohen </w:t>
      </w:r>
      <w:r>
        <w:rPr>
          <w:rFonts w:ascii="Arial" w:cs="Arial" w:eastAsia="Arial" w:hAnsi="Arial"/>
          <w:sz w:val="16"/>
          <w:szCs w:val="16"/>
          <w:color w:val="auto"/>
        </w:rPr>
        <w:t>has served as the Chairman of our board of directors since August 2011. Mr. Cohen is the founding and managing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Fortissimo 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Ofer Ben-Zur </w:t>
      </w:r>
      <w:r>
        <w:rPr>
          <w:rFonts w:ascii="Arial" w:cs="Arial" w:eastAsia="Arial" w:hAnsi="Arial"/>
          <w:sz w:val="17"/>
          <w:szCs w:val="17"/>
          <w:color w:val="auto"/>
        </w:rPr>
        <w:t>is a co-founder of our company and has served as director since 2002. From April 2014 to July 2016, Mr. Ben-Zur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in Israel, an M.Sc. in Mechanical Engineering from Tel Aviv University in Israel, and an M.B.A. from Bradford University in England.</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Lauri Hanover </w:t>
      </w:r>
      <w:r>
        <w:rPr>
          <w:rFonts w:ascii="Arial" w:cs="Arial" w:eastAsia="Arial" w:hAnsi="Arial"/>
          <w:sz w:val="16"/>
          <w:szCs w:val="16"/>
          <w:color w:val="auto"/>
        </w:rPr>
        <w:t>has served as a member of our board of directors since March 2015 (until August 2019, as an external director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and serves as the chairperson of our audit committee and a member of our compensation committee. Ms. Hanover has served as the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Ms. Hanover holds a B.A. from the University of Pennsylvania, a B.S. in Economics from The Wharton School of the University of Pennsylvania, as well as an M.B.A. from New York University.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Alon Lumbroso </w:t>
      </w:r>
      <w:r>
        <w:rPr>
          <w:rFonts w:ascii="Arial" w:cs="Arial" w:eastAsia="Arial" w:hAnsi="Arial"/>
          <w:sz w:val="18"/>
          <w:szCs w:val="18"/>
          <w:color w:val="auto"/>
        </w:rPr>
        <w:t>has served as a member of our Board since March 2015. Since June 2019, Mr. Lumbroso serves as the CEO of Cardo Systems Ltd.</w:t>
      </w:r>
      <w:r>
        <w:rPr>
          <w:rFonts w:ascii="Arial" w:cs="Arial" w:eastAsia="Arial" w:hAnsi="Arial"/>
          <w:sz w:val="18"/>
          <w:szCs w:val="18"/>
          <w:i w:val="1"/>
          <w:iCs w:val="1"/>
          <w:color w:val="auto"/>
        </w:rPr>
        <w:t xml:space="preserve"> </w:t>
      </w:r>
      <w:r>
        <w:rPr>
          <w:rFonts w:ascii="Arial" w:cs="Arial" w:eastAsia="Arial" w:hAnsi="Arial"/>
          <w:sz w:val="18"/>
          <w:szCs w:val="18"/>
          <w:color w:val="auto"/>
        </w:rPr>
        <w:t>the world’s leading communication devices for the motorcycle industry. Since June 2015 until August 2017, Mr. Lumbroso has been the chief executive of Dip-Tech Ltd. and from August 2017 until November 2018 served as Managing Director of Dip-Tech that become a subsidiary of Ferro (NYSE: FOE) a leading global functional coatings and color solutions.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Stephen Nigro </w:t>
      </w:r>
      <w:r>
        <w:rPr>
          <w:rFonts w:ascii="Arial" w:cs="Arial" w:eastAsia="Arial" w:hAnsi="Arial"/>
          <w:sz w:val="17"/>
          <w:szCs w:val="17"/>
          <w:color w:val="auto"/>
        </w:rPr>
        <w:t>has served as a director of our company since August 2019, after having served as a strategic advisor to our company from April</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Mr. Nigro currently serves on the steering committee for the Oregon Business Council and is a Board member of iUrbanTeen,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Yehoshua (Shuki) Nir </w:t>
      </w:r>
      <w:r>
        <w:rPr>
          <w:rFonts w:ascii="Arial" w:cs="Arial" w:eastAsia="Arial" w:hAnsi="Arial"/>
          <w:sz w:val="17"/>
          <w:szCs w:val="17"/>
          <w:color w:val="auto"/>
        </w:rPr>
        <w:t>has served as a director of our company since July 2018 (until August 2019, as an external director under the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Law), and serves as the chairman of our compensation committee and a member of our audit committee. Since March 2017, Mr. Nir has served a director at EarlySense Ltd., a company that provides contact-free, continuous monitoring solutions for the medical and consumer digital health markets.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is a member of the board of directors of EarlySense Ltd., a company that provides contact-free, continuous monitoring solutions for the medical and consumer digital health markets. Mr. Nir has a B.A. in Law and Accounting and an M.B.A. from Tel Aviv University.</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Dov Ofer </w:t>
      </w:r>
      <w:r>
        <w:rPr>
          <w:rFonts w:ascii="Arial" w:cs="Arial" w:eastAsia="Arial" w:hAnsi="Arial"/>
          <w:sz w:val="18"/>
          <w:szCs w:val="18"/>
          <w:color w:val="auto"/>
        </w:rPr>
        <w:t>has served as a member of our board of directors since March 2015 and is a member of our audit and compensation committees.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Currently, Mr. Ofer serves as chairman of Magen Eco-Energy RCA Ltd., vice chairman of Scodix Ltd. and director of Copprint and Stratasys Ltd. (Nasdaq: SSYS). He holds a B.A. in Economics from the Hebrew University in Israel as well as an M.B.A. from the University of California Berkeley in California.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He also served as our Chief Executive Officer from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2014 through July 2018. 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Mr. Seligsohn also serves as a Director on the Board of privately owned PubPlus, a company specializing in AI and machine learning for the purpose of collecting and attributing data points to scale profitable content across native and social channels. In 2010, he was voted Chief Executive Officer of the year by the Israeli Institute of Management for hi-tech industries in the large company category. He holds an LL.B. from the University of Reading in Reading, England.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Concerning Election of Directors; Family Relationships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consists of nine directors. We are not a party to, and are not aware of, any voting agreements among our shareholders. In addition, there are no family relationships among our executive officers or senior management members.</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aggregate compensation paid and equity-based compensation and other compensation expensed by us and our subsidiaries for our directors and executive officers with respect to the year ended December 31, 2019 was $4.8 million. The foregoing sum includes approximately $0.4 million set aside or accrued to provide pension, severance, retirement or similar benefits or expenses. The directors used in calculating that sum include our former directors Messrs. Eli Blatt and Marc Lesnick, who served from the start of 2018 through our annual shareholder meeting in August 2019, and our current director Mr. Stephen Nigro, who served from the date of his election at that August 2019 shareholder meeting through the end of 2019. As of December 31, 2019, options to purchase 249,001 ordinary shares and 134,483 restricted share units, or RSUs, granted to our directors and executive officers were outstanding under our share incentive plans, with a weighted average exercise price of $19.8 per share for the options. Certain of our officers and directors receive a severance payment of up to four months’ of their base salary upon termination of their employment.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grant dates, number of options and RSUs, and related exercise prices and expiration dates of options and RSUs granted to our directors and executive officers for the year ended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4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2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 Options</w:t>
            </w:r>
          </w:p>
        </w:tc>
        <w:tc>
          <w:tcPr>
            <w:tcW w:w="2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 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 of Options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8"/>
              </w:rPr>
              <w:t>of Options</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08,2019</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August 01, 2019</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13,167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08, 2019</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August 22, 2019</w:t>
            </w: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100,000</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23,446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rPr>
              <w:t>28.15</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August 22, 2029</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2019</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Our directors are entitled to cash compensation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our non-employee directors receive annual fees and per-meeting fees for their service on our board and its committees as follows:</w:t>
      </w:r>
    </w:p>
    <w:p>
      <w:pPr>
        <w:spacing w:after="0" w:line="23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fees in an amount of $35,000, and $41,000 for the chairman;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per-meeting fees in an amount of $1,000, or $500 for participation in meetings via phone.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commencing with our 2018 annual general meeting of shareholders, we provide for annual RSU grants to our non-employee directors. The number of RSUs granted to each director is linked to a fixed value— $100,000, in the case of the Chairman of the Board, and $80,000, in the case of all other non-employee directors. The actual number of RSUs to be granted each year with the foregoing $100,000 and $80,000 values is determined based on the closing price of our ordinary shares on the NASDAQ Global Select Market on the date of our annual shareholder meeting. Our RSU grant agreements for non-employee directors are subject to the following additional terms:</w:t>
      </w:r>
    </w:p>
    <w:p>
      <w:pPr>
        <w:spacing w:after="0" w:line="188" w:lineRule="exact"/>
        <w:rPr>
          <w:sz w:val="20"/>
          <w:szCs w:val="20"/>
          <w:color w:val="auto"/>
        </w:rPr>
      </w:pPr>
    </w:p>
    <w:p>
      <w:pPr>
        <w:ind w:left="980" w:right="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RSUs are granted to each non-employee director as of the date of the annual shareholder meeting and on the date of each annual general meeting thereafter;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RSUs vest in their entirety on the first anniversary of the grant, provided the director continues to serve as a director of our company at such anniversary;</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RSUs, to the extent then unvested, become fully vested (a) immediately prior to the consummation of a Change of Control (as defined under our 2015 Plan (described below)) in which the director is required to resign from or is otherwise terminated from the service as a director, or (b) upon termination of service of such director occurring immediately after the consummation of a Change of Control; and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RSUs are otherwise subject to the terms of the 2015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outlines the compensation granted to our five most highly compensated office holders during or with respect to the year ended December 31, 2019, in the disclosure format of Regulation 21 of the Israeli Securities Regulations (Periodic and Immediate Reports), 1970. We refer to the five individuals for whom disclosure is provided herein as our “Covered Executives.”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table and the summary below, and in accordance with the above-mentioned securities regulations, “compensation” includes base salary, variable compensation, equity-based compensation, retirement or termination payments, benefits and perquisites such as car, phone and social benefits and any undertaking to provide such compensation.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Summary Compensation Table</w:t>
            </w:r>
          </w:p>
        </w:tc>
        <w:tc>
          <w:tcPr>
            <w:tcW w:w="1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Information Regarding the Covered Executive</w:t>
            </w:r>
            <w:r>
              <w:rPr>
                <w:rFonts w:ascii="Arial" w:cs="Arial" w:eastAsia="Arial" w:hAnsi="Arial"/>
                <w:sz w:val="29"/>
                <w:szCs w:val="29"/>
                <w:b w:val="1"/>
                <w:bCs w:val="1"/>
                <w:color w:val="auto"/>
                <w:vertAlign w:val="superscript"/>
              </w:rPr>
              <w:t>(1)</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Benefits and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Variable</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Equity-Based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Principal Position</w:t>
            </w:r>
            <w:r>
              <w:rPr>
                <w:rFonts w:ascii="Arial" w:cs="Arial" w:eastAsia="Arial" w:hAnsi="Arial"/>
                <w:sz w:val="29"/>
                <w:szCs w:val="29"/>
                <w:b w:val="1"/>
                <w:bCs w:val="1"/>
                <w:color w:val="auto"/>
                <w:vertAlign w:val="superscript"/>
              </w:rPr>
              <w:t>(2)</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Base Salary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Perquisites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Compensation</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4620" w:type="dxa"/>
            <w:vAlign w:val="bottom"/>
            <w:gridSpan w:val="2"/>
            <w:vMerge w:val="continue"/>
          </w:tcPr>
          <w:p>
            <w:pPr>
              <w:spacing w:after="0"/>
              <w:rPr>
                <w:sz w:val="24"/>
                <w:szCs w:val="24"/>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(3)</w:t>
            </w:r>
          </w:p>
        </w:tc>
        <w:tc>
          <w:tcPr>
            <w:tcW w:w="134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(4)</w:t>
            </w:r>
          </w:p>
        </w:tc>
        <w:tc>
          <w:tcPr>
            <w:tcW w:w="1500" w:type="dxa"/>
            <w:vAlign w:val="bottom"/>
          </w:tcPr>
          <w:p>
            <w:pPr>
              <w:jc w:val="right"/>
              <w:ind w:right="570"/>
              <w:spacing w:after="0" w:line="270"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(5)</w:t>
            </w: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(in thousands, US dollars)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 Chief Executive Officer</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564</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Guy Avidan, Chief Financial Officer</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390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330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Gilad Yron, EVP Global Business</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414</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Haggai Abbo, VP Product Development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303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234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Amir Shaked, VP Corporate Development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330</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All amounts reported in the table are in terms of cost to us, as recorded in our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current executive officers listed in the table are our full-time employees. Cash compensation amounts denominated in currencies other than the U.S. dollar were converted into U.S. dollars at the average conversion rate for 2019.</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Amounts reported in this column refer to incentive and variable compensation payments which were paid or accrued with respect to 2019.</w:t>
      </w:r>
    </w:p>
    <w:p>
      <w:pPr>
        <w:spacing w:after="0" w:line="23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reported in this column represent the expense recorded in our financial statements for the year ended December 31, 2019 with respect to equity-based compensation. Assumptions and key variables used in the calculation of such amounts are described in paragraph (s) of Note 2 to our audited financial statements, which are included in “ITEM 18. Financial Statements” of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2004 our board of directors adopted, and our shareholders approved our 2004 Share Option Plan, or the 2004 Plan. The 2004 Plan was amended on June 15, 2005. We no longer grant options under the 2004 Plan because it was superseded by the 2012 Plan, although previously granted awards remain outstanding. As of December 31, 2019, we had options to purchase 1,310 ordinary shares outstanding under the 2004 Plan.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contribute to our future growth and success.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2004 Plan is administered by our board of directors or by a compensation committee appointed by the board of directors, which determines, subject to Israeli law, the grantees of awards and the terms of the grant, including, exercise 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under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vesting schedule of options granted under the 2004 Plan is set forth in each grantee’s grant letter.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72" w:lineRule="auto"/>
        <w:rPr>
          <w:sz w:val="20"/>
          <w:szCs w:val="20"/>
          <w:color w:val="auto"/>
        </w:rPr>
      </w:pPr>
      <w:r>
        <w:rPr>
          <w:rFonts w:ascii="Arial" w:cs="Arial" w:eastAsia="Arial" w:hAnsi="Arial"/>
          <w:sz w:val="17"/>
          <w:szCs w:val="17"/>
          <w:color w:val="auto"/>
        </w:rPr>
        <w:t>Options currently outstanding under the 2004 Plan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year from the date of disability, retirement or death, or (ii) the term of the options.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(a) 90 days after the date of termination, or (b) the term of the options.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Options may not be sold, assigned, pledged or otherwise disposed of by the participant who holds such options, except by will or the laws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descent.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October 2012, our board of directors adopted and our shareholders approved our 2012 Share Incentive Plan, or the 2012 Plan</w:t>
      </w:r>
      <w:r>
        <w:rPr>
          <w:rFonts w:ascii="Arial" w:cs="Arial" w:eastAsia="Arial" w:hAnsi="Arial"/>
          <w:sz w:val="18"/>
          <w:szCs w:val="18"/>
          <w:i w:val="1"/>
          <w:iCs w:val="1"/>
          <w:color w:val="auto"/>
        </w:rPr>
        <w:t>.</w:t>
      </w:r>
      <w:r>
        <w:rPr>
          <w:rFonts w:ascii="Arial" w:cs="Arial" w:eastAsia="Arial" w:hAnsi="Arial"/>
          <w:sz w:val="18"/>
          <w:szCs w:val="18"/>
          <w:color w:val="auto"/>
        </w:rPr>
        <w:t xml:space="preserve"> The 2012 Plan replaced our 2004 Plan. We no longer grant options under the 2012 Plan because it was superseded by the 2015 Plan, although awards that were previously granted under the 2012 Plan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2019, we had options to purchase 101,931 ordinary shares outstanding under the 2012 Plan.</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 of the Ordinance. Our Israeli non-employee service providers and controlling shareholders may only be granted options under Section 3(i) of the Ordinance, which does not provide for similar tax benefits.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88" w:lineRule="auto"/>
        <w:rPr>
          <w:sz w:val="20"/>
          <w:szCs w:val="20"/>
          <w:color w:val="auto"/>
        </w:rPr>
      </w:pPr>
      <w:r>
        <w:rPr>
          <w:rFonts w:ascii="Arial" w:cs="Arial" w:eastAsia="Arial" w:hAnsi="Arial"/>
          <w:sz w:val="16"/>
          <w:szCs w:val="16"/>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Incentive Compensation Plan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least of: (x) 3% of the total number of shares outstanding on December 31 of the immediately preceding calendar year, (y) an amount determined by our board of directors, and (z) 1,965,930 shares. From and after the effective date of the 2015 Plan, no further grants or awards have been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2019, we had options to purchase 969,536 ordinary shares and 677,593 unvested RSUs outstanding under the 2015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After adding the increase to the 2015 Plan that was effective on January 1, 2020, we had 3,269,482 ordinary shares reserved for additional grants.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applicable law, the 2015 Plan is administered by our compensation committee, which has full authority in all matters related to the discharge of its responsibilities and the exercise of its authority under the plan. Awards under the 2015 Plan may be granted until 10 years after the effective date of the 2015 Plan.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of options granted under the 2015 Plan, including the exercise price, vesting provisions and the duration of an option, are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54" w:lineRule="auto"/>
        <w:rPr>
          <w:sz w:val="20"/>
          <w:szCs w:val="20"/>
          <w:color w:val="auto"/>
        </w:rPr>
      </w:pPr>
      <w:r>
        <w:rPr>
          <w:rFonts w:ascii="Arial" w:cs="Arial" w:eastAsia="Arial" w:hAnsi="Arial"/>
          <w:sz w:val="18"/>
          <w:szCs w:val="18"/>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an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RSUs are awards covering a number of hypothetical units with respect to shares that are granted subject to such vesting and transfer restrictions and conditions of payment as the compensation committee may determine in an award agreement. RSUs, once vested, may be settled for the grantee in cash, ordinary shares of equivalent value, or a combination thereof.</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 (i) 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Israeli Sub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2015 Israeli Sub Plan provides for the grant by us of awards pursuant to Sections 102 and 3(i) of the Ordinance, and the rules and regulations promulgated thereunder. The 2015 Israeli Sub Plan is effective with respect to awards granted as of 30 days from the date we submitted it to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2015 U.S. Sub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2015 U.S. Sub Plan applies to grantees that are subject to U.S. federal income tax. The 2015 U.S. Sub Plan provides that options granted to the U.S. grantees will either be incentive stock options pursuant to Section 422 of the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Code and provided that shares delivered pursuant to “substitute awards” shall reduce the shares available for issuance of incentive stock options under the 2015 Plan. It is the intention that no award shall be deferred compensation subject to Section 409A of the Code unless and to the extent that the compensation committee specifically determines otherwise. If the compensation committee determines an award will be subject to Section 409A of the Code such awards shall be intended to comply in all respects with Section 409A of the Code, and the 2015 Plan and the terms and conditions of such awards shall be interpreted and administered accordingly.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an employee stock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was 242,425 ordinary shares, which was to be automatically increased annually on January 1 by a number of ordinary shares equal to the least of (i) 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ESPP is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the company’s ordinary shares determined by dividing (1) the employee’s payroll deductions accumulated prior to such exercise date and retained in the employee’s account as of the exercise date by (2) the applicable purchase price. The applicable purchase price is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17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our articles, our board of directors must consist of at least five and not more than nine directors, including, to the extent applicable, at least two external directors who may be required to be appointed under the Companies Law. Our board of directors currently consists of nine directors. Our directors are divided into three classes with staggered three-year terms. Each class of directors consists, as nearly as possible, of one-third of the total number of directors constituting the entire board of directors (other than the external directors, to the extent applicable).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Companies Law and our articles.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69" w:lineRule="auto"/>
        <w:rPr>
          <w:sz w:val="20"/>
          <w:szCs w:val="20"/>
          <w:color w:val="auto"/>
        </w:rPr>
      </w:pPr>
      <w:r>
        <w:rPr>
          <w:rFonts w:ascii="Arial" w:cs="Arial" w:eastAsia="Arial" w:hAnsi="Arial"/>
          <w:sz w:val="17"/>
          <w:szCs w:val="17"/>
          <w:color w:val="auto"/>
        </w:rPr>
        <w:t>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in this context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and (b) the audit and compensation committees of our board of directors (which require that such committees consist solely of independent directors (at least three and two members, respectively), as described under the NASDAQ Listing Rules). At the time that it determined to exempt our company from the external director requirement, our board affirmatively determined that we meet the conditions for exemption from the external director requirement, including that a majority of the members of our board, along with each of the members of the audit and compensation committees of the board, are independent under the NASDAQ Listing Rules.</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a result of our election to be exempt from the external director requirement under the Companies Law, each of our directors (including our two directors who formerly served as external directors) is now assigned to one of the three, staggered classes of our board of directors, as follows:</w:t>
      </w:r>
    </w:p>
    <w:p>
      <w:pPr>
        <w:spacing w:after="0" w:line="146" w:lineRule="exact"/>
        <w:rPr>
          <w:sz w:val="20"/>
          <w:szCs w:val="20"/>
          <w:color w:val="auto"/>
        </w:rPr>
      </w:pPr>
    </w:p>
    <w:p>
      <w:pPr>
        <w:jc w:val="both"/>
        <w:ind w:left="1040" w:hanging="384"/>
        <w:spacing w:after="0" w:line="26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Class I directors are Alon Lumbroso, Dov Ofer and Yehoshua (Shuki) Nir, and, except for Mr. Nir, who is required to stand for reelection at the 2020 annual general meeting of shareholders (as described below), their terms expire at our annual general meeting of shareholders to be held in 2022 and when their successors are elected and qualified;</w:t>
      </w:r>
    </w:p>
    <w:p>
      <w:pPr>
        <w:spacing w:after="0" w:line="183"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Class II directors are Ofer Ben-Zur, Gabi Seligsohn and Lauri Hanover and their terms expire at our annual general meeting of shareholders to be held in 2020 and when their successors are elected and qualified; and</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Class III directors are Yuval Cohen, Stephen Nigro and Ronen Samuel, and their terms expire at our annual general meeting of shareholders to be held in 2021 and when their successors are elected and qualified.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has determined that five of our directors, Lauri Hanover, Alon Lumbroso, Stephen Nigro, Yehoshua (Shuki) Nir and Dov Ofer, constituting a majority of the members of the board, are independent under the rules of the NASDAQ Stock Market. The definition of independent director under the NASDAQ Stock Market rules specifies criteria whose aim is to ensure that there is no factor that would impair the ability of the independent director to exercise independent judgment, and furthermore requires that the board of directors affirmatively determine that the independent director can exercise independent judgment.</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Companies Law and our articles, besides nominees who are chosen by our board of directors, nominees for director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within seven days following our publication of notice of an upcoming annual shareholder meeting (or within 14 days after we publish a preliminary notification of an upcoming annual shareholder meeting). Any such shareholder nomination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48"/>
        <w:spacing w:after="0" w:line="259" w:lineRule="auto"/>
        <w:rPr>
          <w:sz w:val="20"/>
          <w:szCs w:val="20"/>
          <w:color w:val="auto"/>
        </w:rPr>
      </w:pPr>
      <w:r>
        <w:rPr>
          <w:rFonts w:ascii="Arial" w:cs="Arial" w:eastAsia="Arial" w:hAnsi="Arial"/>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External directors—when we are subject to, or choose to be bound by, the requirement to elect them—are elected for an initial term of three years and may be elected for additional three-year terms under the circumstances described below.</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the boards of directors of companies whose shares are publicly traded, including companies with shares traded in the United States, are generally required to include at least two members who qualify as external directors. Lauri Hanover and Yehoshua (Shuki) Nir had served as our external directors until our board elected, in August 2019, to be governed by the exemption from maintaining external directors on our board under the Companies Law (as described above).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election to exempt our company from compliance with the external director requirement can be reversed at any time by our board of directors, in which case we would need to hold a shareholder meeting to once again appoint external directors, whose election would be for a three-year term. The election of each external director would require approval by a majority vote of the shares present and voting at a meeting of shareholders, provided that either:</w:t>
      </w:r>
    </w:p>
    <w:p>
      <w:pPr>
        <w:spacing w:after="0" w:line="187" w:lineRule="exact"/>
        <w:rPr>
          <w:sz w:val="20"/>
          <w:szCs w:val="20"/>
          <w:color w:val="auto"/>
        </w:rPr>
      </w:pPr>
    </w:p>
    <w:p>
      <w:pPr>
        <w:jc w:val="both"/>
        <w:ind w:left="980" w:hanging="324"/>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further information concerning the Companies Law provisions related to external directors, please see “ITEM 6. Directors, Senior Management and Employees - C. Board Practices - Board of Directors - External Directors” in our annual report on Form 20-F for the year ended December 31, 2018, which we filed with the SEC on March 26,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consists of three members: Lauri Hanover (Chairperson), Yehoshua (Shuki) Nir and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Companies Law, we are required to appoint an audit committee. The audit committee must be comprised of at least three directors. To the extent a company is required to appoint external directors, this committee must include all of the external directors, one of whom must serve as chairman of the committee. There are additional requirements as to the composition of the audit committee under the Companies Law. However, when we elected to exempt our company from the external director requirement, we concurrently elected to exempt our company from all of such requirements (which exemption is conditioned on our fulfillment of all NASDAQ listing requirements related to the composition of the audit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NASDAQ corporate governance rules. Our board of directors has determined that Lauri Hanover qualifies as an audit committee financial expert, as defined by the SEC rules, and has the requisite financial experience, as defined by the NASDAQ corporate governance rules.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adopted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spacing w:after="0" w:line="184" w:lineRule="exact"/>
        <w:rPr>
          <w:sz w:val="20"/>
          <w:szCs w:val="20"/>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or her responsibilities;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consists of three members: Yehoshua (Shuki) Nir (Chairman), Lauri Hanover and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Companies Law, the board of directors of a public company must appoint a compensation committee. To the extent a company is required to appoint external directors, the compensation committee must be comprised of at least three directors, including all of the external directors, who must constitute a majority of the members of, and include the chairman of, the compensation committee. There are additional requirements as to the composition of the compensation committee under the Companies Law. However, when we elected to exempt our company from the external director requirement, we concurrently elected to exempt our company from all of such requirements (including the three-member minimum). Our exemption under the Companies Law is conditioned on our fulfillment of all NASDAQ listing requirements related to the composition of the compensation committee.</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who do not have a personal interest in the compensation arrangement and who vote against the arrangement does not exceed 2% of the company’s aggregate voting rights.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54"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spacing w:after="0" w:line="165" w:lineRule="exact"/>
        <w:rPr>
          <w:sz w:val="20"/>
          <w:szCs w:val="20"/>
          <w:color w:val="auto"/>
        </w:rPr>
      </w:pPr>
    </w:p>
    <w:p>
      <w:pPr>
        <w:jc w:val="both"/>
        <w:ind w:left="980" w:hanging="324"/>
        <w:spacing w:after="0" w:line="279"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recommending whether a compensation policy should continue in effect, if the then-current policy has a term of greater than three years or, in the case of the initial compensation policy of a company that has recently undergone its initial public offering, five years (approval of either a new compensation policy or the continuation of an existing compensation policy must in any case occur every three years or, upon the expiration of the initial period for a company that recently underwent its initial public offering, after five years);</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approving compensation terms of executive officers, directors and employees that require approval of the compensation committee;</w:t>
      </w:r>
    </w:p>
    <w:p>
      <w:pPr>
        <w:spacing w:after="0" w:line="236" w:lineRule="exact"/>
        <w:rPr>
          <w:rFonts w:ascii="Arial" w:cs="Arial" w:eastAsia="Arial" w:hAnsi="Arial"/>
          <w:sz w:val="17"/>
          <w:szCs w:val="17"/>
          <w:color w:val="auto"/>
        </w:rPr>
      </w:pPr>
    </w:p>
    <w:p>
      <w:pPr>
        <w:ind w:left="980" w:right="20" w:hanging="324"/>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Consistent with the foregoing requirements, following the recommendation of our compensation committee, our board and our shareholders approved our compensation policy in July 2015 and September 2015, respectively. We intend to call a shareholder meeting in the near future to present an updated compensation policy (following compensation committee recommendation and board approval) for the approval of our shareholders, as is required following the lapse of five years following our initial public offering. Following that approval, the compensation policy (in updated form, if applicable) will need to be recommended by the compensation committee and presented for the approval of the board and shareholders, every three years, in accordance with the requirements of the Companies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Role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adopted a compensation committee charter that sets forth the responsibilities of the compensation committee,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policy;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information regarding the current compensation package that is paid to our non-employee directors, see “B. Compensation—Director Compensation” in this ITEM 6. Our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External directors (when we are required to have them serving on our board of directors) are entitled to remuneration subject to the provisions and limitations set forth in the regulations promulgated under the Companies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the board of directors of an Israeli public company must appoint an internal auditor recommended by the audit committee. An internal auditor may not be:</w:t>
      </w:r>
    </w:p>
    <w:p>
      <w:pPr>
        <w:spacing w:after="0" w:line="170"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(or a relative of a person) who holds 5% or more of the company’s outstanding shares or voting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member of the company’s independent auditor, or anyone on its behalf.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Irena Ben-Yakar of Brightman Almagor &amp; Zohar (Deloitte) serves as our internal auditor.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Companies Law codifies the fiduciary duties that office holders owe to a company. Each person listed in the table under “Directors and Senior Management” is an office holder of our company under the Companies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25"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loyalty includes a duty to:</w:t>
      </w:r>
    </w:p>
    <w:p>
      <w:pPr>
        <w:spacing w:after="0" w:line="225" w:lineRule="exact"/>
        <w:rPr>
          <w:sz w:val="20"/>
          <w:szCs w:val="20"/>
          <w:color w:val="auto"/>
        </w:rPr>
      </w:pPr>
    </w:p>
    <w:p>
      <w:pPr>
        <w:ind w:left="980" w:right="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Companies Law requires that an office holder promptly disclose to the board of directors any conflict of interest (referred to under the Companies Law as a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(i.e., chief executive officer) or in which he or she has the right to appoint at least one director or the general manager, but excluding a personal interest stemming from one’s ownership of shares in the company.</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57"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55" w:lineRule="auto"/>
        <w:rPr>
          <w:sz w:val="20"/>
          <w:szCs w:val="20"/>
          <w:color w:val="auto"/>
        </w:rPr>
      </w:pPr>
      <w:r>
        <w:rPr>
          <w:rFonts w:ascii="Arial" w:cs="Arial" w:eastAsia="Arial" w:hAnsi="Arial"/>
          <w:sz w:val="18"/>
          <w:szCs w:val="18"/>
          <w:color w:val="auto"/>
        </w:rPr>
        <w:t>Generally, a person who has a personal interest in a matter which is considered at a meeting of the board of directors or the audit or compensation committees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board committee or the board of directors (as applicable) has a personal interest in the approval of a transaction, then all directors may participate in discussions of the committee or the board of directors (as applicable) on such transaction and the voting on approval thereof, but shareholder approval is also required for such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Controlling Shareholders and Approval of Certain Transactions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fulfill one of the following requirements:</w:t>
      </w:r>
    </w:p>
    <w:p>
      <w:pPr>
        <w:spacing w:after="0" w:line="18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regulations promulgated under the Companies Law, certain transactions with a controlling shareholder or his or her relative, with directors, or with the chief executive officer, that would otherwise require approval of a company’s shareholders may be exempt from shareholder approval upon certain determinations of the audit committee or compensation committee (as applicable), and the board of directors.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84"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660" w:right="2980" w:hanging="4"/>
        <w:spacing w:after="0" w:line="563" w:lineRule="auto"/>
        <w:tabs>
          <w:tab w:leader="none" w:pos="9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4" w:lineRule="exact"/>
        <w:rPr>
          <w:sz w:val="20"/>
          <w:szCs w:val="20"/>
          <w:color w:val="auto"/>
        </w:rPr>
      </w:pPr>
    </w:p>
    <w:p>
      <w:pPr>
        <w:jc w:val="both"/>
        <w:ind w:left="980" w:hanging="324"/>
        <w:spacing w:after="0" w:line="275"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6"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7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articles permit us to exculpate, indemnify and insure our office holders to the fullest extent permitted or to be permitted by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2019, we had 547 employees and subcontractors, with 339 located in Israel, 96 in the United States, 68 in Europe and 44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Asia Pacific. The following table shows the breakdown of our workforce of employees and subcontractors by category of activity as of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8"/>
              </w:rPr>
              <w:t>As of 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Area of Activity</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98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115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69" w:lineRule="auto"/>
        <w:rPr>
          <w:sz w:val="20"/>
          <w:szCs w:val="20"/>
          <w:color w:val="auto"/>
        </w:rPr>
      </w:pPr>
      <w:r>
        <w:rPr>
          <w:rFonts w:ascii="Arial" w:cs="Arial" w:eastAsia="Arial" w:hAnsi="Arial"/>
          <w:sz w:val="17"/>
          <w:szCs w:val="17"/>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have a work council. Work council must be consulted about specific employee related issues and has the right to make proposals to management according to the German Works Constitution Act (BetrVG).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Share Ownership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the share ownership of our directors and executive officers, please refer to “ITEM 6.B. Compensation” and “ITEM 7.A. Major Shareholders.”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Major Shareholders and Related Party Transactions.</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with respect to the beneficial ownership of our ordinary shares as of February 28, 2020:</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28, 2019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noted below, each shareholder’s address is c/o Kornit Digital Ltd., 12 Ha’Amal Street, Rosh –Ha’Ayin 4809246, Israel.</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The percentages set forth below are based on 40,801,834 ordinary shares outstanding as of February 28,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Held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r>
      <w:tr>
        <w:trPr>
          <w:trHeight w:val="216"/>
        </w:trPr>
        <w:tc>
          <w:tcPr>
            <w:tcW w:w="8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or Greater Shareholders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Wasatch Advisors Inc.</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3,559,402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r>
      <w:tr>
        <w:trPr>
          <w:trHeight w:val="257"/>
        </w:trPr>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American Capital Management Inc. </w:t>
            </w:r>
            <w:r>
              <w:rPr>
                <w:rFonts w:ascii="Arial" w:cs="Arial" w:eastAsia="Arial" w:hAnsi="Arial"/>
                <w:sz w:val="29"/>
                <w:szCs w:val="29"/>
                <w:color w:val="auto"/>
                <w:vertAlign w:val="superscript"/>
              </w:rPr>
              <w:t>(2)</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2,545,892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57"/>
        </w:trPr>
        <w:tc>
          <w:tcPr>
            <w:tcW w:w="8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Clal Insurance Enterprises Holdings Ltd. </w:t>
            </w:r>
            <w:r>
              <w:rPr>
                <w:rFonts w:ascii="Arial" w:cs="Arial" w:eastAsia="Arial" w:hAnsi="Arial"/>
                <w:sz w:val="29"/>
                <w:szCs w:val="29"/>
                <w:color w:val="auto"/>
                <w:vertAlign w:val="superscript"/>
              </w:rPr>
              <w:t>(3)</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2,294,938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Yuval Cohen</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Ofer Ben-Zur</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Lauri Hanover</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Alon Lumbroso</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Nigro</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Yehushua (Shuki) Nir</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Dov Ofer</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Gabi Seligsohn</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Guy Avidan</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Gilad Yron</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Omer Kulka</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Kobi Mann</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Jecka Glasman</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(14 persons)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225" w:lineRule="exact"/>
        <w:rPr>
          <w:sz w:val="20"/>
          <w:szCs w:val="20"/>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December 31, 2019, based on a beneficial ownership statement on Schedule 13G filed by Wasatch Advisors Inc. with the SEC on February 10, 2020.</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December 31, 2019, based on an amendment to Schedule 13G amendment filed by American Capital Management Inc. with the SEC on February 20, 2020.</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December 31, 2019, based on an amendment to Schedule 13G filed by Clal Insurance Enterprises Holdings Ltd., or Clal, with the SEC on February 10, 2020. All of the ordinary shares reported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Clal does not admit beneficial ownership of any of those shares.</w:t>
      </w:r>
    </w:p>
    <w:p>
      <w:pPr>
        <w:spacing w:after="0" w:line="18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ordinary shares, options to purchase ordinary shares and RSUs that may be exercised or settled (as applicable) within 60 days of February 28, 2020.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Recent Significant Changes in the Percentage Ownership of Major Shareholders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Fortissimo Capital (our former controlling shareholder) sold 6,235,000 of our ordinary shares in a secondary public offering, which decreased its holdings in our company from 48.5% to 26.3% (after taking into account the increase in outstanding shares resulting from our concurrent follow-on offering). In May 2017, Fortissimo Capital sold 4,250,000 of our ordinary shares in a secondary public offering, which decreased its holdings in our Company to 4,552,481 ordinary shares, or 13.5% of our outstanding ordinary shares. Over the course of 2018, Fortissimo Capital sold additional ordinary shares, thereby reducing its beneficial ownership further, and in December 2018, Fortissimo Capital sold all remaining 3,132,481 ordinary shares held by it in a secondary public offering.</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and February 2018, several shareholders reported that they had acquired in excess of 5% of our outstanding shares over the course of 2017, including: Senvest Management, LLC (5.0%); American Capital Management, Inc. (7.3%); Granahan Investment Management, Inc. (6.9%); William Blair &amp; Company, LLC (7.3%); and Gilder, Gagnon, Howe &amp; Co. LLC (5.2%). In addition, in April 2018, Clal reported that it had acquired 5.0% of our outstanding ordinary shares.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2019, each of Senvest Management, LLC, William Blair &amp; Company, LLC and Gilder, Gagnon, Howe &amp; Co. LLC reported that it had ceased to be a 5% shareholder as of the end of 2018, having dropped to beneficial ownership of 1.5%, 3.9% and 3.2%, respectively, as of that time. In February 2019, each of Granahan Investment Management, Inc. and Clal reported changes in its beneficial ownership as of the end of 2018, to 5.2% and 7.5%, respectively, of our outstanding ordinary shares.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2020, each of Granahan Investment Management, Inc. and Clal reported changes in its beneficial ownership as of the end of 2019, to 3.0% and 5.6%, respectively, of our outstanding ordinary shares. Consequently, Granahan Investment Management, Inc. ceased to be a 5% shareholder as of the end of 2019. In addition, Wasatch Advisors Inc. reported that it held in excess of 5% of our outstanding shares as of the end of 2019, holding 8.7% as of that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beneficial ownership of our ordinary shares by American Capital Management Inc. has gone from 7.5% as of the end of 2017 to 8.1% as of the end of 2018 and to 6.2% as of the end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the foregoing, there have been no recent significant changes in the percentage ownership of major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upon a review of the information provided to us by our transfer agent, as of March 11, 2020, there were three holders of record of our ordinary shares, of which one record holder, holding approximately 99.88% of our outstanding ordinary shares, had a registered address in the United States. These numbers are not representative of the number of beneficial holders of our shares, nor is it representative of where such beneficial holders reside, since all of these shares held of record in the United States were held through CEDE &amp; Co., the nominee company of the Depository Trust Company, on behalf of hundreds of firms of brokers and banks in the United States, who in turn held such shares on behalf of several thousand clients and customers.</w:t>
      </w:r>
    </w:p>
    <w:p>
      <w:pPr>
        <w:spacing w:after="0" w:line="18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2019, to which we were or will be a party and in which the other parties included or will include our directors, executive officers, holders of more than 10% of our voting securities or any member of the immediate family of any of the foregoing persons.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and RSUs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Since our inception we have granted options to purchase our ordinary shares to our officers and certain of our directors, and, commencing in 2018 (following approval by our shareholders), we began awarding annual RSU grants to our non-employee directors. Our option agreements may contain, and the terms of our RSU grants do contain, acceleration provisions upon certain merger, acquisition, or change of control transactions (in the case of the RSU grants, upon termination of, or resignation by, a non-employee director in connection with any such transaction or immediately thereafter). We describe our equity incentive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660" w:right="8080" w:hanging="328"/>
        <w:spacing w:after="0" w:line="500" w:lineRule="auto"/>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Information.</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and Other Financial Information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appended our financial statements at the end of this annual report, starting at page F-1,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Currently, and in the recent past,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Distribution Policy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never declared or paid any cash dividends on our ordinary shares. We do not anticipate paying any dividends in the foreseeable future. We currently intend (subject to any extraordinary market conditions that might arise) to retain future earnings, if any, to finance operations and expand our business. To the extent that volatile or depressed market conditions (whether in the wake of the coronavirus outbreak or otherwise) reduce the trading price of our ordinary shares substantially for an extended period of time, we may potentially consider using a portion of our cash reserves toward share repurchases. Our board of directors has sole discretion whether to pay dividends (or to effect share repurchases).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 Risk Factors— Risks Related to Our Ordinary Shares— We have never paid cash dividends on our share capital, and we do not anticipate paying any cash dividends in the foreseeable future” and “ITEM 10.B Articles of Association— Dividend and Liquidation Rights” for an explanation concerning the payment of dividends under Israeli law</w:t>
      </w:r>
      <w:r>
        <w:rPr>
          <w:rFonts w:ascii="Arial" w:cs="Arial" w:eastAsia="Arial" w:hAnsi="Arial"/>
          <w:sz w:val="16"/>
          <w:szCs w:val="16"/>
          <w:b w:val="1"/>
          <w:bCs w:val="1"/>
          <w:color w:val="auto"/>
        </w:rPr>
        <w:t>.</w:t>
      </w:r>
    </w:p>
    <w:p>
      <w:pPr>
        <w:spacing w:after="0" w:line="16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Significant Changes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The Offer and Listing.</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Listing details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IPO was priced at $10.00 per share on April 2,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18, 2020, the closing sales price of our ordinary shares on the NASDAQ Global Select Market was $26.36.</w:t>
      </w:r>
    </w:p>
    <w:p>
      <w:pPr>
        <w:spacing w:after="0" w:line="200" w:lineRule="exact"/>
        <w:rPr>
          <w:sz w:val="20"/>
          <w:szCs w:val="20"/>
          <w:color w:val="auto"/>
        </w:rPr>
      </w:pPr>
    </w:p>
    <w:p>
      <w:pPr>
        <w:spacing w:after="0" w:line="237" w:lineRule="exact"/>
        <w:rPr>
          <w:sz w:val="20"/>
          <w:szCs w:val="20"/>
          <w:color w:val="auto"/>
        </w:rPr>
      </w:pPr>
    </w:p>
    <w:p>
      <w:pPr>
        <w:ind w:left="660" w:right="9060" w:hanging="328"/>
        <w:spacing w:after="0" w:line="629" w:lineRule="auto"/>
        <w:tabs>
          <w:tab w:leader="none" w:pos="6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660" w:hanging="328"/>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“—Listing Details” above.</w:t>
      </w:r>
    </w:p>
    <w:p>
      <w:pPr>
        <w:spacing w:after="0" w:line="221" w:lineRule="exact"/>
        <w:rPr>
          <w:rFonts w:ascii="Arial" w:cs="Arial" w:eastAsia="Arial" w:hAnsi="Arial"/>
          <w:sz w:val="18"/>
          <w:szCs w:val="18"/>
          <w:b w:val="1"/>
          <w:bCs w:val="1"/>
          <w:color w:val="auto"/>
        </w:rPr>
      </w:pPr>
    </w:p>
    <w:p>
      <w:pPr>
        <w:ind w:left="660" w:right="9000" w:hanging="328"/>
        <w:spacing w:after="0" w:line="601" w:lineRule="auto"/>
        <w:tabs>
          <w:tab w:leader="none" w:pos="66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60" w:hanging="328"/>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660" w:right="8960" w:hanging="328"/>
        <w:spacing w:after="0" w:line="530" w:lineRule="auto"/>
        <w:tabs>
          <w:tab w:leader="none" w:pos="6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Expenses of the Issue </w:t>
      </w:r>
      <w:r>
        <w:rPr>
          <w:rFonts w:ascii="Arial" w:cs="Arial" w:eastAsia="Arial" w:hAnsi="Arial"/>
          <w:sz w:val="17"/>
          <w:szCs w:val="17"/>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u w:val="single" w:color="auto"/>
          <w:color w:val="auto"/>
        </w:rPr>
        <w:t>ADDITIONAL INFORMATION</w:t>
      </w:r>
    </w:p>
    <w:p>
      <w:pPr>
        <w:spacing w:after="0" w:line="225" w:lineRule="exact"/>
        <w:rPr>
          <w:sz w:val="20"/>
          <w:szCs w:val="20"/>
          <w:color w:val="auto"/>
        </w:rPr>
      </w:pPr>
    </w:p>
    <w:p>
      <w:pPr>
        <w:jc w:val="both"/>
        <w:ind w:left="660" w:right="9480" w:hanging="328"/>
        <w:spacing w:after="0" w:line="563" w:lineRule="auto"/>
        <w:tabs>
          <w:tab w:leader="none" w:pos="6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328"/>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w:t>
      </w:r>
    </w:p>
    <w:p>
      <w:pPr>
        <w:spacing w:after="0" w:line="27" w:lineRule="exact"/>
        <w:rPr>
          <w:sz w:val="20"/>
          <w:szCs w:val="20"/>
          <w:color w:val="auto"/>
        </w:rPr>
      </w:pPr>
    </w:p>
    <w:p>
      <w:pPr>
        <w:ind w:right="320" w:firstLine="680"/>
        <w:spacing w:after="0" w:line="260" w:lineRule="auto"/>
        <w:rPr>
          <w:sz w:val="20"/>
          <w:szCs w:val="20"/>
          <w:color w:val="auto"/>
        </w:rPr>
      </w:pPr>
      <w:r>
        <w:rPr>
          <w:rFonts w:ascii="Arial" w:cs="Arial" w:eastAsia="Arial" w:hAnsi="Arial"/>
          <w:sz w:val="18"/>
          <w:szCs w:val="18"/>
          <w:color w:val="auto"/>
        </w:rPr>
        <w:t>The information called for by this Item 10.B of Form 20-F has been provided in Exhibit 2.2 to this annual report. The content of Exhibit 2.2 is incorporated by reference herein.</w:t>
      </w:r>
    </w:p>
    <w:p>
      <w:pPr>
        <w:spacing w:after="0" w:line="18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party to any material contract within the two years prior to the date of this annual report, other than contracts entered into in the ordinary course of business, or as otherwise described below in this ITEM 10.C.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Amazon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Purchase Agreement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January 10, 2017, we entered into a Master Purchase Agreement, or the Purchase Agreement, with Amazon Corporate LLC, a subsidiary of Amazon.com, Inc., or Amazon. Under the Purchase Agreement, as amended in March 2017, January 2018, and June 2018, Amazon may purchase, and we have committed to supply AVHD6 digital direct-to-garment printers and NeoPigment ink and other consumables at agreed upon prices which are subject to volume. We also agreed to provide maintenance services and extended warranties to Amazon at agreed-upon prices.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Purchase Agreement provides for an “end of life” program. We are required to notify Amazon 12 months in advance if it intends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is five years beginning on May 1, 2016 and extends automatically for additional one-year periods unless terminated by Amazon.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Transaction Agreement and Warrant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the Purchase Agreement, we and Amazon entered into a Transaction Agreement, or the Transaction Agreement, pursuant to which we agreed to issue to an affiliate of Amazon a warrant, or the Warrant, to acquire up to 2,932,176 of our ordinary shares, or the Warrant Shares, at a purchase price of $13.03 per share, which is based on the preceding 30 trading day VWAP prior to the execution of the Transaction Agreement. The Warrant also provides for cashless exercise.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terms of the Warrant, the Warrant Shares are subject to vesting as a function of payments for purchased products and services of up to $150 million over a five-year period, with the shares vesting incrementally each time Amazon (which includes its affiliates for purposes of the vesting determination) makes a payment totaling $5 million to us. Warrant Shares vest in increments of 85,521 shares until such time as Amazon has paid an aggregate of $75 million to us and thereafter the remaining Warrant Shares vest in additional increments of 109,956 shares each. Based on payments made by Amazon prior to the date of the Warrant, some of the Warrant Shares vested at the time of the execution of the Purchase Agreement. As of December 31, 2019, warrants to purchase 1,612,683 ordinary shares have vested and are exercisable.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 is exercisable through January 10, 2022. Upon the consummation of a change of control transaction (as defined in the Warrant), subject to certain exceptions, the unvested portion of the Warrant will vest in full and become fully exercisable.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exercise price and the number of Warrant Shares issuable upon exercise of the Warrant are subject to customary anti-dilution adjustments.</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Transaction Agreement includes customary representations, warranties and covenants of our company and Amazon. The Transaction Agreement restricts any transfer of the Warrant except to a wholly owned subsidiary of Amazon and contains certain restrictions on Amazon’s ability to transfer the Warrant Shares, including to a beneficial owner of more than 5% of our outstanding ordinary shares, subject to customary exceptions. The Transaction Agreement also contains certain customary standstill restrictions with respect to an acquisition of our shares (other than an acquisition of the Warrant Shares), solicitation of proxies and other actions that seek to influence the control of our company. These standstill restrictions remain in effect until such time as the Warrant Shares held by Amazon or that remain unexercised under the Warrant represent less than 2% of our outstanding shares.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Transaction Agreement, Amazon is entitled to certain registration rights. Amazon may request up to two times in any 12-month period that we file a shelf registration statement on Form F-3 or S-3, and we are required to keep the shelf registration effective for four 90-day periods. If we are ineligible to file a registration statement on Form F-3 or Form S-3, Amazon may request up to four times that we file a long form registration statement to facilitate the sale of its shares. In addition, at any time after the one year anniversary of the Transaction Agreement, Amazon is entitled to piggyback registration rights on underwritten offerings effected by us. We are subject to customary obligations upon Amazon’s request for registration, including cooperation in case of an underwritten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for December 2018 Secondary Offering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underwriting agreement, dated December 3, 2018, with Fortissimo Capital, as the selling shareholder, and Barclays Capital Inc. and Citigroup Global Markets Inc., as representatives of the underwriters, for the underwritten secondary public offering of 3,132,481 of our ordinary shares sold by Fortissimo Capital. Fortissimo Capital received approximately $62.6 million of net proceeds, before expenses, from that secondary public offering. We have agreed to indemnify the underwriters against certain liabilities, including liabilities under the Securities Act, and to contribute to payments the underwriters may be required to make in respect of such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for June 2019 Follow-On Offering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entered into an underwriting agreement, dated June 13, 2019, with Citigroup Global Markets Inc., Goldman Sachs &amp; Co. LLC and Barclays Capital Inc., as representatives of the several underwriters named therein, for the underwritten primary follow-on offering, by the underwriters, of 4,340,000 of our ordinary shares, plus an additional 651,000 ordinary shares pursuant to a 30-day option granted to the underwriters by our company that was exercised at the closing of the offering. We received $129.7 million of net proceeds from the offering, after deducting underwriting discounts and commissions and estimated offering expenses payable by us. We have agreed to indemnify the underwriters against certain liabilities, including liabilities under the Securities Act, and to contribute to payments the underwriters may be required to make in respect of such liabilities.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Other Material Contracts</w:t>
      </w:r>
    </w:p>
    <w:p>
      <w:pPr>
        <w:spacing w:after="0" w:line="225" w:lineRule="exact"/>
        <w:rPr>
          <w:sz w:val="20"/>
          <w:szCs w:val="20"/>
          <w:color w:val="auto"/>
        </w:rPr>
      </w:pPr>
    </w:p>
    <w:p>
      <w:pPr>
        <w:jc w:val="right"/>
        <w:ind w:right="960"/>
        <w:spacing w:after="0"/>
        <w:tabs>
          <w:tab w:leader="none" w:pos="3560" w:val="left"/>
        </w:tabs>
        <w:rPr>
          <w:sz w:val="20"/>
          <w:szCs w:val="20"/>
          <w:color w:val="auto"/>
        </w:rPr>
      </w:pPr>
      <w:r>
        <w:rPr>
          <w:rFonts w:ascii="Arial" w:cs="Arial" w:eastAsia="Arial" w:hAnsi="Arial"/>
          <w:sz w:val="18"/>
          <w:szCs w:val="18"/>
          <w:b w:val="1"/>
          <w:bCs w:val="1"/>
          <w:color w:val="auto"/>
        </w:rPr>
        <w:t>Material Contract</w:t>
      </w:r>
      <w:r>
        <w:rPr>
          <w:sz w:val="20"/>
          <w:szCs w:val="20"/>
          <w:color w:val="auto"/>
        </w:rPr>
        <w:tab/>
      </w:r>
      <w:r>
        <w:rPr>
          <w:rFonts w:ascii="Arial" w:cs="Arial" w:eastAsia="Arial" w:hAnsi="Arial"/>
          <w:sz w:val="16"/>
          <w:szCs w:val="16"/>
          <w:b w:val="1"/>
          <w:bCs w:val="1"/>
          <w:color w:val="auto"/>
        </w:rPr>
        <w:t>Location of Description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-323215</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180" w:space="560"/>
            <w:col w:w="55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Compensation Policy</w:t>
            </w:r>
          </w:p>
        </w:tc>
        <w:tc>
          <w:tcPr>
            <w:tcW w:w="7060" w:type="dxa"/>
            <w:vAlign w:val="bottom"/>
            <w:shd w:val="clear" w:color="auto" w:fill="CCEEFF"/>
          </w:tcPr>
          <w:p>
            <w:pPr>
              <w:ind w:left="1560"/>
              <w:spacing w:after="0"/>
              <w:rPr>
                <w:sz w:val="20"/>
                <w:szCs w:val="20"/>
                <w:color w:val="auto"/>
              </w:rPr>
            </w:pPr>
            <w:r>
              <w:rPr>
                <w:rFonts w:ascii="Arial" w:cs="Arial" w:eastAsia="Arial" w:hAnsi="Arial"/>
                <w:sz w:val="18"/>
                <w:szCs w:val="18"/>
                <w:color w:val="auto"/>
                <w:w w:val="93"/>
              </w:rPr>
              <w:t>“ITEM 6.C. Board Practices-Board Committees-Compensation Committee</w:t>
            </w:r>
          </w:p>
        </w:tc>
      </w:tr>
      <w:tr>
        <w:trPr>
          <w:trHeight w:val="230"/>
        </w:trPr>
        <w:tc>
          <w:tcPr>
            <w:tcW w:w="4180" w:type="dxa"/>
            <w:vAlign w:val="bottom"/>
            <w:shd w:val="clear" w:color="auto" w:fill="CCEEFF"/>
          </w:tcPr>
          <w:p>
            <w:pPr>
              <w:spacing w:after="0"/>
              <w:rPr>
                <w:sz w:val="20"/>
                <w:szCs w:val="20"/>
                <w:color w:val="auto"/>
              </w:rPr>
            </w:pPr>
          </w:p>
        </w:tc>
        <w:tc>
          <w:tcPr>
            <w:tcW w:w="706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and Compensation Policy.”</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OEM Supply Agreement, dated December 3, 2015, between us and FujiFilm Dimatix,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20"/>
        <w:spacing w:after="0" w:line="342" w:lineRule="auto"/>
        <w:rPr>
          <w:sz w:val="20"/>
          <w:szCs w:val="20"/>
          <w:color w:val="auto"/>
        </w:rPr>
      </w:pPr>
      <w:r>
        <w:rPr>
          <w:rFonts w:ascii="Arial" w:cs="Arial" w:eastAsia="Arial" w:hAnsi="Arial"/>
          <w:sz w:val="16"/>
          <w:szCs w:val="16"/>
          <w:color w:val="auto"/>
        </w:rPr>
        <w:t>“ITEM 3.D. Risk Factors— Risks Related to Our Business and Our Industry— Risk factor titled “If our relationships with suppliers...”</w:t>
      </w:r>
    </w:p>
    <w:p>
      <w:pPr>
        <w:spacing w:after="0" w:line="124" w:lineRule="exact"/>
        <w:rPr>
          <w:sz w:val="20"/>
          <w:szCs w:val="20"/>
          <w:color w:val="auto"/>
        </w:rPr>
      </w:pPr>
    </w:p>
    <w:p>
      <w:pPr>
        <w:sectPr>
          <w:pgSz w:w="11900" w:h="16838" w:orient="portrait"/>
          <w:cols w:equalWidth="0" w:num="2">
            <w:col w:w="5520" w:space="220"/>
            <w:col w:w="5500"/>
          </w:cols>
          <w:pgMar w:left="320" w:top="904"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Manufacturing Services Agreement, dated as of May 2015, between us and Flextronics (Israel) Ltd.</w:t>
      </w:r>
    </w:p>
    <w:p>
      <w:pPr>
        <w:spacing w:after="0" w:line="20" w:lineRule="exact"/>
        <w:rPr>
          <w:sz w:val="20"/>
          <w:szCs w:val="20"/>
          <w:color w:val="auto"/>
        </w:rPr>
      </w:pPr>
      <w:r>
        <w:rPr>
          <w:sz w:val="20"/>
          <w:szCs w:val="20"/>
          <w:color w:val="auto"/>
        </w:rPr>
        <w:br w:type="column"/>
      </w:r>
    </w:p>
    <w:p>
      <w:pPr>
        <w:ind w:right="620"/>
        <w:spacing w:after="0" w:line="342" w:lineRule="auto"/>
        <w:rPr>
          <w:sz w:val="20"/>
          <w:szCs w:val="20"/>
          <w:color w:val="auto"/>
        </w:rPr>
      </w:pPr>
      <w:r>
        <w:rPr>
          <w:rFonts w:ascii="Arial" w:cs="Arial" w:eastAsia="Arial" w:hAnsi="Arial"/>
          <w:sz w:val="16"/>
          <w:szCs w:val="16"/>
          <w:color w:val="auto"/>
        </w:rPr>
        <w:t>“ITEM 3.D. Risk Factors— Risks Related to Our Business and Our Industry— 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-323215</wp:posOffset>
            </wp:positionV>
            <wp:extent cx="71323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5420" w:space="320"/>
            <w:col w:w="5500"/>
          </w:cols>
          <w:pgMar w:left="320" w:top="904"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Manufacturing Services Agreement, dated as of February 26, 2019, between us and Sanmina-SCI Israel Medical Systems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20"/>
        <w:spacing w:after="0" w:line="342" w:lineRule="auto"/>
        <w:rPr>
          <w:sz w:val="20"/>
          <w:szCs w:val="20"/>
          <w:color w:val="auto"/>
        </w:rPr>
      </w:pPr>
      <w:r>
        <w:rPr>
          <w:rFonts w:ascii="Arial" w:cs="Arial" w:eastAsia="Arial" w:hAnsi="Arial"/>
          <w:sz w:val="16"/>
          <w:szCs w:val="16"/>
          <w:color w:val="auto"/>
        </w:rPr>
        <w:t>“ITEM 3.D. Risk Factors— Risks Related to Our Business and Our Industry— Risk factor titled “If our relationships with suppliers...”</w:t>
      </w:r>
    </w:p>
    <w:p>
      <w:pPr>
        <w:spacing w:after="0" w:line="124" w:lineRule="exact"/>
        <w:rPr>
          <w:sz w:val="20"/>
          <w:szCs w:val="20"/>
          <w:color w:val="auto"/>
        </w:rPr>
      </w:pPr>
    </w:p>
    <w:p>
      <w:pPr>
        <w:sectPr>
          <w:pgSz w:w="11900" w:h="16838" w:orient="portrait"/>
          <w:cols w:equalWidth="0" w:num="2">
            <w:col w:w="5500" w:space="240"/>
            <w:col w:w="5500"/>
          </w:cols>
          <w:pgMar w:left="320" w:top="904" w:right="339" w:bottom="1440" w:gutter="0" w:footer="0" w:header="0"/>
          <w:type w:val="continuous"/>
        </w:sectPr>
      </w:pPr>
    </w:p>
    <w:p>
      <w:pPr>
        <w:ind w:right="2240"/>
        <w:spacing w:after="0" w:line="277" w:lineRule="auto"/>
        <w:rPr>
          <w:sz w:val="20"/>
          <w:szCs w:val="20"/>
          <w:color w:val="auto"/>
        </w:rPr>
      </w:pPr>
      <w:r>
        <w:rPr>
          <w:rFonts w:ascii="Arial" w:cs="Arial" w:eastAsia="Arial" w:hAnsi="Arial"/>
          <w:sz w:val="18"/>
          <w:szCs w:val="18"/>
          <w:color w:val="auto"/>
        </w:rPr>
        <w:t>Office and Parking Space Lease Agreement, dated as of December 17, 2007 “ITEM 4.D. Property, Plant and Equipment.” between us and Industrial Building Corporation,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 dated as of December 22, 2016, between us and B.G. (Israel) Technologies Ltd.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“ITEM 3.D. Risk Factors— Risks Related to Our Business and Our Industry— 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-323215</wp:posOffset>
            </wp:positionV>
            <wp:extent cx="7132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280" w:space="460"/>
            <w:col w:w="55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5"/>
              </w:rPr>
              <w:t>Lease Agreement dated as of March 25, 2010 between us and Benbenisti</w:t>
            </w:r>
          </w:p>
        </w:tc>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“ITEM 4.D. Property, Plant and Equipment.”</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Engineering Ltd., as amended</w:t>
            </w:r>
          </w:p>
        </w:tc>
        <w:tc>
          <w:tcPr>
            <w:tcW w:w="5600" w:type="dxa"/>
            <w:vAlign w:val="bottom"/>
            <w:shd w:val="clear" w:color="auto" w:fill="CCEEFF"/>
          </w:tcPr>
          <w:p>
            <w:pPr>
              <w:spacing w:after="0"/>
              <w:rPr>
                <w:sz w:val="20"/>
                <w:szCs w:val="20"/>
                <w:color w:val="auto"/>
              </w:rPr>
            </w:pP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Lease dated December 2017 between Bonanno Real Estate Group I, L.P. and</w:t>
            </w:r>
          </w:p>
        </w:tc>
        <w:tc>
          <w:tcPr>
            <w:tcW w:w="56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“ITEM 4.D. Property, Plant and Equipment.”</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North America, Inc.</w:t>
            </w:r>
          </w:p>
        </w:tc>
        <w:tc>
          <w:tcPr>
            <w:tcW w:w="56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Development Contract, dated November 26, 2018, by and between us and the Israel Lands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“ITEM 3.D. Risk Factors—Risks Related to Our Business and Our Industr</w:t>
      </w:r>
      <w:r>
        <w:rPr>
          <w:rFonts w:ascii="Arial" w:cs="Arial" w:eastAsia="Arial" w:hAnsi="Arial"/>
          <w:sz w:val="16"/>
          <w:szCs w:val="16"/>
          <w:i w:val="1"/>
          <w:iCs w:val="1"/>
          <w:color w:val="auto"/>
        </w:rPr>
        <w: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Our new Kiryat Gat facility…”.</w:t>
      </w:r>
    </w:p>
    <w:p>
      <w:pPr>
        <w:spacing w:after="0" w:line="206" w:lineRule="exact"/>
        <w:rPr>
          <w:sz w:val="20"/>
          <w:szCs w:val="20"/>
          <w:color w:val="auto"/>
        </w:rPr>
      </w:pPr>
    </w:p>
    <w:p>
      <w:pPr>
        <w:sectPr>
          <w:pgSz w:w="11900" w:h="16838" w:orient="portrait"/>
          <w:cols w:equalWidth="0" w:num="2">
            <w:col w:w="5600" w:space="140"/>
            <w:col w:w="5500"/>
          </w:cols>
          <w:pgMar w:left="320" w:top="904" w:right="339" w:bottom="1440" w:gutter="0" w:footer="0" w:header="0"/>
          <w:type w:val="continuous"/>
        </w:sect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5" w:name="page96"/>
    <w:bookmarkEnd w:id="95"/>
    <w:p>
      <w:pPr>
        <w:jc w:val="both"/>
        <w:ind w:right="20" w:firstLine="648"/>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except with respect to citizens of countries which are in a state of war with Israel, is not restricted in any way by our articles or by the laws of the State of Israel.</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Gains Taxes Applicable to Non-Israeli Resident Shareholders.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2019) unless the benefiting provisions of an applicable treaty applies.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48"/>
        <w:spacing w:after="0" w:line="287"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Israel Tax Authority may require from shareholders who are not liable for Israeli tax to sign declarations in forms specified by that authority or obtain a specific exemption from the Israel Tax Authority to confirm their status as non-Israeli residents, and, in the absence of such declarations or exemptions, may require the purchaser of the shares to withhold taxes at source.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Non-Israeli Shareholders on Receipt of Dividends.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an Preferred Enterprise, unless a reduced rate is provided under an applicable tax treaty (subject to the receipt of a valid certificate from the Israel Tax Authority allowing for a reduced tax rate).</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Tax.</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Beginning on January 1, 2013, an additional tax liability at the rate of 2% was added to the applicable tax rate on the annual taxable income of individuals (whether any such individual is an Israeli resident or non-Israeli resident) exceeding a certain level, including, but not limited to, dividends, interest and capital gain. Pursuant to new legislation enacted recently, such tax rate was increased to 3% on annual income exceeding NIS 641,880 in 2018 and NIS 649,560 in 2019 (which amounts are linked to the annual change in the Israeli consumer price index).</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spacing w:after="0" w:line="187"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that received our ordinary shares as compensation for the performance of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that will hold our ordinary shares as part of a “hedging,” “integrated” or “conversion” transaction or as a position in a “straddle” for U.S. federal income tax purposes;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ordinary shares through such an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ordinary shares.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purposes of this description, a “U.S. Holder” is a beneficial owner of our ordinary shares that, for U.S. federal income tax purposes, is:</w:t>
      </w:r>
    </w:p>
    <w:p>
      <w:pPr>
        <w:spacing w:after="0" w:line="225"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left="980" w:hanging="324"/>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 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79" w:lineRule="auto"/>
        <w:rPr>
          <w:sz w:val="20"/>
          <w:szCs w:val="20"/>
          <w:color w:val="auto"/>
        </w:rPr>
      </w:pPr>
      <w:r>
        <w:rPr>
          <w:rFonts w:ascii="Arial" w:cs="Arial" w:eastAsia="Arial" w:hAnsi="Arial"/>
          <w:sz w:val="17"/>
          <w:szCs w:val="17"/>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Ordinary Shares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an Israeli tax is imposed on the sale or other disposition of our ordinary shares, your amount realized will include the gross amount of the proceeds of the sale or other disposition before deduction of the Israeli tax. Because your gain from the sale or other disposition of our ordinary shares will generally be U.S.-source gain, and you may use foreign tax credits to offset only the portion of U.S. federal income tax liability that is attributable to foreign source income, you may be unable to claim a foreign tax credit with respect to the Israeli tax, if any, on gains. You should consult your tax adviser as to whether the Israeli tax on gains may be creditable against your U.S. federal income tax on foreign-source income from other 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 through rules, either</w:t>
      </w:r>
    </w:p>
    <w:p>
      <w:pPr>
        <w:spacing w:after="0" w:line="170"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25"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70" w:lineRule="auto"/>
        <w:rPr>
          <w:sz w:val="20"/>
          <w:szCs w:val="20"/>
          <w:color w:val="auto"/>
        </w:rPr>
      </w:pPr>
      <w:r>
        <w:rPr>
          <w:rFonts w:ascii="Arial" w:cs="Arial" w:eastAsia="Arial" w:hAnsi="Arial"/>
          <w:sz w:val="17"/>
          <w:szCs w:val="17"/>
          <w:color w:val="auto"/>
        </w:rPr>
        <w:t>Based on certain estimates of our gross income and gross assets and the nature of our business, we believe that we were not classified as a PFIC for the taxable year ended December 31, 2019, and furthermore do not expect to be classified for the taxable year ending December 31, 2020.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2020, provided that such U.S. Holder is eligible to make, and successfully makes, either a “mark-to-market” election or a qualified electing fund election described below for the taxable year in which its holding period begins.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71" w:lineRule="auto"/>
        <w:rPr>
          <w:sz w:val="20"/>
          <w:szCs w:val="20"/>
          <w:color w:val="auto"/>
        </w:rPr>
      </w:pPr>
      <w:r>
        <w:rPr>
          <w:rFonts w:ascii="Arial" w:cs="Arial" w:eastAsia="Arial" w:hAnsi="Arial"/>
          <w:sz w:val="17"/>
          <w:szCs w:val="17"/>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Foreign Currency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16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40" w:lineRule="exact"/>
        <w:rPr>
          <w:sz w:val="20"/>
          <w:szCs w:val="20"/>
          <w:color w:val="auto"/>
        </w:rPr>
      </w:pPr>
    </w:p>
    <w:p>
      <w:pPr>
        <w:ind w:left="660" w:right="8280" w:hanging="328"/>
        <w:spacing w:after="0" w:line="500" w:lineRule="auto"/>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8880" w:hanging="328"/>
        <w:spacing w:after="0" w:line="563" w:lineRule="auto"/>
        <w:tabs>
          <w:tab w:leader="none" w:pos="6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660" w:hanging="328"/>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file with the SEC, within 120 days after the end of each subsequent fiscal year, an annual report on Form 20-F containing financial statements which will be examined and reported on, with an opinion expressed, by an independent public accounting firm. We also intend to furnish to the SEC reports on Form 6-K containing quarterly unaudited financial information for the first three quarters of each fiscal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48"/>
        <w:spacing w:after="0" w:line="291" w:lineRule="auto"/>
        <w:rPr>
          <w:sz w:val="20"/>
          <w:szCs w:val="20"/>
          <w:color w:val="auto"/>
        </w:rPr>
      </w:pPr>
      <w:r>
        <w:rPr>
          <w:rFonts w:ascii="Arial" w:cs="Arial" w:eastAsia="Arial" w:hAnsi="Arial"/>
          <w:sz w:val="16"/>
          <w:szCs w:val="16"/>
          <w:color w:val="auto"/>
        </w:rPr>
        <w:t xml:space="preserve">You may read and copy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 As permitted under NASDAQ Stock Market Rule 5250(d)(1)(C), we will post our annual reports filed with the SEC on our website at </w:t>
      </w:r>
      <w:r>
        <w:rPr>
          <w:rFonts w:ascii="Arial" w:cs="Arial" w:eastAsia="Arial" w:hAnsi="Arial"/>
          <w:sz w:val="16"/>
          <w:szCs w:val="16"/>
          <w:u w:val="single" w:color="auto"/>
          <w:color w:val="auto"/>
        </w:rPr>
        <w:t>http://www.kornit.com.</w:t>
      </w:r>
      <w:r>
        <w:rPr>
          <w:rFonts w:ascii="Arial" w:cs="Arial" w:eastAsia="Arial" w:hAnsi="Arial"/>
          <w:sz w:val="16"/>
          <w:szCs w:val="16"/>
          <w:color w:val="auto"/>
        </w:rPr>
        <w:t xml:space="preserve"> We will furnish hard copies of such reports to our shareholders upon request free of charge. The information contained on our website is not part of this or any other report filed with or furnished to the SEC.</w:t>
      </w:r>
    </w:p>
    <w:p>
      <w:pPr>
        <w:spacing w:after="0" w:line="162" w:lineRule="exact"/>
        <w:rPr>
          <w:sz w:val="20"/>
          <w:szCs w:val="20"/>
          <w:color w:val="auto"/>
        </w:rPr>
      </w:pPr>
    </w:p>
    <w:p>
      <w:pPr>
        <w:ind w:left="660" w:right="8760" w:hanging="328"/>
        <w:spacing w:after="0" w:line="563" w:lineRule="auto"/>
        <w:tabs>
          <w:tab w:leader="none" w:pos="66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our international operations, currency exchange rates impact our financial performance. In 2019, approximately 84% of our revenues were denominated in U.S. dollars, 15% of our revenues were denominated in Euros and 1% of our revenues were denominated in Great Britain Pounds. Conversely, in 2019, approximately 40%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changes in the exchange rates of the NIS and the Euro against the U.S. dollar: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Change in Average</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Exchange Rate</w:t>
            </w: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U.S. Dollar</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U.S. Dollar</w:t>
            </w:r>
          </w:p>
        </w:tc>
        <w:tc>
          <w:tcPr>
            <w:tcW w:w="100" w:type="dxa"/>
            <w:vAlign w:val="bottom"/>
          </w:tcPr>
          <w:p>
            <w:pPr>
              <w:spacing w:after="0"/>
              <w:rPr>
                <w:sz w:val="17"/>
                <w:szCs w:val="17"/>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against the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against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NIS</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Euro</w:t>
            </w:r>
          </w:p>
        </w:tc>
      </w:tr>
      <w:tr>
        <w:trPr>
          <w:trHeight w:val="241"/>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We estimate that a 10% increase or decrease in the value of the NIS against the U.S. dollar would have decreased or increased our net income by approximately $(29 million) or $23 million in 2018, and $(18 million) or $18 million in 2019, respectively. We estimate that a 10% increase or decrease in the value of the Euro against the U.S. dollar would have increased or decreased our net income by approximately $1 million or $(0.5 million) in 2018 and $2 million or $(1.5 million) in 2019, respectively.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48"/>
        <w:spacing w:after="0" w:line="263"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2018 and 2019, we entered into forward and option contracts to hedge against the risk of overall changes in future cash flow from payments of payroll and related expenses denominated in NIS.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strategy is to achieve a return that will allow us to preserve capital and maintain liquidity requirements. We invest primarily in debt securities, corporate debt securities. By policy, we limit the amount of credit exposure to any one issuer. As of December 31, 2018 and December 31, 2019, unrealized losses on our marketable debt securities were partially due to temporary interest rate fluctuations as a result of higher market interest rates compared to interest rates at the time of purchase. We account for both fixed and variable rate securities at fair value with changes on gains and losses recorded in Other Comprehensive Income until the securities are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u w:val="single" w:color="auto"/>
          <w:color w:val="auto"/>
        </w:rPr>
        <w:t>Material Modifications to the Rights of Security Holders and Use of Proceeds.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A-D.</w:t>
      </w:r>
      <w:r>
        <w:rPr>
          <w:sz w:val="20"/>
          <w:szCs w:val="20"/>
          <w:color w:val="auto"/>
        </w:rPr>
        <w:tab/>
      </w:r>
      <w:r>
        <w:rPr>
          <w:rFonts w:ascii="Arial" w:cs="Arial" w:eastAsia="Arial" w:hAnsi="Arial"/>
          <w:sz w:val="16"/>
          <w:szCs w:val="16"/>
          <w:color w:val="auto"/>
        </w:rPr>
        <w:t>Not applicable</w:t>
      </w:r>
    </w:p>
    <w:p>
      <w:pPr>
        <w:spacing w:after="0" w:line="225" w:lineRule="exact"/>
        <w:rPr>
          <w:sz w:val="20"/>
          <w:szCs w:val="20"/>
          <w:color w:val="auto"/>
        </w:rPr>
      </w:pPr>
    </w:p>
    <w:p>
      <w:pPr>
        <w:ind w:left="800" w:hanging="792"/>
        <w:spacing w:after="0"/>
        <w:tabs>
          <w:tab w:leader="none" w:pos="8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has been no change in the information regarding the use of proceeds from our IPO since the last annual report on Form 20-F that we filed in March 2019. Our operations generate positive cash flow, and, as such, we did not use any further proceeds from our IPO during the year ended December 31, 2019.</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2019. Based on their evaluation, our principal executive officer and principal financial officer concluded that as of December 31, 2019,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 annual report on internal control over financial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88"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management assessed the effectiveness of internal control over financial reporting as of December 31, 2019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The attestation report of Kost Forer Gabbay &amp; Kasierer, a member of EY Global, an independent registered public accounting firm in Israel, on our management’s assessment of our internal control over financial reporting as of December 31, 2019 is provided on page F-3, as included under Item 18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u w:val="single" w:color="auto"/>
          <w:color w:val="auto"/>
        </w:rPr>
        <w:t>Audit Committee Financial Expert.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determined that Lauri Hanover, who serves on the audit committee of our board of directors and who meets the “independent director” definition under the NASDAQ Listing Rules, qualifies as an “audit committee financial expert,” as defined under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u w:val="single" w:color="auto"/>
          <w:color w:val="auto"/>
        </w:rPr>
        <w:t>Code of Ethics.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adopted a code of ethics and business conduct applicable to our executive officers, directors and all other employees. A copy of the code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Report of Foreign Private Issuer on Form 6-K. No such amendment was adopted, nor waiver provided, by us during the fiscal year ended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Fees billed or expected to be billed by Kost, Forer, Gabbay &amp; Kasierer, a member of Ernst &amp; Young Global, and other members of Ernst &amp; Young Global for professional services for each of the last two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Year Ended December 31, 2018</w:t>
            </w: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Year Ended December 31, 2019</w:t>
            </w:r>
          </w:p>
        </w:tc>
      </w:tr>
      <w:tr>
        <w:trPr>
          <w:trHeight w:val="237"/>
        </w:trPr>
        <w:tc>
          <w:tcPr>
            <w:tcW w:w="59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Percentage</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37"/>
        </w:trPr>
        <w:tc>
          <w:tcPr>
            <w:tcW w:w="5940" w:type="dxa"/>
            <w:vAlign w:val="bottom"/>
          </w:tcPr>
          <w:p>
            <w:pPr>
              <w:spacing w:after="0"/>
              <w:rPr>
                <w:sz w:val="20"/>
                <w:szCs w:val="20"/>
                <w:color w:val="auto"/>
              </w:rPr>
            </w:pPr>
            <w:r>
              <w:rPr>
                <w:rFonts w:ascii="Arial" w:cs="Arial" w:eastAsia="Arial" w:hAnsi="Arial"/>
                <w:sz w:val="18"/>
                <w:szCs w:val="18"/>
                <w:color w:val="auto"/>
              </w:rPr>
              <w:t>All Other Fees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5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64"/>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36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1260" w:type="dxa"/>
            <w:vAlign w:val="bottom"/>
            <w:gridSpan w:val="3"/>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fees” include fees for services rendered by our independent registered public accounting firm with respect to government incentives and other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u w:val="single" w:color="auto"/>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u w:val="single" w:color="auto"/>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u w:val="single" w:color="auto"/>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u w:val="single" w:color="auto"/>
          <w:color w:val="auto"/>
        </w:rPr>
        <w:t>Corporate Governance.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ITEM 16G of Form 20-F.</w:t>
      </w:r>
    </w:p>
    <w:p>
      <w:pPr>
        <w:spacing w:after="0" w:line="177" w:lineRule="exact"/>
        <w:rPr>
          <w:sz w:val="20"/>
          <w:szCs w:val="20"/>
          <w:color w:val="auto"/>
        </w:rPr>
      </w:pPr>
    </w:p>
    <w:p>
      <w:pPr>
        <w:jc w:val="both"/>
        <w:ind w:left="980" w:hanging="324"/>
        <w:spacing w:after="0" w:line="308"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Quorum requirement for shareholder meetings</w:t>
      </w:r>
      <w:r>
        <w:rPr>
          <w:rFonts w:ascii="Arial" w:cs="Arial" w:eastAsia="Arial" w:hAnsi="Arial"/>
          <w:sz w:val="16"/>
          <w:szCs w:val="16"/>
          <w:color w:val="auto"/>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issued share capital, as required under the NASDAQ Listing Rules.</w:t>
      </w:r>
    </w:p>
    <w:p>
      <w:pPr>
        <w:spacing w:after="0" w:line="41" w:lineRule="exact"/>
        <w:rPr>
          <w:rFonts w:ascii="Arial" w:cs="Arial" w:eastAsia="Arial" w:hAnsi="Arial"/>
          <w:sz w:val="16"/>
          <w:szCs w:val="16"/>
          <w:color w:val="auto"/>
        </w:rPr>
      </w:pPr>
    </w:p>
    <w:p>
      <w:pPr>
        <w:jc w:val="both"/>
        <w:ind w:left="980" w:hanging="324"/>
        <w:spacing w:after="0" w:line="255"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Nomination of directors</w:t>
      </w:r>
      <w:r>
        <w:rPr>
          <w:rFonts w:ascii="Arial" w:cs="Arial" w:eastAsia="Arial" w:hAnsi="Arial"/>
          <w:sz w:val="18"/>
          <w:szCs w:val="18"/>
          <w:color w:val="auto"/>
        </w:rPr>
        <w:t>. With the exception of external directors (if applicable to us at the time) and directors elected by our board of directors due to vacancy, our directors are elected, in a staggered manner, by an annual meeting of our shareholders to hold office until the third annual meeting following their election. The nominations for directors, which are presented to our shareholders by our board of directors, are generally made by the board of directors itself, in accordance with the provisions of our articles of association and the Companies Law. Nominations need not be made by a nominating committee of our board of directors consisting solely of independent directors or otherwise, as required under the NASDAQ Listing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u w:val="single" w:color="auto"/>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pages F-114 through F-161 appended hereto.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10260" w:type="dxa"/>
            <w:vAlign w:val="bottom"/>
            <w:gridSpan w:val="42"/>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60"/>
        </w:trPr>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20"/>
          </w:tcPr>
          <w:p>
            <w:pPr>
              <w:jc w:val="center"/>
              <w:ind w:right="4320"/>
              <w:spacing w:after="0"/>
              <w:rPr>
                <w:sz w:val="20"/>
                <w:szCs w:val="20"/>
                <w:color w:val="auto"/>
              </w:rPr>
            </w:pPr>
            <w:r>
              <w:rPr>
                <w:rFonts w:ascii="Arial" w:cs="Arial" w:eastAsia="Arial" w:hAnsi="Arial"/>
                <w:sz w:val="18"/>
                <w:szCs w:val="18"/>
                <w:b w:val="1"/>
                <w:bCs w:val="1"/>
                <w:color w:val="auto"/>
                <w:w w:val="90"/>
              </w:rPr>
              <w:t>Description</w:t>
            </w:r>
          </w:p>
        </w:tc>
        <w:tc>
          <w:tcPr>
            <w:tcW w:w="0" w:type="dxa"/>
            <w:vAlign w:val="bottom"/>
          </w:tcPr>
          <w:p>
            <w:pPr>
              <w:spacing w:after="0"/>
              <w:rPr>
                <w:sz w:val="1"/>
                <w:szCs w:val="1"/>
                <w:color w:val="auto"/>
              </w:rPr>
            </w:pPr>
          </w:p>
        </w:tc>
      </w:tr>
      <w:tr>
        <w:trPr>
          <w:trHeight w:val="148"/>
        </w:trPr>
        <w:tc>
          <w:tcPr>
            <w:tcW w:w="9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960" w:type="dxa"/>
            <w:vAlign w:val="bottom"/>
            <w:tcBorders>
              <w:bottom w:val="single" w:sz="8" w:color="CCEEFF"/>
            </w:tcBorders>
            <w:gridSpan w:val="21"/>
            <w:vMerge w:val="restart"/>
            <w:shd w:val="clear" w:color="auto" w:fill="CCEEFF"/>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Amended and Restated Articles of Association of Kornit Digital Ltd.</w:t>
              </w:r>
            </w:hyperlink>
          </w:p>
        </w:tc>
        <w:tc>
          <w:tcPr>
            <w:tcW w:w="180" w:type="dxa"/>
            <w:vAlign w:val="bottom"/>
            <w:tcBorders>
              <w:bottom w:val="single" w:sz="8" w:color="0000EE"/>
            </w:tcBorders>
            <w:shd w:val="clear" w:color="auto" w:fill="CCEEFF"/>
          </w:tcPr>
          <w:p>
            <w:pPr>
              <w:jc w:val="center"/>
              <w:spacing w:after="0" w:line="129" w:lineRule="exact"/>
              <w:rPr>
                <w:rFonts w:ascii="Arial" w:cs="Arial" w:eastAsia="Arial" w:hAnsi="Arial"/>
                <w:sz w:val="14"/>
                <w:szCs w:val="14"/>
                <w:color w:val="0000EE"/>
                <w:w w:val="93"/>
              </w:rPr>
            </w:pPr>
            <w:hyperlink r:id="rId138">
              <w:r>
                <w:rPr>
                  <w:rFonts w:ascii="Arial" w:cs="Arial" w:eastAsia="Arial" w:hAnsi="Arial"/>
                  <w:sz w:val="14"/>
                  <w:szCs w:val="14"/>
                  <w:color w:val="0000EE"/>
                  <w:w w:val="93"/>
                </w:rPr>
                <w:t>(1)</w:t>
              </w:r>
            </w:hyperlink>
          </w:p>
        </w:tc>
        <w:tc>
          <w:tcPr>
            <w:tcW w:w="172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5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960" w:type="dxa"/>
            <w:vAlign w:val="bottom"/>
            <w:tcBorders>
              <w:bottom w:val="single" w:sz="8" w:color="0000EE"/>
            </w:tcBorders>
            <w:gridSpan w:val="21"/>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9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7"/>
              </w:rPr>
              <w:t>2.1</w:t>
            </w: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140" w:type="dxa"/>
            <w:vAlign w:val="bottom"/>
            <w:tcBorders>
              <w:top w:val="single" w:sz="8" w:color="CCEEFF"/>
              <w:bottom w:val="single" w:sz="8" w:color="CCEEFF"/>
            </w:tcBorders>
            <w:gridSpan w:val="19"/>
            <w:vMerge w:val="restart"/>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Specimen ordinary share certificate of Kornit Digital Ltd.</w:t>
              </w:r>
            </w:hyperlink>
          </w:p>
        </w:tc>
        <w:tc>
          <w:tcPr>
            <w:tcW w:w="1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93"/>
              </w:rPr>
            </w:pPr>
            <w:hyperlink r:id="rId139">
              <w:r>
                <w:rPr>
                  <w:rFonts w:ascii="Arial" w:cs="Arial" w:eastAsia="Arial" w:hAnsi="Arial"/>
                  <w:sz w:val="14"/>
                  <w:szCs w:val="14"/>
                  <w:color w:val="0000EE"/>
                  <w:w w:val="93"/>
                </w:rPr>
                <w:t>(2)</w:t>
              </w:r>
            </w:hyperlink>
          </w:p>
        </w:tc>
        <w:tc>
          <w:tcPr>
            <w:tcW w:w="2540" w:type="dxa"/>
            <w:vAlign w:val="bottom"/>
            <w:tcBorders>
              <w:top w:val="single" w:sz="8" w:color="CCEEFF"/>
              <w:bottom w:val="single" w:sz="8" w:color="CCEEFF"/>
            </w:tcBorders>
            <w:gridSpan w:val="3"/>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5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140" w:type="dxa"/>
            <w:vAlign w:val="bottom"/>
            <w:tcBorders>
              <w:bottom w:val="single" w:sz="8" w:color="0000EE"/>
            </w:tcBorders>
            <w:gridSpan w:val="19"/>
            <w:vMerge w:val="continue"/>
          </w:tcPr>
          <w:p>
            <w:pPr>
              <w:spacing w:after="0"/>
              <w:rPr>
                <w:sz w:val="4"/>
                <w:szCs w:val="4"/>
                <w:color w:val="auto"/>
              </w:rPr>
            </w:pPr>
          </w:p>
        </w:tc>
        <w:tc>
          <w:tcPr>
            <w:tcW w:w="18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2.2</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w:anchor="page161">
              <w:r>
                <w:rPr>
                  <w:rFonts w:ascii="Arial" w:cs="Arial" w:eastAsia="Arial" w:hAnsi="Arial"/>
                  <w:sz w:val="18"/>
                  <w:szCs w:val="18"/>
                  <w:color w:val="0000EE"/>
                  <w:w w:val="93"/>
                </w:rPr>
                <w:t>Description of ordinary shares of Kornit Digital Ltd.</w:t>
              </w:r>
            </w:hyperlink>
          </w:p>
        </w:tc>
        <w:tc>
          <w:tcPr>
            <w:tcW w:w="6320" w:type="dxa"/>
            <w:vAlign w:val="bottom"/>
            <w:tcBorders>
              <w:bottom w:val="single" w:sz="8" w:color="CCEEFF"/>
              <w:right w:val="single" w:sz="8" w:color="CCEEFF"/>
            </w:tcBorders>
            <w:gridSpan w:val="2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12"/>
            <w:vMerge w:val="restart"/>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Form of Indemnification Agreement</w:t>
              </w:r>
            </w:hyperlink>
          </w:p>
        </w:tc>
        <w:tc>
          <w:tcPr>
            <w:tcW w:w="180" w:type="dxa"/>
            <w:vAlign w:val="bottom"/>
            <w:tcBorders>
              <w:bottom w:val="single" w:sz="8" w:color="0000EE"/>
            </w:tcBorders>
            <w:gridSpan w:val="2"/>
          </w:tcPr>
          <w:p>
            <w:pPr>
              <w:jc w:val="right"/>
              <w:spacing w:after="0" w:line="129" w:lineRule="exact"/>
              <w:rPr>
                <w:rFonts w:ascii="Arial" w:cs="Arial" w:eastAsia="Arial" w:hAnsi="Arial"/>
                <w:sz w:val="14"/>
                <w:szCs w:val="14"/>
                <w:color w:val="0000EE"/>
                <w:w w:val="93"/>
              </w:rPr>
            </w:pPr>
            <w:hyperlink r:id="rId140">
              <w:r>
                <w:rPr>
                  <w:rFonts w:ascii="Arial" w:cs="Arial" w:eastAsia="Arial" w:hAnsi="Arial"/>
                  <w:sz w:val="14"/>
                  <w:szCs w:val="14"/>
                  <w:color w:val="0000EE"/>
                  <w:w w:val="93"/>
                </w:rPr>
                <w:t>(2)</w:t>
              </w:r>
            </w:hyperlink>
          </w:p>
        </w:tc>
        <w:tc>
          <w:tcPr>
            <w:tcW w:w="1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960" w:type="dxa"/>
            <w:vAlign w:val="bottom"/>
            <w:gridSpan w:val="2"/>
            <w:vMerge w:val="restart"/>
          </w:tcPr>
          <w:p>
            <w:pPr>
              <w:spacing w:after="0"/>
              <w:rPr>
                <w:sz w:val="12"/>
                <w:szCs w:val="12"/>
                <w:color w:val="auto"/>
              </w:rPr>
            </w:pPr>
          </w:p>
        </w:tc>
        <w:tc>
          <w:tcPr>
            <w:tcW w:w="2780" w:type="dxa"/>
            <w:vAlign w:val="bottom"/>
            <w:gridSpan w:val="5"/>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56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9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tcBorders>
              <w:bottom w:val="single" w:sz="8" w:color="0000EE"/>
            </w:tcBorders>
            <w:gridSpan w:val="1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780" w:type="dxa"/>
            <w:vAlign w:val="bottom"/>
            <w:gridSpan w:val="5"/>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gridSpan w:val="6"/>
            <w:vMerge w:val="restart"/>
            <w:shd w:val="clear" w:color="auto" w:fill="CCEEFF"/>
          </w:tcPr>
          <w:p>
            <w:pPr>
              <w:spacing w:after="0"/>
              <w:rPr>
                <w:rFonts w:ascii="Arial" w:cs="Arial" w:eastAsia="Arial" w:hAnsi="Arial"/>
                <w:sz w:val="18"/>
                <w:szCs w:val="18"/>
                <w:color w:val="0000EE"/>
                <w:w w:val="88"/>
              </w:rPr>
            </w:pPr>
            <w:hyperlink r:id="rId141">
              <w:r>
                <w:rPr>
                  <w:rFonts w:ascii="Arial" w:cs="Arial" w:eastAsia="Arial" w:hAnsi="Arial"/>
                  <w:sz w:val="18"/>
                  <w:szCs w:val="18"/>
                  <w:color w:val="0000EE"/>
                  <w:w w:val="88"/>
                </w:rPr>
                <w:t>2004 Share Option Plan</w:t>
              </w:r>
            </w:hyperlink>
          </w:p>
        </w:tc>
        <w:tc>
          <w:tcPr>
            <w:tcW w:w="20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93"/>
              </w:rPr>
            </w:pPr>
            <w:hyperlink r:id="rId141">
              <w:r>
                <w:rPr>
                  <w:rFonts w:ascii="Arial" w:cs="Arial" w:eastAsia="Arial" w:hAnsi="Arial"/>
                  <w:sz w:val="14"/>
                  <w:szCs w:val="14"/>
                  <w:color w:val="0000EE"/>
                  <w:w w:val="93"/>
                </w:rPr>
                <w:t>(3)</w:t>
              </w:r>
            </w:hyperlink>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2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40" w:type="dxa"/>
            <w:vAlign w:val="bottom"/>
            <w:tcBorders>
              <w:bottom w:val="single" w:sz="8" w:color="CCEEFF"/>
            </w:tcBorders>
            <w:gridSpan w:val="2"/>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960" w:type="dxa"/>
            <w:vAlign w:val="bottom"/>
            <w:tcBorders>
              <w:bottom w:val="single" w:sz="8" w:color="CCEEFF"/>
            </w:tcBorders>
            <w:gridSpan w:val="2"/>
            <w:vMerge w:val="restart"/>
            <w:shd w:val="clear" w:color="auto" w:fill="CCEEFF"/>
          </w:tcPr>
          <w:p>
            <w:pPr>
              <w:spacing w:after="0"/>
              <w:rPr>
                <w:sz w:val="12"/>
                <w:szCs w:val="12"/>
                <w:color w:val="auto"/>
              </w:rPr>
            </w:pPr>
          </w:p>
        </w:tc>
        <w:tc>
          <w:tcPr>
            <w:tcW w:w="2780" w:type="dxa"/>
            <w:vAlign w:val="bottom"/>
            <w:tcBorders>
              <w:bottom w:val="single" w:sz="8" w:color="CCEEFF"/>
            </w:tcBorders>
            <w:gridSpan w:val="5"/>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5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0000EE"/>
            </w:tcBorders>
            <w:gridSpan w:val="6"/>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960" w:type="dxa"/>
            <w:vAlign w:val="bottom"/>
            <w:tcBorders>
              <w:bottom w:val="single" w:sz="8" w:color="CCEEFF"/>
            </w:tcBorders>
            <w:gridSpan w:val="2"/>
            <w:vMerge w:val="continue"/>
            <w:shd w:val="clear" w:color="auto" w:fill="CCEEFF"/>
          </w:tcPr>
          <w:p>
            <w:pPr>
              <w:spacing w:after="0"/>
              <w:rPr>
                <w:sz w:val="5"/>
                <w:szCs w:val="5"/>
                <w:color w:val="auto"/>
              </w:rPr>
            </w:pPr>
          </w:p>
        </w:tc>
        <w:tc>
          <w:tcPr>
            <w:tcW w:w="2780" w:type="dxa"/>
            <w:vAlign w:val="bottom"/>
            <w:tcBorders>
              <w:bottom w:val="single" w:sz="8" w:color="CCEEFF"/>
            </w:tcBorders>
            <w:gridSpan w:val="5"/>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9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7"/>
              </w:rPr>
              <w:t>4.3</w:t>
            </w: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900" w:type="dxa"/>
            <w:vAlign w:val="bottom"/>
            <w:tcBorders>
              <w:top w:val="single" w:sz="8" w:color="CCEEFF"/>
              <w:bottom w:val="single" w:sz="8" w:color="CCEEFF"/>
            </w:tcBorders>
            <w:gridSpan w:val="7"/>
            <w:vMerge w:val="restart"/>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2012 Share Incentive Plan</w:t>
              </w:r>
            </w:hyperlink>
          </w:p>
        </w:tc>
        <w:tc>
          <w:tcPr>
            <w:tcW w:w="18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93"/>
              </w:rPr>
            </w:pPr>
            <w:hyperlink r:id="rId142">
              <w:r>
                <w:rPr>
                  <w:rFonts w:ascii="Arial" w:cs="Arial" w:eastAsia="Arial" w:hAnsi="Arial"/>
                  <w:sz w:val="14"/>
                  <w:szCs w:val="14"/>
                  <w:color w:val="0000EE"/>
                  <w:w w:val="93"/>
                </w:rPr>
                <w:t>(3)</w:t>
              </w:r>
            </w:hyperlink>
          </w:p>
        </w:tc>
        <w:tc>
          <w:tcPr>
            <w:tcW w:w="2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240" w:type="dxa"/>
            <w:vAlign w:val="bottom"/>
            <w:tcBorders>
              <w:top w:val="single" w:sz="8" w:color="CCEEFF"/>
              <w:bottom w:val="single" w:sz="8" w:color="CCEEFF"/>
            </w:tcBorders>
            <w:gridSpan w:val="2"/>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960" w:type="dxa"/>
            <w:vAlign w:val="bottom"/>
            <w:tcBorders>
              <w:top w:val="single" w:sz="8" w:color="CCEEFF"/>
              <w:bottom w:val="single" w:sz="8" w:color="CCEEFF"/>
            </w:tcBorders>
            <w:gridSpan w:val="2"/>
            <w:vMerge w:val="restart"/>
          </w:tcPr>
          <w:p>
            <w:pPr>
              <w:spacing w:after="0"/>
              <w:rPr>
                <w:sz w:val="12"/>
                <w:szCs w:val="12"/>
                <w:color w:val="auto"/>
              </w:rPr>
            </w:pPr>
          </w:p>
        </w:tc>
        <w:tc>
          <w:tcPr>
            <w:tcW w:w="2780" w:type="dxa"/>
            <w:vAlign w:val="bottom"/>
            <w:tcBorders>
              <w:top w:val="single" w:sz="8" w:color="CCEEFF"/>
              <w:bottom w:val="single" w:sz="8" w:color="CCEEFF"/>
            </w:tcBorders>
            <w:gridSpan w:val="5"/>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5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0000EE"/>
            </w:tcBorders>
            <w:gridSpan w:val="7"/>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780" w:type="dxa"/>
            <w:vAlign w:val="bottom"/>
            <w:gridSpan w:val="5"/>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520" w:type="dxa"/>
            <w:vAlign w:val="bottom"/>
            <w:tcBorders>
              <w:bottom w:val="single" w:sz="8" w:color="CCEEFF"/>
            </w:tcBorders>
            <w:gridSpan w:val="11"/>
            <w:vMerge w:val="restart"/>
            <w:shd w:val="clear" w:color="auto" w:fill="CCEEFF"/>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2015 Incentive Compensation Plan</w:t>
              </w:r>
            </w:hyperlink>
          </w:p>
        </w:tc>
        <w:tc>
          <w:tcPr>
            <w:tcW w:w="1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93"/>
              </w:rPr>
            </w:pPr>
            <w:hyperlink r:id="rId143">
              <w:r>
                <w:rPr>
                  <w:rFonts w:ascii="Arial" w:cs="Arial" w:eastAsia="Arial" w:hAnsi="Arial"/>
                  <w:sz w:val="14"/>
                  <w:szCs w:val="14"/>
                  <w:color w:val="0000EE"/>
                  <w:w w:val="93"/>
                </w:rPr>
                <w:t>(1)</w:t>
              </w:r>
            </w:hyperlink>
          </w:p>
        </w:tc>
        <w:tc>
          <w:tcPr>
            <w:tcW w:w="240" w:type="dxa"/>
            <w:vAlign w:val="bottom"/>
            <w:tcBorders>
              <w:bottom w:val="single" w:sz="8" w:color="CCEEFF"/>
            </w:tcBorders>
            <w:gridSpan w:val="2"/>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960" w:type="dxa"/>
            <w:vAlign w:val="bottom"/>
            <w:tcBorders>
              <w:bottom w:val="single" w:sz="8" w:color="CCEEFF"/>
            </w:tcBorders>
            <w:gridSpan w:val="2"/>
            <w:vMerge w:val="restart"/>
            <w:shd w:val="clear" w:color="auto" w:fill="CCEEFF"/>
          </w:tcPr>
          <w:p>
            <w:pPr>
              <w:spacing w:after="0"/>
              <w:rPr>
                <w:sz w:val="12"/>
                <w:szCs w:val="12"/>
                <w:color w:val="auto"/>
              </w:rPr>
            </w:pPr>
          </w:p>
        </w:tc>
        <w:tc>
          <w:tcPr>
            <w:tcW w:w="2780" w:type="dxa"/>
            <w:vAlign w:val="bottom"/>
            <w:tcBorders>
              <w:bottom w:val="single" w:sz="8" w:color="CCEEFF"/>
            </w:tcBorders>
            <w:gridSpan w:val="5"/>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5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520" w:type="dxa"/>
            <w:vAlign w:val="bottom"/>
            <w:tcBorders>
              <w:bottom w:val="single" w:sz="8" w:color="0000EE"/>
            </w:tcBorders>
            <w:gridSpan w:val="11"/>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960" w:type="dxa"/>
            <w:vAlign w:val="bottom"/>
            <w:tcBorders>
              <w:bottom w:val="single" w:sz="8" w:color="CCEEFF"/>
            </w:tcBorders>
            <w:gridSpan w:val="2"/>
            <w:vMerge w:val="continue"/>
            <w:shd w:val="clear" w:color="auto" w:fill="CCEEFF"/>
          </w:tcPr>
          <w:p>
            <w:pPr>
              <w:spacing w:after="0"/>
              <w:rPr>
                <w:sz w:val="5"/>
                <w:szCs w:val="5"/>
                <w:color w:val="auto"/>
              </w:rPr>
            </w:pPr>
          </w:p>
        </w:tc>
        <w:tc>
          <w:tcPr>
            <w:tcW w:w="2780" w:type="dxa"/>
            <w:vAlign w:val="bottom"/>
            <w:tcBorders>
              <w:bottom w:val="single" w:sz="8" w:color="CCEEFF"/>
            </w:tcBorders>
            <w:gridSpan w:val="5"/>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9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7"/>
              </w:rPr>
              <w:t>4.5</w:t>
            </w: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940" w:type="dxa"/>
            <w:vAlign w:val="bottom"/>
            <w:tcBorders>
              <w:top w:val="single" w:sz="8" w:color="CCEEFF"/>
              <w:bottom w:val="single" w:sz="8" w:color="CCEEFF"/>
            </w:tcBorders>
            <w:gridSpan w:val="15"/>
            <w:vMerge w:val="restart"/>
          </w:tcPr>
          <w:p>
            <w:pPr>
              <w:spacing w:after="0"/>
              <w:rPr>
                <w:rFonts w:ascii="Arial" w:cs="Arial" w:eastAsia="Arial" w:hAnsi="Arial"/>
                <w:sz w:val="18"/>
                <w:szCs w:val="18"/>
                <w:color w:val="0000EE"/>
                <w:w w:val="93"/>
              </w:rPr>
            </w:pPr>
            <w:hyperlink r:id="rId144">
              <w:r>
                <w:rPr>
                  <w:rFonts w:ascii="Arial" w:cs="Arial" w:eastAsia="Arial" w:hAnsi="Arial"/>
                  <w:sz w:val="18"/>
                  <w:szCs w:val="18"/>
                  <w:color w:val="0000EE"/>
                  <w:w w:val="93"/>
                </w:rPr>
                <w:t>Kornit Digital Ltd. Compensation Policy</w:t>
              </w:r>
            </w:hyperlink>
          </w:p>
        </w:tc>
        <w:tc>
          <w:tcPr>
            <w:tcW w:w="1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93"/>
              </w:rPr>
            </w:pPr>
            <w:hyperlink r:id="rId144">
              <w:r>
                <w:rPr>
                  <w:rFonts w:ascii="Arial" w:cs="Arial" w:eastAsia="Arial" w:hAnsi="Arial"/>
                  <w:sz w:val="14"/>
                  <w:szCs w:val="14"/>
                  <w:color w:val="0000EE"/>
                  <w:w w:val="93"/>
                </w:rPr>
                <w:t>(4)</w:t>
              </w:r>
            </w:hyperlink>
          </w:p>
        </w:tc>
        <w:tc>
          <w:tcPr>
            <w:tcW w:w="960" w:type="dxa"/>
            <w:vAlign w:val="bottom"/>
            <w:tcBorders>
              <w:top w:val="single" w:sz="8" w:color="CCEEFF"/>
              <w:bottom w:val="single" w:sz="8" w:color="CCEEFF"/>
            </w:tcBorders>
            <w:gridSpan w:val="2"/>
            <w:vMerge w:val="restart"/>
          </w:tcPr>
          <w:p>
            <w:pPr>
              <w:spacing w:after="0"/>
              <w:rPr>
                <w:sz w:val="12"/>
                <w:szCs w:val="12"/>
                <w:color w:val="auto"/>
              </w:rPr>
            </w:pPr>
          </w:p>
        </w:tc>
        <w:tc>
          <w:tcPr>
            <w:tcW w:w="2780" w:type="dxa"/>
            <w:vAlign w:val="bottom"/>
            <w:tcBorders>
              <w:top w:val="single" w:sz="8" w:color="CCEEFF"/>
              <w:bottom w:val="single" w:sz="8" w:color="CCEEFF"/>
            </w:tcBorders>
            <w:gridSpan w:val="5"/>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5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40" w:type="dxa"/>
            <w:vAlign w:val="bottom"/>
            <w:tcBorders>
              <w:bottom w:val="single" w:sz="8" w:color="0000EE"/>
            </w:tcBorders>
            <w:gridSpan w:val="15"/>
            <w:vMerge w:val="continue"/>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780" w:type="dxa"/>
            <w:vAlign w:val="bottom"/>
            <w:gridSpan w:val="5"/>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40"/>
            <w:shd w:val="clear" w:color="auto" w:fill="CCEEFF"/>
          </w:tcPr>
          <w:p>
            <w:pPr>
              <w:spacing w:after="0" w:line="17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English summary of the Office and Parking Space Lease Agreement dated as of December 17, 2007, by and between the Registrant and</w:t>
              </w:r>
            </w:hyperlink>
          </w:p>
        </w:tc>
        <w:tc>
          <w:tcPr>
            <w:tcW w:w="0" w:type="dxa"/>
            <w:vAlign w:val="bottom"/>
          </w:tcPr>
          <w:p>
            <w:pPr>
              <w:spacing w:after="0"/>
              <w:rPr>
                <w:sz w:val="1"/>
                <w:szCs w:val="1"/>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40"/>
            <w:shd w:val="clear" w:color="auto" w:fill="CCEEFF"/>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Industrial Building Corporation Ltd. as amended by Addendum, dated 2007, Addendum to Lease Agreement, dated 2007, Addendum to</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40"/>
            <w:shd w:val="clear" w:color="auto" w:fill="CCEEFF"/>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Lease Agreement, dated March 8, 2012, Addendum to Lease Agreement, dated 2012, Addendum to Lease Agreement, dated December 19,</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40"/>
            <w:shd w:val="clear" w:color="auto" w:fill="CCEEFF"/>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2012, Addendum to Lease Agreement, dated May 20, 2013, Addendum to Lease Agreement, dated January 12, 2014, Addendum to Lease</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40"/>
            <w:shd w:val="clear" w:color="auto" w:fill="CCEEFF"/>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Agreement, dated January 12, 2014, Addendum to Lease Agreement, dated December 27, 2015, Addendum to Lease Agreement, dated</w:t>
              </w:r>
            </w:hyperlink>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0"/>
            <w:shd w:val="clear" w:color="auto" w:fill="CCEEFF"/>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December 28, 2015, Addendum to the Lease Agreement dated October 17, 2017, Addendum dated February 21, 2018, Addendum to the</w:t>
              </w:r>
            </w:hyperlink>
          </w:p>
        </w:tc>
        <w:tc>
          <w:tcPr>
            <w:tcW w:w="0" w:type="dxa"/>
            <w:vAlign w:val="bottom"/>
          </w:tcPr>
          <w:p>
            <w:pPr>
              <w:spacing w:after="0"/>
              <w:rPr>
                <w:sz w:val="1"/>
                <w:szCs w:val="1"/>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40"/>
            <w:shd w:val="clear" w:color="auto" w:fill="CCEEFF"/>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Lease Agreement, dated April 23, 2018, Addendum to the Lease Agreement dated December 26, 2018, Addendum to the Lease Agreement,</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40"/>
            <w:shd w:val="clear" w:color="auto" w:fill="CCEEFF"/>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dated January 3, 2019, Addendum to the Lease Agreement dated September 16, 2019 and Addendum to the Lease Agreement, dated</w:t>
              </w:r>
            </w:hyperlink>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0"/>
            <w:shd w:val="clear" w:color="auto" w:fill="CCEEFF"/>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November 28, 2019.</w:t>
              </w:r>
            </w:hyperlink>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7"/>
              </w:rPr>
              <w:t>4.7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40"/>
          </w:tcPr>
          <w:p>
            <w:pPr>
              <w:spacing w:after="0" w:line="17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English summary of the Lease Agreement, dated March 25, 2010, by and between the Registrant and Benvenisti Engineering Ltd. as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40"/>
          </w:tcPr>
          <w:p>
            <w:pPr>
              <w:spacing w:after="0" w:line="196"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amended by Addendum to Lease Agreement, dated November 21, 2011, Addendum to Lease Agreement, dated September 16, 2014,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40"/>
          </w:tcPr>
          <w:p>
            <w:pPr>
              <w:spacing w:after="0" w:line="196" w:lineRule="exact"/>
              <w:rPr>
                <w:rFonts w:ascii="Arial" w:cs="Arial" w:eastAsia="Arial" w:hAnsi="Arial"/>
                <w:sz w:val="18"/>
                <w:szCs w:val="18"/>
                <w:color w:val="0000EE"/>
                <w:w w:val="97"/>
              </w:rPr>
            </w:pPr>
            <w:hyperlink r:id="rId145">
              <w:r>
                <w:rPr>
                  <w:rFonts w:ascii="Arial" w:cs="Arial" w:eastAsia="Arial" w:hAnsi="Arial"/>
                  <w:sz w:val="18"/>
                  <w:szCs w:val="18"/>
                  <w:color w:val="0000EE"/>
                  <w:w w:val="97"/>
                </w:rPr>
                <w:t>Addendum to the Lease Agreement dated March 16, 2015, an Addendum to the Lease Agreement dated August 31, 2017, and an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Addendum to the Lease Agreement dated June 24, 2018.</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300" w:type="dxa"/>
            <w:vAlign w:val="bottom"/>
            <w:tcBorders>
              <w:bottom w:val="single" w:sz="8" w:color="CCEEFF"/>
            </w:tcBorders>
            <w:gridSpan w:val="25"/>
            <w:vMerge w:val="restart"/>
            <w:shd w:val="clear" w:color="auto" w:fill="CCEEFF"/>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OEM Supply Agreement, dated December 3, 2015, among the Registrant and FujiFilm Dimatix, Inc.</w:t>
              </w:r>
            </w:hyperlink>
          </w:p>
        </w:tc>
        <w:tc>
          <w:tcPr>
            <w:tcW w:w="260" w:type="dxa"/>
            <w:vAlign w:val="bottom"/>
            <w:tcBorders>
              <w:bottom w:val="single" w:sz="8" w:color="0000EE"/>
            </w:tcBorders>
            <w:shd w:val="clear" w:color="auto" w:fill="CCEEFF"/>
          </w:tcPr>
          <w:p>
            <w:pPr>
              <w:spacing w:after="0" w:line="129" w:lineRule="exact"/>
              <w:rPr>
                <w:rFonts w:ascii="Arial" w:cs="Arial" w:eastAsia="Arial" w:hAnsi="Arial"/>
                <w:sz w:val="14"/>
                <w:szCs w:val="14"/>
                <w:color w:val="0000EE"/>
                <w:w w:val="96"/>
              </w:rPr>
            </w:pPr>
            <w:hyperlink r:id="rId146">
              <w:r>
                <w:rPr>
                  <w:rFonts w:ascii="Arial" w:cs="Arial" w:eastAsia="Arial" w:hAnsi="Arial"/>
                  <w:sz w:val="14"/>
                  <w:szCs w:val="14"/>
                  <w:color w:val="0000EE"/>
                  <w:w w:val="96"/>
                </w:rPr>
                <w:t>†(5)</w:t>
              </w:r>
            </w:hyperlink>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5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300" w:type="dxa"/>
            <w:vAlign w:val="bottom"/>
            <w:tcBorders>
              <w:bottom w:val="single" w:sz="8" w:color="0000EE"/>
            </w:tcBorders>
            <w:gridSpan w:val="25"/>
            <w:vMerge w:val="continue"/>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9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7"/>
              </w:rPr>
              <w:t>4.9</w:t>
            </w: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160" w:type="dxa"/>
            <w:vAlign w:val="bottom"/>
            <w:tcBorders>
              <w:top w:val="single" w:sz="8" w:color="CCEEFF"/>
              <w:bottom w:val="single" w:sz="8" w:color="CCEEFF"/>
            </w:tcBorders>
            <w:gridSpan w:val="29"/>
            <w:vMerge w:val="restart"/>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Manufacturing Services Agreement, dated May 2015, by and between the Registrant and Flextronics (Israel) Ltd.</w:t>
              </w:r>
            </w:hyperlink>
          </w:p>
        </w:tc>
        <w:tc>
          <w:tcPr>
            <w:tcW w:w="260" w:type="dxa"/>
            <w:vAlign w:val="bottom"/>
            <w:tcBorders>
              <w:top w:val="single" w:sz="8" w:color="CCEEFF"/>
              <w:bottom w:val="single" w:sz="8" w:color="0000EE"/>
            </w:tcBorders>
            <w:gridSpan w:val="3"/>
          </w:tcPr>
          <w:p>
            <w:pPr>
              <w:jc w:val="right"/>
              <w:spacing w:after="0" w:line="129" w:lineRule="exact"/>
              <w:rPr>
                <w:rFonts w:ascii="Arial" w:cs="Arial" w:eastAsia="Arial" w:hAnsi="Arial"/>
                <w:sz w:val="14"/>
                <w:szCs w:val="14"/>
                <w:color w:val="0000EE"/>
                <w:w w:val="96"/>
              </w:rPr>
            </w:pPr>
            <w:hyperlink r:id="rId147">
              <w:r>
                <w:rPr>
                  <w:rFonts w:ascii="Arial" w:cs="Arial" w:eastAsia="Arial" w:hAnsi="Arial"/>
                  <w:sz w:val="14"/>
                  <w:szCs w:val="14"/>
                  <w:color w:val="0000EE"/>
                  <w:w w:val="96"/>
                </w:rPr>
                <w:t>†(6)</w:t>
              </w:r>
            </w:hyperlink>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5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160" w:type="dxa"/>
            <w:vAlign w:val="bottom"/>
            <w:tcBorders>
              <w:bottom w:val="single" w:sz="8" w:color="0000EE"/>
            </w:tcBorders>
            <w:gridSpan w:val="29"/>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4.10</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40"/>
            <w:shd w:val="clear" w:color="auto" w:fill="CCEEFF"/>
          </w:tcPr>
          <w:p>
            <w:pPr>
              <w:spacing w:after="0" w:line="17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English translation of Hebrew Original of Agreement, dated December 22, 2016 between the Registrant and B.G. (Israel) Technologies</w:t>
              </w:r>
            </w:hyperlink>
          </w:p>
        </w:tc>
        <w:tc>
          <w:tcPr>
            <w:tcW w:w="0" w:type="dxa"/>
            <w:vAlign w:val="bottom"/>
          </w:tcPr>
          <w:p>
            <w:pPr>
              <w:spacing w:after="0"/>
              <w:rPr>
                <w:sz w:val="1"/>
                <w:szCs w:val="1"/>
                <w:color w:val="auto"/>
              </w:rPr>
            </w:pPr>
          </w:p>
        </w:tc>
      </w:tr>
      <w:tr>
        <w:trPr>
          <w:trHeight w:val="169"/>
        </w:trPr>
        <w:tc>
          <w:tcPr>
            <w:tcW w:w="9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vMerge w:val="restart"/>
            <w:shd w:val="clear" w:color="auto" w:fill="CCEEFF"/>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Ltd.</w:t>
              </w:r>
            </w:hyperlink>
          </w:p>
        </w:tc>
        <w:tc>
          <w:tcPr>
            <w:tcW w:w="240" w:type="dxa"/>
            <w:vAlign w:val="bottom"/>
            <w:tcBorders>
              <w:bottom w:val="single" w:sz="8" w:color="0000EE"/>
            </w:tcBorders>
            <w:gridSpan w:val="2"/>
            <w:shd w:val="clear" w:color="auto" w:fill="CCEEFF"/>
          </w:tcPr>
          <w:p>
            <w:pPr>
              <w:spacing w:after="0" w:line="156" w:lineRule="exact"/>
              <w:rPr>
                <w:rFonts w:ascii="Arial" w:cs="Arial" w:eastAsia="Arial" w:hAnsi="Arial"/>
                <w:sz w:val="15"/>
                <w:szCs w:val="15"/>
                <w:color w:val="0000EE"/>
                <w:w w:val="82"/>
              </w:rPr>
            </w:pPr>
            <w:hyperlink r:id="rId148">
              <w:r>
                <w:rPr>
                  <w:rFonts w:ascii="Arial" w:cs="Arial" w:eastAsia="Arial" w:hAnsi="Arial"/>
                  <w:sz w:val="15"/>
                  <w:szCs w:val="15"/>
                  <w:color w:val="0000EE"/>
                  <w:w w:val="82"/>
                </w:rPr>
                <w:t>†(7)</w:t>
              </w:r>
            </w:hyperlink>
          </w:p>
        </w:tc>
        <w:tc>
          <w:tcPr>
            <w:tcW w:w="500" w:type="dxa"/>
            <w:vAlign w:val="bottom"/>
            <w:tcBorders>
              <w:bottom w:val="single" w:sz="8" w:color="CCEEFF"/>
            </w:tcBorders>
            <w:vMerge w:val="restart"/>
            <w:shd w:val="clear" w:color="auto" w:fill="CCEEFF"/>
          </w:tcPr>
          <w:p>
            <w:pPr>
              <w:spacing w:after="0"/>
              <w:rPr>
                <w:sz w:val="14"/>
                <w:szCs w:val="14"/>
                <w:color w:val="auto"/>
              </w:rPr>
            </w:pPr>
          </w:p>
        </w:tc>
        <w:tc>
          <w:tcPr>
            <w:tcW w:w="1280" w:type="dxa"/>
            <w:vAlign w:val="bottom"/>
            <w:tcBorders>
              <w:bottom w:val="single" w:sz="8" w:color="CCEEFF"/>
            </w:tcBorders>
            <w:gridSpan w:val="6"/>
            <w:vMerge w:val="restart"/>
            <w:shd w:val="clear" w:color="auto" w:fill="CCEEFF"/>
          </w:tcPr>
          <w:p>
            <w:pPr>
              <w:spacing w:after="0"/>
              <w:rPr>
                <w:sz w:val="14"/>
                <w:szCs w:val="14"/>
                <w:color w:val="auto"/>
              </w:rPr>
            </w:pPr>
          </w:p>
        </w:tc>
        <w:tc>
          <w:tcPr>
            <w:tcW w:w="300" w:type="dxa"/>
            <w:vAlign w:val="bottom"/>
            <w:tcBorders>
              <w:bottom w:val="single" w:sz="8" w:color="CCEEFF"/>
            </w:tcBorders>
            <w:gridSpan w:val="2"/>
            <w:vMerge w:val="restart"/>
            <w:shd w:val="clear" w:color="auto" w:fill="CCEEFF"/>
          </w:tcPr>
          <w:p>
            <w:pPr>
              <w:spacing w:after="0"/>
              <w:rPr>
                <w:sz w:val="14"/>
                <w:szCs w:val="14"/>
                <w:color w:val="auto"/>
              </w:rPr>
            </w:pPr>
          </w:p>
        </w:tc>
        <w:tc>
          <w:tcPr>
            <w:tcW w:w="4240" w:type="dxa"/>
            <w:vAlign w:val="bottom"/>
            <w:tcBorders>
              <w:bottom w:val="single" w:sz="8" w:color="CCEEFF"/>
            </w:tcBorders>
            <w:gridSpan w:val="11"/>
            <w:vMerge w:val="restart"/>
            <w:shd w:val="clear" w:color="auto" w:fill="CCEEFF"/>
          </w:tcPr>
          <w:p>
            <w:pPr>
              <w:spacing w:after="0"/>
              <w:rPr>
                <w:sz w:val="14"/>
                <w:szCs w:val="14"/>
                <w:color w:val="auto"/>
              </w:rPr>
            </w:pPr>
          </w:p>
        </w:tc>
        <w:tc>
          <w:tcPr>
            <w:tcW w:w="180" w:type="dxa"/>
            <w:vAlign w:val="bottom"/>
            <w:tcBorders>
              <w:bottom w:val="single" w:sz="8" w:color="CCEEFF"/>
            </w:tcBorders>
            <w:vMerge w:val="restart"/>
            <w:shd w:val="clear" w:color="auto" w:fill="CCEEFF"/>
          </w:tcPr>
          <w:p>
            <w:pPr>
              <w:spacing w:after="0"/>
              <w:rPr>
                <w:sz w:val="14"/>
                <w:szCs w:val="14"/>
                <w:color w:val="auto"/>
              </w:rPr>
            </w:pPr>
          </w:p>
        </w:tc>
        <w:tc>
          <w:tcPr>
            <w:tcW w:w="600" w:type="dxa"/>
            <w:vAlign w:val="bottom"/>
            <w:tcBorders>
              <w:bottom w:val="single" w:sz="8" w:color="CCEEFF"/>
            </w:tcBorders>
            <w:gridSpan w:val="3"/>
            <w:vMerge w:val="restart"/>
            <w:shd w:val="clear" w:color="auto" w:fill="CCEEFF"/>
          </w:tcPr>
          <w:p>
            <w:pPr>
              <w:spacing w:after="0"/>
              <w:rPr>
                <w:sz w:val="14"/>
                <w:szCs w:val="14"/>
                <w:color w:val="auto"/>
              </w:rPr>
            </w:pPr>
          </w:p>
        </w:tc>
        <w:tc>
          <w:tcPr>
            <w:tcW w:w="260" w:type="dxa"/>
            <w:vAlign w:val="bottom"/>
            <w:tcBorders>
              <w:bottom w:val="single" w:sz="8" w:color="CCEEFF"/>
            </w:tcBorders>
            <w:vMerge w:val="restart"/>
            <w:shd w:val="clear" w:color="auto" w:fill="CCEEFF"/>
          </w:tcPr>
          <w:p>
            <w:pPr>
              <w:spacing w:after="0"/>
              <w:rPr>
                <w:sz w:val="14"/>
                <w:szCs w:val="14"/>
                <w:color w:val="auto"/>
              </w:rPr>
            </w:pPr>
          </w:p>
        </w:tc>
        <w:tc>
          <w:tcPr>
            <w:tcW w:w="320" w:type="dxa"/>
            <w:vAlign w:val="bottom"/>
            <w:tcBorders>
              <w:bottom w:val="single" w:sz="8" w:color="CCEEFF"/>
            </w:tcBorders>
            <w:gridSpan w:val="2"/>
            <w:vMerge w:val="restart"/>
            <w:shd w:val="clear" w:color="auto" w:fill="CCEEFF"/>
          </w:tcPr>
          <w:p>
            <w:pPr>
              <w:spacing w:after="0"/>
              <w:rPr>
                <w:sz w:val="14"/>
                <w:szCs w:val="14"/>
                <w:color w:val="auto"/>
              </w:rPr>
            </w:pPr>
          </w:p>
        </w:tc>
        <w:tc>
          <w:tcPr>
            <w:tcW w:w="18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gridSpan w:val="2"/>
            <w:vMerge w:val="restart"/>
            <w:shd w:val="clear" w:color="auto" w:fill="CCEEFF"/>
          </w:tcPr>
          <w:p>
            <w:pPr>
              <w:spacing w:after="0"/>
              <w:rPr>
                <w:sz w:val="14"/>
                <w:szCs w:val="14"/>
                <w:color w:val="auto"/>
              </w:rPr>
            </w:pPr>
          </w:p>
        </w:tc>
        <w:tc>
          <w:tcPr>
            <w:tcW w:w="20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560" w:type="dxa"/>
            <w:vAlign w:val="bottom"/>
            <w:tcBorders>
              <w:bottom w:val="single" w:sz="8" w:color="CCEEFF"/>
            </w:tcBorders>
            <w:vMerge w:val="restart"/>
            <w:shd w:val="clear" w:color="auto" w:fill="CCEEFF"/>
          </w:tcPr>
          <w:p>
            <w:pPr>
              <w:spacing w:after="0"/>
              <w:rPr>
                <w:sz w:val="14"/>
                <w:szCs w:val="14"/>
                <w:color w:val="auto"/>
              </w:rPr>
            </w:pPr>
          </w:p>
        </w:tc>
        <w:tc>
          <w:tcPr>
            <w:tcW w:w="260" w:type="dxa"/>
            <w:vAlign w:val="bottom"/>
            <w:tcBorders>
              <w:bottom w:val="single" w:sz="8" w:color="CCEEFF"/>
            </w:tcBorders>
            <w:vMerge w:val="restart"/>
            <w:shd w:val="clear" w:color="auto" w:fill="CCEEFF"/>
          </w:tcPr>
          <w:p>
            <w:pPr>
              <w:spacing w:after="0"/>
              <w:rPr>
                <w:sz w:val="14"/>
                <w:szCs w:val="14"/>
                <w:color w:val="auto"/>
              </w:rPr>
            </w:pPr>
          </w:p>
        </w:tc>
        <w:tc>
          <w:tcPr>
            <w:tcW w:w="140" w:type="dxa"/>
            <w:vAlign w:val="bottom"/>
            <w:tcBorders>
              <w:bottom w:val="single" w:sz="8" w:color="CCEEFF"/>
              <w:right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0000EE"/>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2"/>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1280" w:type="dxa"/>
            <w:vAlign w:val="bottom"/>
            <w:tcBorders>
              <w:bottom w:val="single" w:sz="8" w:color="CCEEFF"/>
            </w:tcBorders>
            <w:gridSpan w:val="6"/>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4240" w:type="dxa"/>
            <w:vAlign w:val="bottom"/>
            <w:tcBorders>
              <w:bottom w:val="single" w:sz="8" w:color="CCEEFF"/>
            </w:tcBorders>
            <w:gridSpan w:val="11"/>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tcBorders>
            <w:gridSpan w:val="3"/>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7"/>
              </w:rPr>
              <w:t>4.11.1</w:t>
            </w: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40" w:type="dxa"/>
            <w:vAlign w:val="bottom"/>
            <w:tcBorders>
              <w:top w:val="single" w:sz="8" w:color="CCEEFF"/>
              <w:bottom w:val="single" w:sz="8" w:color="CCEEFF"/>
            </w:tcBorders>
            <w:gridSpan w:val="27"/>
            <w:vMerge w:val="restart"/>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Master Purchase Agreement, dated January 10, 2017, between the Registrant and Amazon Corporate LLC</w:t>
              </w:r>
            </w:hyperlink>
          </w:p>
        </w:tc>
        <w:tc>
          <w:tcPr>
            <w:tcW w:w="260" w:type="dxa"/>
            <w:vAlign w:val="bottom"/>
            <w:tcBorders>
              <w:top w:val="single" w:sz="8" w:color="CCEEFF"/>
              <w:bottom w:val="single" w:sz="8" w:color="0000EE"/>
            </w:tcBorders>
          </w:tcPr>
          <w:p>
            <w:pPr>
              <w:spacing w:after="0" w:line="129" w:lineRule="exact"/>
              <w:rPr>
                <w:rFonts w:ascii="Arial" w:cs="Arial" w:eastAsia="Arial" w:hAnsi="Arial"/>
                <w:sz w:val="14"/>
                <w:szCs w:val="14"/>
                <w:color w:val="0000EE"/>
                <w:w w:val="96"/>
              </w:rPr>
            </w:pPr>
            <w:hyperlink r:id="rId149">
              <w:r>
                <w:rPr>
                  <w:rFonts w:ascii="Arial" w:cs="Arial" w:eastAsia="Arial" w:hAnsi="Arial"/>
                  <w:sz w:val="14"/>
                  <w:szCs w:val="14"/>
                  <w:color w:val="0000EE"/>
                  <w:w w:val="96"/>
                </w:rPr>
                <w:t>†(8)</w:t>
              </w:r>
            </w:hyperlink>
          </w:p>
        </w:tc>
        <w:tc>
          <w:tcPr>
            <w:tcW w:w="320" w:type="dxa"/>
            <w:vAlign w:val="bottom"/>
            <w:tcBorders>
              <w:top w:val="single" w:sz="8" w:color="CCEEFF"/>
              <w:bottom w:val="single" w:sz="8" w:color="CCEEFF"/>
            </w:tcBorders>
            <w:gridSpan w:val="2"/>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gridSpan w:val="2"/>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5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40" w:type="dxa"/>
            <w:vAlign w:val="bottom"/>
            <w:tcBorders>
              <w:bottom w:val="single" w:sz="8" w:color="0000EE"/>
            </w:tcBorders>
            <w:gridSpan w:val="27"/>
            <w:vMerge w:val="continue"/>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4.11.2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40"/>
            <w:shd w:val="clear" w:color="auto" w:fill="CCEEFF"/>
          </w:tcPr>
          <w:p>
            <w:pPr>
              <w:spacing w:after="0" w:line="176" w:lineRule="exact"/>
              <w:rPr>
                <w:rFonts w:ascii="Arial" w:cs="Arial" w:eastAsia="Arial" w:hAnsi="Arial"/>
                <w:sz w:val="18"/>
                <w:szCs w:val="18"/>
                <w:color w:val="0000EE"/>
              </w:rPr>
            </w:pPr>
            <w:hyperlink w:anchor="page166">
              <w:r>
                <w:rPr>
                  <w:rFonts w:ascii="Arial" w:cs="Arial" w:eastAsia="Arial" w:hAnsi="Arial"/>
                  <w:sz w:val="18"/>
                  <w:szCs w:val="18"/>
                  <w:color w:val="0000EE"/>
                </w:rPr>
                <w:t>Amendment 1 to Master Purchase Agreement, effective March 1, 2017, between the Registrant and Amazon Corporate LLC*</w:t>
              </w:r>
            </w:hyperlink>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7"/>
              </w:rPr>
              <w:t>4.11.3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40"/>
          </w:tcPr>
          <w:p>
            <w:pPr>
              <w:spacing w:after="0" w:line="176" w:lineRule="exact"/>
              <w:rPr>
                <w:rFonts w:ascii="Arial" w:cs="Arial" w:eastAsia="Arial" w:hAnsi="Arial"/>
                <w:sz w:val="18"/>
                <w:szCs w:val="18"/>
                <w:color w:val="0000EE"/>
                <w:w w:val="99"/>
              </w:rPr>
            </w:pPr>
            <w:hyperlink w:anchor="page168">
              <w:r>
                <w:rPr>
                  <w:rFonts w:ascii="Arial" w:cs="Arial" w:eastAsia="Arial" w:hAnsi="Arial"/>
                  <w:sz w:val="18"/>
                  <w:szCs w:val="18"/>
                  <w:color w:val="0000EE"/>
                  <w:w w:val="99"/>
                </w:rPr>
                <w:t>Amendment 2 to Master Purchase Agreement, effective January 1, 2018, between the Registrant and Amazon Corporate LLC*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4.11.4</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0" w:type="dxa"/>
            <w:vAlign w:val="bottom"/>
            <w:tcBorders>
              <w:bottom w:val="single" w:sz="8" w:color="0000EE"/>
            </w:tcBorders>
            <w:gridSpan w:val="35"/>
            <w:shd w:val="clear" w:color="auto" w:fill="CCEEFF"/>
          </w:tcPr>
          <w:p>
            <w:pPr>
              <w:spacing w:after="0" w:line="176" w:lineRule="exact"/>
              <w:rPr>
                <w:rFonts w:ascii="Arial" w:cs="Arial" w:eastAsia="Arial" w:hAnsi="Arial"/>
                <w:sz w:val="18"/>
                <w:szCs w:val="18"/>
                <w:color w:val="0000EE"/>
                <w:w w:val="90"/>
              </w:rPr>
            </w:pPr>
            <w:hyperlink w:anchor="page172">
              <w:r>
                <w:rPr>
                  <w:rFonts w:ascii="Arial" w:cs="Arial" w:eastAsia="Arial" w:hAnsi="Arial"/>
                  <w:sz w:val="18"/>
                  <w:szCs w:val="18"/>
                  <w:color w:val="0000EE"/>
                  <w:w w:val="90"/>
                </w:rPr>
                <w:t>Amendment 3 to Master Purchase Agreement, effective June 29, 2018, between the Registrant and Amazon Corporate LLC*</w:t>
              </w:r>
            </w:hyperlink>
          </w:p>
        </w:tc>
        <w:tc>
          <w:tcPr>
            <w:tcW w:w="110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1"/>
              </w:rPr>
              <w:t>4.12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60" w:type="dxa"/>
            <w:vAlign w:val="bottom"/>
            <w:gridSpan w:val="23"/>
            <w:vMerge w:val="restart"/>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Transaction Agreement, dated January 10, 2017, between the Registrant and Amazon.com, Inc.</w:t>
              </w:r>
            </w:hyperlink>
          </w:p>
        </w:tc>
        <w:tc>
          <w:tcPr>
            <w:tcW w:w="180" w:type="dxa"/>
            <w:vAlign w:val="bottom"/>
            <w:tcBorders>
              <w:bottom w:val="single" w:sz="8" w:color="0000EE"/>
            </w:tcBorders>
          </w:tcPr>
          <w:p>
            <w:pPr>
              <w:jc w:val="right"/>
              <w:spacing w:after="0" w:line="129" w:lineRule="exact"/>
              <w:rPr>
                <w:rFonts w:ascii="Arial" w:cs="Arial" w:eastAsia="Arial" w:hAnsi="Arial"/>
                <w:sz w:val="14"/>
                <w:szCs w:val="14"/>
                <w:color w:val="0000EE"/>
                <w:w w:val="93"/>
              </w:rPr>
            </w:pPr>
            <w:hyperlink r:id="rId150">
              <w:r>
                <w:rPr>
                  <w:rFonts w:ascii="Arial" w:cs="Arial" w:eastAsia="Arial" w:hAnsi="Arial"/>
                  <w:sz w:val="14"/>
                  <w:szCs w:val="14"/>
                  <w:color w:val="0000EE"/>
                  <w:w w:val="93"/>
                </w:rPr>
                <w:t>(9)</w:t>
              </w:r>
            </w:hyperlink>
          </w:p>
        </w:tc>
        <w:tc>
          <w:tcPr>
            <w:tcW w:w="1180" w:type="dxa"/>
            <w:vAlign w:val="bottom"/>
            <w:gridSpan w:val="6"/>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040" w:type="dxa"/>
            <w:vAlign w:val="bottom"/>
            <w:gridSpan w:val="4"/>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9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60" w:type="dxa"/>
            <w:vAlign w:val="bottom"/>
            <w:tcBorders>
              <w:bottom w:val="single" w:sz="8" w:color="0000EE"/>
            </w:tcBorders>
            <w:gridSpan w:val="23"/>
            <w:vMerge w:val="continue"/>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6"/>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4.13</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0" w:type="dxa"/>
            <w:vAlign w:val="bottom"/>
            <w:tcBorders>
              <w:bottom w:val="single" w:sz="8" w:color="CCEEFF"/>
            </w:tcBorders>
            <w:gridSpan w:val="31"/>
            <w:vMerge w:val="restart"/>
            <w:shd w:val="clear" w:color="auto" w:fill="CCEEFF"/>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Warrant to Purchase Ordinary Shares, dated January 10, 2017, issued to Amazon.com NV Investment Holdings LLC</w:t>
              </w:r>
            </w:hyperlink>
          </w:p>
        </w:tc>
        <w:tc>
          <w:tcPr>
            <w:tcW w:w="260" w:type="dxa"/>
            <w:vAlign w:val="bottom"/>
            <w:tcBorders>
              <w:bottom w:val="single" w:sz="8" w:color="0000EE"/>
            </w:tcBorders>
            <w:gridSpan w:val="3"/>
            <w:shd w:val="clear" w:color="auto" w:fill="CCEEFF"/>
          </w:tcPr>
          <w:p>
            <w:pPr>
              <w:jc w:val="right"/>
              <w:spacing w:after="0" w:line="129" w:lineRule="exact"/>
              <w:rPr>
                <w:rFonts w:ascii="Arial" w:cs="Arial" w:eastAsia="Arial" w:hAnsi="Arial"/>
                <w:sz w:val="14"/>
                <w:szCs w:val="14"/>
                <w:color w:val="0000EE"/>
                <w:w w:val="96"/>
              </w:rPr>
            </w:pPr>
            <w:hyperlink r:id="rId151">
              <w:r>
                <w:rPr>
                  <w:rFonts w:ascii="Arial" w:cs="Arial" w:eastAsia="Arial" w:hAnsi="Arial"/>
                  <w:sz w:val="14"/>
                  <w:szCs w:val="14"/>
                  <w:color w:val="0000EE"/>
                  <w:w w:val="96"/>
                </w:rPr>
                <w:t>(10)</w:t>
              </w:r>
            </w:hyperlink>
          </w:p>
        </w:tc>
        <w:tc>
          <w:tcPr>
            <w:tcW w:w="1040" w:type="dxa"/>
            <w:vAlign w:val="bottom"/>
            <w:tcBorders>
              <w:bottom w:val="single" w:sz="8" w:color="CCEEFF"/>
            </w:tcBorders>
            <w:gridSpan w:val="4"/>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400" w:type="dxa"/>
            <w:vAlign w:val="bottom"/>
            <w:tcBorders>
              <w:bottom w:val="single" w:sz="8" w:color="0000EE"/>
            </w:tcBorders>
            <w:gridSpan w:val="31"/>
            <w:vMerge w:val="continue"/>
            <w:shd w:val="clear" w:color="auto" w:fill="CCEEFF"/>
          </w:tcPr>
          <w:p>
            <w:pPr>
              <w:spacing w:after="0"/>
              <w:rPr>
                <w:sz w:val="5"/>
                <w:szCs w:val="5"/>
                <w:color w:val="auto"/>
              </w:rPr>
            </w:pPr>
          </w:p>
        </w:tc>
        <w:tc>
          <w:tcPr>
            <w:tcW w:w="60" w:type="dxa"/>
            <w:vAlign w:val="bottom"/>
            <w:tcBorders>
              <w:bottom w:val="single" w:sz="8" w:color="CCEEFF"/>
            </w:tcBorders>
            <w:gridSpan w:val="2"/>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gridSpan w:val="4"/>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1"/>
              </w:rPr>
              <w:t>4.14</w:t>
            </w: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220" w:type="dxa"/>
            <w:vAlign w:val="bottom"/>
            <w:tcBorders>
              <w:top w:val="single" w:sz="8" w:color="CCEEFF"/>
              <w:bottom w:val="single" w:sz="8" w:color="CCEEFF"/>
            </w:tcBorders>
            <w:gridSpan w:val="30"/>
            <w:vMerge w:val="restart"/>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Lease, dated December 2017, between Kornit Digital North America, Inc. and Bonanno Real Estate Group I, L.P.</w:t>
              </w:r>
            </w:hyperlink>
          </w:p>
        </w:tc>
        <w:tc>
          <w:tcPr>
            <w:tcW w:w="240" w:type="dxa"/>
            <w:vAlign w:val="bottom"/>
            <w:tcBorders>
              <w:top w:val="single" w:sz="8" w:color="CCEEFF"/>
              <w:bottom w:val="single" w:sz="8" w:color="0000EE"/>
            </w:tcBorders>
            <w:gridSpan w:val="3"/>
          </w:tcPr>
          <w:p>
            <w:pPr>
              <w:jc w:val="right"/>
              <w:spacing w:after="0" w:line="129" w:lineRule="exact"/>
              <w:rPr>
                <w:rFonts w:ascii="Arial" w:cs="Arial" w:eastAsia="Arial" w:hAnsi="Arial"/>
                <w:sz w:val="14"/>
                <w:szCs w:val="14"/>
                <w:color w:val="0000EE"/>
                <w:w w:val="88"/>
              </w:rPr>
            </w:pPr>
            <w:hyperlink r:id="rId152">
              <w:r>
                <w:rPr>
                  <w:rFonts w:ascii="Arial" w:cs="Arial" w:eastAsia="Arial" w:hAnsi="Arial"/>
                  <w:sz w:val="14"/>
                  <w:szCs w:val="14"/>
                  <w:color w:val="0000EE"/>
                  <w:w w:val="88"/>
                </w:rPr>
                <w:t>(11)</w:t>
              </w:r>
            </w:hyperlink>
          </w:p>
        </w:tc>
        <w:tc>
          <w:tcPr>
            <w:tcW w:w="1240" w:type="dxa"/>
            <w:vAlign w:val="bottom"/>
            <w:tcBorders>
              <w:top w:val="single" w:sz="8" w:color="CCEEFF"/>
              <w:bottom w:val="single" w:sz="8" w:color="CCEEFF"/>
            </w:tcBorders>
            <w:gridSpan w:val="5"/>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20" w:type="dxa"/>
            <w:vAlign w:val="bottom"/>
            <w:tcBorders>
              <w:bottom w:val="single" w:sz="8" w:color="0000EE"/>
            </w:tcBorders>
            <w:gridSpan w:val="30"/>
            <w:vMerge w:val="continue"/>
          </w:tcPr>
          <w:p>
            <w:pPr>
              <w:spacing w:after="0"/>
              <w:rPr>
                <w:sz w:val="4"/>
                <w:szCs w:val="4"/>
                <w:color w:val="auto"/>
              </w:rPr>
            </w:pPr>
          </w:p>
        </w:tc>
        <w:tc>
          <w:tcPr>
            <w:tcW w:w="240" w:type="dxa"/>
            <w:vAlign w:val="bottom"/>
            <w:gridSpan w:val="3"/>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4.15</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700" w:type="dxa"/>
            <w:vAlign w:val="bottom"/>
            <w:tcBorders>
              <w:bottom w:val="single" w:sz="8" w:color="CCEEFF"/>
            </w:tcBorders>
            <w:gridSpan w:val="38"/>
            <w:vMerge w:val="restart"/>
            <w:shd w:val="clear" w:color="auto" w:fill="CCEEFF"/>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English translation of Development Contract, dated November 26, 2018, by and between the Registrant and the Israel Lands Authority</w:t>
              </w:r>
            </w:hyperlink>
          </w:p>
        </w:tc>
        <w:tc>
          <w:tcPr>
            <w:tcW w:w="26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6"/>
              </w:rPr>
            </w:pPr>
            <w:hyperlink r:id="rId153">
              <w:r>
                <w:rPr>
                  <w:rFonts w:ascii="Arial" w:cs="Arial" w:eastAsia="Arial" w:hAnsi="Arial"/>
                  <w:sz w:val="14"/>
                  <w:szCs w:val="14"/>
                  <w:color w:val="0000EE"/>
                  <w:w w:val="96"/>
                </w:rPr>
                <w:t>(12)</w:t>
              </w:r>
            </w:hyperlink>
          </w:p>
        </w:tc>
        <w:tc>
          <w:tcPr>
            <w:tcW w:w="14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700" w:type="dxa"/>
            <w:vAlign w:val="bottom"/>
            <w:tcBorders>
              <w:bottom w:val="single" w:sz="8" w:color="0000EE"/>
            </w:tcBorders>
            <w:gridSpan w:val="38"/>
            <w:vMerge w:val="continue"/>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4.16</w:t>
            </w: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100" w:type="dxa"/>
            <w:vAlign w:val="bottom"/>
            <w:tcBorders>
              <w:top w:val="single" w:sz="8" w:color="CCEEFF"/>
              <w:bottom w:val="single" w:sz="8" w:color="0000EE"/>
            </w:tcBorders>
            <w:gridSpan w:val="40"/>
          </w:tcPr>
          <w:p>
            <w:pPr>
              <w:spacing w:after="0" w:line="176" w:lineRule="exact"/>
              <w:rPr>
                <w:rFonts w:ascii="Arial" w:cs="Arial" w:eastAsia="Arial" w:hAnsi="Arial"/>
                <w:sz w:val="18"/>
                <w:szCs w:val="18"/>
                <w:color w:val="0000EE"/>
                <w:w w:val="95"/>
              </w:rPr>
            </w:pPr>
            <w:hyperlink w:anchor="page173">
              <w:r>
                <w:rPr>
                  <w:rFonts w:ascii="Arial" w:cs="Arial" w:eastAsia="Arial" w:hAnsi="Arial"/>
                  <w:sz w:val="18"/>
                  <w:szCs w:val="18"/>
                  <w:color w:val="0000EE"/>
                  <w:w w:val="95"/>
                </w:rPr>
                <w:t>Manufacturing Services Agreement, dated as of February 26, 2019, by and between the Registrant and Sanmina-SCI Israel Medical</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Systems Ltd.*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8.1</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w:anchor="page207">
              <w:r>
                <w:rPr>
                  <w:rFonts w:ascii="Arial" w:cs="Arial" w:eastAsia="Arial" w:hAnsi="Arial"/>
                  <w:sz w:val="18"/>
                  <w:szCs w:val="18"/>
                  <w:color w:val="0000EE"/>
                  <w:w w:val="91"/>
                </w:rPr>
                <w:t>List of subsidiaries of the Registrant</w:t>
              </w:r>
            </w:hyperlink>
          </w:p>
        </w:tc>
        <w:tc>
          <w:tcPr>
            <w:tcW w:w="7480" w:type="dxa"/>
            <w:vAlign w:val="bottom"/>
            <w:tcBorders>
              <w:bottom w:val="single" w:sz="8" w:color="CCEEFF"/>
              <w:right w:val="single" w:sz="8" w:color="CCEEFF"/>
            </w:tcBorders>
            <w:gridSpan w:val="2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1"/>
              </w:rPr>
              <w:t>12.1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40"/>
          </w:tcPr>
          <w:p>
            <w:pPr>
              <w:spacing w:after="0" w:line="176" w:lineRule="exact"/>
              <w:rPr>
                <w:rFonts w:ascii="Arial" w:cs="Arial" w:eastAsia="Arial" w:hAnsi="Arial"/>
                <w:sz w:val="18"/>
                <w:szCs w:val="18"/>
                <w:color w:val="0000EE"/>
                <w:w w:val="92"/>
              </w:rPr>
            </w:pPr>
            <w:hyperlink w:anchor="page208">
              <w:r>
                <w:rPr>
                  <w:rFonts w:ascii="Arial" w:cs="Arial" w:eastAsia="Arial" w:hAnsi="Arial"/>
                  <w:sz w:val="18"/>
                  <w:szCs w:val="18"/>
                  <w:color w:val="0000EE"/>
                  <w:w w:val="92"/>
                </w:rPr>
                <w:t>Certificate of Chief Executive Officer pursuant to Securities Exchange Act Rules 13a-14(a) and 15d-14(a) as adopted pursuant to §302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the Sarbanes-Oxley Act of 2002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12.2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40"/>
            <w:shd w:val="clear" w:color="auto" w:fill="CCEEFF"/>
          </w:tcPr>
          <w:p>
            <w:pPr>
              <w:spacing w:after="0" w:line="176" w:lineRule="exact"/>
              <w:rPr>
                <w:rFonts w:ascii="Arial" w:cs="Arial" w:eastAsia="Arial" w:hAnsi="Arial"/>
                <w:sz w:val="18"/>
                <w:szCs w:val="18"/>
                <w:color w:val="0000EE"/>
                <w:w w:val="92"/>
              </w:rPr>
            </w:pPr>
            <w:hyperlink w:anchor="page209">
              <w:r>
                <w:rPr>
                  <w:rFonts w:ascii="Arial" w:cs="Arial" w:eastAsia="Arial" w:hAnsi="Arial"/>
                  <w:sz w:val="18"/>
                  <w:szCs w:val="18"/>
                  <w:color w:val="0000EE"/>
                  <w:w w:val="92"/>
                </w:rPr>
                <w:t>Certificate of Chief Financial Officer pursuant to Securities Exchange Act Rules 13a-14(a) and 15d-14(a) as adopted pursuant to §302 of</w:t>
              </w:r>
            </w:hyperlink>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40"/>
            <w:shd w:val="clear" w:color="auto" w:fill="CCEEFF"/>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the Sarbanes-Oxley Act of 2002</w:t>
              </w:r>
            </w:hyperlink>
          </w:p>
        </w:tc>
        <w:tc>
          <w:tcPr>
            <w:tcW w:w="0" w:type="dxa"/>
            <w:vAlign w:val="bottom"/>
          </w:tcPr>
          <w:p>
            <w:pPr>
              <w:spacing w:after="0"/>
              <w:rPr>
                <w:sz w:val="1"/>
                <w:szCs w:val="1"/>
                <w:color w:val="auto"/>
              </w:rPr>
            </w:pPr>
          </w:p>
        </w:tc>
      </w:tr>
      <w:tr>
        <w:trPr>
          <w:trHeight w:val="709"/>
        </w:trPr>
        <w:tc>
          <w:tcPr>
            <w:tcW w:w="9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gridSpan w:val="2"/>
          </w:tcPr>
          <w:p>
            <w:pPr>
              <w:spacing w:after="0"/>
              <w:rPr>
                <w:sz w:val="24"/>
                <w:szCs w:val="24"/>
                <w:color w:val="auto"/>
              </w:rPr>
            </w:pPr>
          </w:p>
        </w:tc>
        <w:tc>
          <w:tcPr>
            <w:tcW w:w="2320" w:type="dxa"/>
            <w:vAlign w:val="bottom"/>
            <w:tcBorders>
              <w:top w:val="single" w:sz="8" w:color="0000EE"/>
              <w:bottom w:val="single" w:sz="8" w:color="auto"/>
            </w:tcBorders>
            <w:gridSpan w:val="10"/>
          </w:tcPr>
          <w:p>
            <w:pPr>
              <w:spacing w:after="0"/>
              <w:rPr>
                <w:sz w:val="24"/>
                <w:szCs w:val="24"/>
                <w:color w:val="auto"/>
              </w:rPr>
            </w:pPr>
          </w:p>
        </w:tc>
        <w:tc>
          <w:tcPr>
            <w:tcW w:w="2640" w:type="dxa"/>
            <w:vAlign w:val="bottom"/>
            <w:tcBorders>
              <w:top w:val="single" w:sz="8" w:color="CCEEFF"/>
              <w:bottom w:val="single" w:sz="8" w:color="auto"/>
            </w:tcBorders>
            <w:gridSpan w:val="11"/>
          </w:tcPr>
          <w:p>
            <w:pPr>
              <w:jc w:val="right"/>
              <w:ind w:right="230"/>
              <w:spacing w:after="0"/>
              <w:rPr>
                <w:sz w:val="20"/>
                <w:szCs w:val="20"/>
                <w:color w:val="auto"/>
              </w:rPr>
            </w:pPr>
            <w:r>
              <w:rPr>
                <w:rFonts w:ascii="Arial" w:cs="Arial" w:eastAsia="Arial" w:hAnsi="Arial"/>
                <w:sz w:val="22"/>
                <w:szCs w:val="22"/>
                <w:color w:val="auto"/>
              </w:rPr>
              <w:t>104</w:t>
            </w:r>
          </w:p>
        </w:tc>
        <w:tc>
          <w:tcPr>
            <w:tcW w:w="1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9" w:name="page110"/>
    <w:bookmarkEnd w:id="109"/>
    <w:p>
      <w:pPr>
        <w:ind w:left="1140" w:hanging="784"/>
        <w:spacing w:after="0" w:line="258"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13.1</w:t>
      </w:r>
      <w:r>
        <w:rPr>
          <w:sz w:val="20"/>
          <w:szCs w:val="20"/>
          <w:color w:val="auto"/>
        </w:rPr>
        <w:tab/>
      </w:r>
      <w:hyperlink w:anchor="page210">
        <w:r>
          <w:rPr>
            <w:rFonts w:ascii="Arial" w:cs="Arial" w:eastAsia="Arial" w:hAnsi="Arial"/>
            <w:sz w:val="18"/>
            <w:szCs w:val="18"/>
            <w:u w:val="single" w:color="auto"/>
            <w:color w:val="0000EE"/>
          </w:rPr>
          <w:t>Certificate of Chief Executive Officer and Chief Financial Officer pursuant to 18 U.S.C. §1350, as adopted pursuant to §906 of the</w:t>
        </w:r>
      </w:hyperlink>
      <w:r>
        <w:rPr>
          <w:rFonts w:ascii="Arial" w:cs="Arial" w:eastAsia="Arial" w:hAnsi="Arial"/>
          <w:sz w:val="18"/>
          <w:szCs w:val="18"/>
          <w:u w:val="single" w:color="auto"/>
          <w:color w:val="0000EE"/>
        </w:rPr>
        <w:t xml:space="preserve"> </w:t>
      </w:r>
      <w:hyperlink w:anchor="page210">
        <w:r>
          <w:rPr>
            <w:rFonts w:ascii="Arial" w:cs="Arial" w:eastAsia="Arial" w:hAnsi="Arial"/>
            <w:sz w:val="18"/>
            <w:szCs w:val="18"/>
            <w:u w:val="single" w:color="auto"/>
            <w:color w:val="0000EE"/>
          </w:rPr>
          <w:t>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15.1</w:t>
      </w:r>
      <w:r>
        <w:rPr>
          <w:sz w:val="20"/>
          <w:szCs w:val="20"/>
          <w:color w:val="auto"/>
        </w:rPr>
        <w:tab/>
      </w:r>
      <w:hyperlink w:anchor="page211">
        <w:r>
          <w:rPr>
            <w:rFonts w:ascii="Arial" w:cs="Arial" w:eastAsia="Arial" w:hAnsi="Arial"/>
            <w:sz w:val="16"/>
            <w:szCs w:val="16"/>
            <w:u w:val="single" w:color="auto"/>
            <w:color w:val="0000EE"/>
          </w:rPr>
          <w:t>Consent of Kost Forer Gabbay &amp; Kasierer, a member firm of Ernst &amp; Young Global, an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2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jc w:val="both"/>
        <w:ind w:left="1140" w:hanging="759"/>
        <w:spacing w:after="0" w:line="281" w:lineRule="auto"/>
        <w:tabs>
          <w:tab w:leader="none" w:pos="11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information from Kornit Digital Ltd.’s Annual Report on Form 20-F for the year ended December 31, 2019 formatted in Inline XBRL (eXtensible Business Reporting Language): (i) Consolidated Balance Sheets at December 31, 2018 and 2019; (ii) Consolidated Statements of Operations for the years ended December 31, 2017, 2018 and 2019; (iii) Consolidated Statements of Comprehensive Income (Loss) for the years ended December 31, 2017, 2018 and 2019; (iv) Statements of Shareholders’ Equity for the years ended December 31, 2017, 2018 and 2019; (iv) Consolidated Statements of Cash Flows for the years ended December 31, 2017, 2018 and 2019; (v) Notes to Consolidated Financial Statements, tagged as blocks of text; and (vi) Cover Page Interactive Data File.</w:t>
      </w:r>
    </w:p>
    <w:p>
      <w:pPr>
        <w:spacing w:after="0" w:line="4" w:lineRule="exact"/>
        <w:rPr>
          <w:sz w:val="20"/>
          <w:szCs w:val="20"/>
          <w:color w:val="auto"/>
        </w:rPr>
      </w:pPr>
    </w:p>
    <w:p>
      <w:pPr>
        <w:ind w:left="1140" w:hanging="761"/>
        <w:spacing w:after="0"/>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Inline Cover Page Interactive Data File (included in Exhibit 101).</w:t>
      </w:r>
    </w:p>
    <w:p>
      <w:pPr>
        <w:spacing w:after="0" w:line="210" w:lineRule="exact"/>
        <w:rPr>
          <w:rFonts w:ascii="Arial" w:cs="Arial" w:eastAsia="Arial" w:hAnsi="Arial"/>
          <w:sz w:val="18"/>
          <w:szCs w:val="18"/>
          <w:color w:val="auto"/>
        </w:rPr>
      </w:pPr>
    </w:p>
    <w:p>
      <w:pPr>
        <w:ind w:left="460" w:right="20" w:hanging="452"/>
        <w:spacing w:after="0" w:line="25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18, 2015 as exhibit to the Registrant’s registration statement on Form F-1 (SEC File No. 333-202291) and incorporated by reference herein.</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10, 2015 as an exhibit to the Registrant’s registration statement on Form F-1 (SEC File No. 333-202291)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February 25, 2015 as an exhibit to the Registrant’s registration statement on Form F-1 (SEC File No. 333-202291)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furnished to the SEC on August 21, 2015 as Annex A to Exhibit 99.1 to the Registrant’s Report of Foreign Private Issuer on Form 6-K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April 14, 2016 as Exhibit 4.9 to Amendment No. 1 to the Registrant’s Annual Report on Form 20-F for the year ended December 31, 2015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4.11 to the Registrant’s Annual Report on Form 20-F for the year ended December 31, 2016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4.12 to the Registrant’s Annual Report on Form 20-F for the year ended December 31, 2016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4.13 to the Registrant’s Annual Report on Form 20-F for the year ended December 31, 2016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4.14 to the Registrant’s Annual Report on Form 20-F for the year ended December 31, 2016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4.15 to the Registrant’s Annual Report on Form 20-F for the year ended December 31, 2016 and incorporated by reference herein.</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20, 2018 as Exhibit 4.16 to the Registrant’s Annual Report on Form 20-F for the year ended December 31, 2017 and incorporated by reference herein.</w:t>
      </w:r>
    </w:p>
    <w:p>
      <w:pPr>
        <w:ind w:left="460" w:hanging="452"/>
        <w:spacing w:after="0" w:line="26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SEC on March 26, 2019 as Exhibit 4.16 to the Registrant’s Annual Report on Form 20-F for the year ended December 31, 2018 and incorporated by reference herein.</w:t>
      </w:r>
    </w:p>
    <w:p>
      <w:pPr>
        <w:spacing w:after="0" w:line="185" w:lineRule="exact"/>
        <w:rPr>
          <w:sz w:val="20"/>
          <w:szCs w:val="20"/>
          <w:color w:val="auto"/>
        </w:rPr>
      </w:pPr>
    </w:p>
    <w:p>
      <w:pPr>
        <w:jc w:val="both"/>
        <w:ind w:left="340" w:hanging="332"/>
        <w:spacing w:after="0" w:line="255"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p>
      <w:pPr>
        <w:spacing w:after="0" w:line="3"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the rules of the Securities and Exchange Commission.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Guy Avidan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60" w:type="dxa"/>
            <w:vAlign w:val="bottom"/>
            <w:gridSpan w:val="3"/>
          </w:tcPr>
          <w:p>
            <w:pPr>
              <w:jc w:val="center"/>
              <w:ind w:right="2210"/>
              <w:spacing w:after="0"/>
              <w:rPr>
                <w:sz w:val="20"/>
                <w:szCs w:val="20"/>
                <w:color w:val="auto"/>
              </w:rPr>
            </w:pPr>
            <w:r>
              <w:rPr>
                <w:rFonts w:ascii="Arial" w:cs="Arial" w:eastAsia="Arial" w:hAnsi="Arial"/>
                <w:sz w:val="18"/>
                <w:szCs w:val="18"/>
                <w:b w:val="1"/>
                <w:bCs w:val="1"/>
                <w:color w:val="auto"/>
              </w:rPr>
              <w:t>KORNIT DIGITAL LTD. AND SUBSIDIARIES</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60" w:type="dxa"/>
            <w:vAlign w:val="bottom"/>
            <w:gridSpan w:val="3"/>
          </w:tcPr>
          <w:p>
            <w:pPr>
              <w:jc w:val="center"/>
              <w:ind w:right="2210"/>
              <w:spacing w:after="0"/>
              <w:rPr>
                <w:sz w:val="20"/>
                <w:szCs w:val="20"/>
                <w:color w:val="auto"/>
              </w:rPr>
            </w:pPr>
            <w:r>
              <w:rPr>
                <w:rFonts w:ascii="Arial" w:cs="Arial" w:eastAsia="Arial" w:hAnsi="Arial"/>
                <w:sz w:val="18"/>
                <w:szCs w:val="18"/>
                <w:b w:val="1"/>
                <w:bCs w:val="1"/>
                <w:color w:val="auto"/>
              </w:rPr>
              <w:t>CONSOLIDATED FINANCIAL STATEMENTS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20" w:type="dxa"/>
            <w:vAlign w:val="bottom"/>
            <w:gridSpan w:val="2"/>
          </w:tcPr>
          <w:p>
            <w:pPr>
              <w:jc w:val="center"/>
              <w:ind w:right="3050"/>
              <w:spacing w:after="0"/>
              <w:rPr>
                <w:sz w:val="20"/>
                <w:szCs w:val="20"/>
                <w:color w:val="auto"/>
              </w:rPr>
            </w:pPr>
            <w:r>
              <w:rPr>
                <w:rFonts w:ascii="Arial" w:cs="Arial" w:eastAsia="Arial" w:hAnsi="Arial"/>
                <w:sz w:val="18"/>
                <w:szCs w:val="18"/>
                <w:b w:val="1"/>
                <w:bCs w:val="1"/>
                <w:color w:val="auto"/>
                <w:w w:val="95"/>
              </w:rPr>
              <w:t>AS OF DECEMBER 31, 2019</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60" w:type="dxa"/>
            <w:vAlign w:val="bottom"/>
            <w:gridSpan w:val="3"/>
          </w:tcPr>
          <w:p>
            <w:pPr>
              <w:jc w:val="center"/>
              <w:ind w:right="2210"/>
              <w:spacing w:after="0"/>
              <w:rPr>
                <w:sz w:val="20"/>
                <w:szCs w:val="20"/>
                <w:color w:val="auto"/>
              </w:rPr>
            </w:pPr>
            <w:r>
              <w:rPr>
                <w:rFonts w:ascii="Arial" w:cs="Arial" w:eastAsia="Arial" w:hAnsi="Arial"/>
                <w:sz w:val="18"/>
                <w:szCs w:val="18"/>
                <w:b w:val="1"/>
                <w:bCs w:val="1"/>
                <w:color w:val="auto"/>
                <w:w w:val="98"/>
              </w:rPr>
              <w:t>U.S. DOLLARS IN THOUSANDS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tcPr>
          <w:p>
            <w:pPr>
              <w:jc w:val="center"/>
              <w:ind w:right="3130"/>
              <w:spacing w:after="0"/>
              <w:rPr>
                <w:sz w:val="20"/>
                <w:szCs w:val="20"/>
                <w:color w:val="auto"/>
              </w:rPr>
            </w:pPr>
            <w:r>
              <w:rPr>
                <w:rFonts w:ascii="Arial" w:cs="Arial" w:eastAsia="Arial" w:hAnsi="Arial"/>
                <w:sz w:val="18"/>
                <w:szCs w:val="18"/>
                <w:b w:val="1"/>
                <w:bCs w:val="1"/>
                <w:color w:val="auto"/>
              </w:rPr>
              <w:t>INDEX</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3"/>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99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Reports of Independent Registered Public Accounting Firm</w:t>
              </w:r>
            </w:hyperlink>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F-2</w:t>
            </w:r>
          </w:p>
        </w:tc>
        <w:tc>
          <w:tcPr>
            <w:tcW w:w="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Consolidated Balance Sheets</w:t>
              </w:r>
            </w:hyperlink>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F-5</w:t>
            </w:r>
          </w:p>
        </w:tc>
        <w:tc>
          <w:tcPr>
            <w:tcW w:w="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F-6</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r>
      <w:tr>
        <w:trPr>
          <w:trHeight w:val="196"/>
        </w:trPr>
        <w:tc>
          <w:tcPr>
            <w:tcW w:w="99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Consolidated Statements of Operations</w:t>
              </w:r>
            </w:hyperlink>
          </w:p>
        </w:tc>
        <w:tc>
          <w:tcPr>
            <w:tcW w:w="13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F-7</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r>
      <w:tr>
        <w:trPr>
          <w:trHeight w:val="196"/>
        </w:trPr>
        <w:tc>
          <w:tcPr>
            <w:tcW w:w="99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Consolidated Statements of Comprehensive Income (Loss)</w:t>
              </w:r>
            </w:hyperlink>
          </w:p>
        </w:tc>
        <w:tc>
          <w:tcPr>
            <w:tcW w:w="13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F-8</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r>
      <w:tr>
        <w:trPr>
          <w:trHeight w:val="196"/>
        </w:trPr>
        <w:tc>
          <w:tcPr>
            <w:tcW w:w="99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Statements of Changes in Shareholders’ Equity</w:t>
              </w:r>
            </w:hyperlink>
          </w:p>
        </w:tc>
        <w:tc>
          <w:tcPr>
            <w:tcW w:w="13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F-9</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Consolidated Statements of Cash Flows</w:t>
              </w:r>
            </w:hyperlink>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F-10</w:t>
            </w:r>
          </w:p>
        </w:tc>
        <w:tc>
          <w:tcPr>
            <w:tcW w:w="7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 F-11</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Notes to Consolidated Financial Statements</w:t>
              </w:r>
            </w:hyperlink>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F-12</w:t>
            </w:r>
          </w:p>
        </w:tc>
        <w:tc>
          <w:tcPr>
            <w:tcW w:w="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F-49</w:t>
            </w:r>
          </w:p>
        </w:tc>
      </w:tr>
      <w:tr>
        <w:trPr>
          <w:trHeight w:val="432"/>
        </w:trPr>
        <w:tc>
          <w:tcPr>
            <w:tcW w:w="3340" w:type="dxa"/>
            <w:vAlign w:val="bottom"/>
            <w:tcBorders>
              <w:top w:val="single" w:sz="8" w:color="0000EE"/>
            </w:tcBorders>
            <w:gridSpan w:val="4"/>
          </w:tcPr>
          <w:p>
            <w:pPr>
              <w:spacing w:after="0"/>
              <w:rPr>
                <w:sz w:val="24"/>
                <w:szCs w:val="24"/>
                <w:color w:val="auto"/>
              </w:rPr>
            </w:pPr>
          </w:p>
        </w:tc>
        <w:tc>
          <w:tcPr>
            <w:tcW w:w="6560" w:type="dxa"/>
            <w:vAlign w:val="bottom"/>
            <w:tcBorders>
              <w:top w:val="single" w:sz="8" w:color="CCEEFF"/>
            </w:tcBorders>
            <w:gridSpan w:val="4"/>
          </w:tcPr>
          <w:p>
            <w:pPr>
              <w:jc w:val="center"/>
              <w:ind w:right="191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71525" cy="9512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715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Kornit Digital Ltd. and subsidiaries (the Company) as of December 31, 2019 and 2018, the related consolidated statements of operations, comprehensive income (loss), changes in shareholders’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23,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ind w:left="1480"/>
        <w:spacing w:after="0"/>
        <w:rPr>
          <w:sz w:val="20"/>
          <w:szCs w:val="20"/>
          <w:color w:val="auto"/>
        </w:rPr>
      </w:pPr>
      <w:r>
        <w:rPr>
          <w:rFonts w:ascii="Arial" w:cs="Arial" w:eastAsia="Arial" w:hAnsi="Arial"/>
          <w:sz w:val="15"/>
          <w:szCs w:val="15"/>
          <w:b w:val="1"/>
          <w:bCs w:val="1"/>
          <w:i w:val="1"/>
          <w:iCs w:val="1"/>
          <w:color w:val="auto"/>
        </w:rPr>
        <w:t>Inventory Valuation</w:t>
      </w:r>
    </w:p>
    <w:p>
      <w:pPr>
        <w:sectPr>
          <w:pgSz w:w="11900" w:h="16838" w:orient="portrait"/>
          <w:cols w:equalWidth="0" w:num="1">
            <w:col w:w="11240"/>
          </w:cols>
          <w:pgMar w:left="320" w:top="908" w:right="339" w:bottom="1440" w:gutter="0" w:footer="0" w:header="0"/>
        </w:sectPr>
      </w:pP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inventories totaled $37.5 million as of December 31, 2019. As explained in Note 2 to the consolidated financial statements, the Company assesses the value of all inventories, including raw materials, finished goods and spare parts, in each reporting period. Obsolete inventory or inventory in excess of management’s estimated usage requirement is written down to its estimated market value if those amounts are determined to be less than cost.</w:t>
      </w:r>
    </w:p>
    <w:p>
      <w:pPr>
        <w:spacing w:after="0" w:line="187" w:lineRule="exact"/>
        <w:rPr>
          <w:sz w:val="20"/>
          <w:szCs w:val="20"/>
          <w:color w:val="auto"/>
        </w:rPr>
      </w:pPr>
    </w:p>
    <w:p>
      <w:pPr>
        <w:sectPr>
          <w:pgSz w:w="11900" w:h="16838" w:orient="portrait"/>
          <w:cols w:equalWidth="0" w:num="2">
            <w:col w:w="1040" w:space="440"/>
            <w:col w:w="9760"/>
          </w:cols>
          <w:pgMar w:left="320" w:top="908" w:right="339" w:bottom="1440" w:gutter="0" w:footer="0" w:header="0"/>
          <w:type w:val="continuous"/>
        </w:sectPr>
      </w:pPr>
    </w:p>
    <w:p>
      <w:pPr>
        <w:jc w:val="both"/>
        <w:ind w:left="1480"/>
        <w:spacing w:after="0" w:line="259" w:lineRule="auto"/>
        <w:rPr>
          <w:sz w:val="20"/>
          <w:szCs w:val="20"/>
          <w:color w:val="auto"/>
        </w:rPr>
      </w:pPr>
      <w:r>
        <w:rPr>
          <w:rFonts w:ascii="Arial" w:cs="Arial" w:eastAsia="Arial" w:hAnsi="Arial"/>
          <w:sz w:val="18"/>
          <w:szCs w:val="18"/>
          <w:color w:val="auto"/>
        </w:rPr>
        <w:t>Auditing management’s estimates for excess and obsolete inventory involved subjective auditor judgment because the estimates rely on a number of factors that are affected by market and economic conditions outside the Company’s control. In particular, the obsolete and excess inventory calculations are sensitive to significant assumptions, including demand for the Company’s products and expected industry sales growth.</w:t>
      </w:r>
    </w:p>
    <w:p>
      <w:pPr>
        <w:sectPr>
          <w:pgSz w:w="11900" w:h="16838" w:orient="portrait"/>
          <w:cols w:equalWidth="0" w:num="1">
            <w:col w:w="11240"/>
          </w:cols>
          <w:pgMar w:left="320" w:top="908" w:right="3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obtained an understanding, evaluated the design, and tested the operating effectiveness of internal controls over the Company’s</w:t>
      </w:r>
    </w:p>
    <w:p>
      <w:pPr>
        <w:spacing w:after="0" w:line="46" w:lineRule="exact"/>
        <w:rPr>
          <w:sz w:val="20"/>
          <w:szCs w:val="20"/>
          <w:color w:val="auto"/>
        </w:rPr>
      </w:pPr>
    </w:p>
    <w:p>
      <w:pPr>
        <w:sectPr>
          <w:pgSz w:w="11900" w:h="16838" w:orient="portrait"/>
          <w:cols w:equalWidth="0" w:num="2">
            <w:col w:w="760" w:space="720"/>
            <w:col w:w="9760"/>
          </w:cols>
          <w:pgMar w:left="320" w:top="908" w:right="339" w:bottom="1440" w:gutter="0" w:footer="0" w:header="0"/>
          <w:type w:val="continuous"/>
        </w:sectPr>
      </w:pPr>
    </w:p>
    <w:p>
      <w:pPr>
        <w:spacing w:after="0"/>
        <w:tabs>
          <w:tab w:leader="none" w:pos="1460" w:val="left"/>
        </w:tabs>
        <w:rPr>
          <w:sz w:val="20"/>
          <w:szCs w:val="20"/>
          <w:color w:val="auto"/>
        </w:rPr>
      </w:pPr>
      <w:r>
        <w:rPr>
          <w:rFonts w:ascii="Arial" w:cs="Arial" w:eastAsia="Arial" w:hAnsi="Arial"/>
          <w:sz w:val="18"/>
          <w:szCs w:val="18"/>
          <w:i w:val="1"/>
          <w:iCs w:val="1"/>
          <w:color w:val="auto"/>
        </w:rPr>
        <w:t>We Addressed the</w:t>
      </w:r>
      <w:r>
        <w:rPr>
          <w:sz w:val="20"/>
          <w:szCs w:val="20"/>
          <w:color w:val="auto"/>
        </w:rPr>
        <w:tab/>
      </w:r>
      <w:r>
        <w:rPr>
          <w:rFonts w:ascii="Arial" w:cs="Arial" w:eastAsia="Arial" w:hAnsi="Arial"/>
          <w:sz w:val="16"/>
          <w:szCs w:val="16"/>
          <w:color w:val="auto"/>
        </w:rPr>
        <w:t>excess and obsolete inventory reserve process. This included management’s assessment of the assumptions and data underlying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i w:val="1"/>
                <w:iCs w:val="1"/>
                <w:color w:val="auto"/>
              </w:rPr>
              <w:t>Matter in</w:t>
            </w:r>
          </w:p>
        </w:tc>
        <w:tc>
          <w:tcPr>
            <w:tcW w:w="10140" w:type="dxa"/>
            <w:vAlign w:val="bottom"/>
          </w:tcPr>
          <w:p>
            <w:pPr>
              <w:ind w:left="380"/>
              <w:spacing w:after="0"/>
              <w:rPr>
                <w:sz w:val="20"/>
                <w:szCs w:val="20"/>
                <w:color w:val="auto"/>
              </w:rPr>
            </w:pPr>
            <w:r>
              <w:rPr>
                <w:rFonts w:ascii="Arial" w:cs="Arial" w:eastAsia="Arial" w:hAnsi="Arial"/>
                <w:sz w:val="18"/>
                <w:szCs w:val="18"/>
                <w:color w:val="auto"/>
              </w:rPr>
              <w:t>excess and obsolete inventory valuation.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Our Audit</w:t>
            </w:r>
          </w:p>
        </w:tc>
        <w:tc>
          <w:tcPr>
            <w:tcW w:w="10140" w:type="dxa"/>
            <w:vAlign w:val="bottom"/>
            <w:vMerge w:val="restart"/>
          </w:tcPr>
          <w:p>
            <w:pPr>
              <w:ind w:left="380"/>
              <w:spacing w:after="0"/>
              <w:rPr>
                <w:sz w:val="20"/>
                <w:szCs w:val="20"/>
                <w:color w:val="auto"/>
              </w:rPr>
            </w:pPr>
            <w:r>
              <w:rPr>
                <w:rFonts w:ascii="Arial" w:cs="Arial" w:eastAsia="Arial" w:hAnsi="Arial"/>
                <w:sz w:val="18"/>
                <w:szCs w:val="18"/>
                <w:color w:val="auto"/>
                <w:w w:val="92"/>
              </w:rPr>
              <w:t>Our substantive audit procedures included, among others, evaluating the significant assumptions stated above and the accuracy and</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17"/>
                <w:szCs w:val="17"/>
                <w:color w:val="auto"/>
              </w:rPr>
            </w:pPr>
          </w:p>
        </w:tc>
        <w:tc>
          <w:tcPr>
            <w:tcW w:w="10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140" w:type="dxa"/>
            <w:vAlign w:val="bottom"/>
          </w:tcPr>
          <w:p>
            <w:pPr>
              <w:ind w:left="380"/>
              <w:spacing w:after="0"/>
              <w:rPr>
                <w:sz w:val="20"/>
                <w:szCs w:val="20"/>
                <w:color w:val="auto"/>
              </w:rPr>
            </w:pPr>
            <w:r>
              <w:rPr>
                <w:rFonts w:ascii="Arial" w:cs="Arial" w:eastAsia="Arial" w:hAnsi="Arial"/>
                <w:sz w:val="18"/>
                <w:szCs w:val="18"/>
                <w:color w:val="auto"/>
                <w:w w:val="93"/>
              </w:rPr>
              <w:t>completeness of the underlying data management used to value excess and obsolete inventory. We compared the cost of on-hand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140" w:type="dxa"/>
            <w:vAlign w:val="bottom"/>
          </w:tcPr>
          <w:p>
            <w:pPr>
              <w:ind w:left="380"/>
              <w:spacing w:after="0"/>
              <w:rPr>
                <w:sz w:val="20"/>
                <w:szCs w:val="20"/>
                <w:color w:val="auto"/>
              </w:rPr>
            </w:pPr>
            <w:r>
              <w:rPr>
                <w:rFonts w:ascii="Arial" w:cs="Arial" w:eastAsia="Arial" w:hAnsi="Arial"/>
                <w:sz w:val="18"/>
                <w:szCs w:val="18"/>
                <w:color w:val="auto"/>
                <w:w w:val="92"/>
              </w:rPr>
              <w:t>inventories to historical sales and evaluated adjustments to sales forecasts for specific product considerations, such as technological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140" w:type="dxa"/>
            <w:vAlign w:val="bottom"/>
          </w:tcPr>
          <w:p>
            <w:pPr>
              <w:ind w:left="380"/>
              <w:spacing w:after="0"/>
              <w:rPr>
                <w:sz w:val="20"/>
                <w:szCs w:val="20"/>
                <w:color w:val="auto"/>
              </w:rPr>
            </w:pPr>
            <w:r>
              <w:rPr>
                <w:rFonts w:ascii="Arial" w:cs="Arial" w:eastAsia="Arial" w:hAnsi="Arial"/>
                <w:sz w:val="18"/>
                <w:szCs w:val="18"/>
                <w:color w:val="auto"/>
                <w:w w:val="91"/>
              </w:rPr>
              <w:t>changes or alternative uses. We also assessed the historical accuracy of management’s estimates and performed sensitivity analyses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140" w:type="dxa"/>
            <w:vAlign w:val="bottom"/>
          </w:tcPr>
          <w:p>
            <w:pPr>
              <w:ind w:left="380"/>
              <w:spacing w:after="0"/>
              <w:rPr>
                <w:sz w:val="20"/>
                <w:szCs w:val="20"/>
                <w:color w:val="auto"/>
              </w:rPr>
            </w:pPr>
            <w:r>
              <w:rPr>
                <w:rFonts w:ascii="Arial" w:cs="Arial" w:eastAsia="Arial" w:hAnsi="Arial"/>
                <w:sz w:val="18"/>
                <w:szCs w:val="18"/>
                <w:color w:val="auto"/>
                <w:w w:val="90"/>
              </w:rPr>
              <w:t>over the significant assumptions to evaluate the changes in the obsolete and excess inventory estimates that would result from changes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140" w:type="dxa"/>
            <w:vAlign w:val="bottom"/>
          </w:tcPr>
          <w:p>
            <w:pPr>
              <w:ind w:left="380"/>
              <w:spacing w:after="0"/>
              <w:rPr>
                <w:sz w:val="20"/>
                <w:szCs w:val="20"/>
                <w:color w:val="auto"/>
              </w:rPr>
            </w:pPr>
            <w:r>
              <w:rPr>
                <w:rFonts w:ascii="Arial" w:cs="Arial" w:eastAsia="Arial" w:hAnsi="Arial"/>
                <w:sz w:val="18"/>
                <w:szCs w:val="18"/>
                <w:color w:val="auto"/>
              </w:rPr>
              <w:t>in the underlying assumptions.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71525" cy="9512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715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71525" cy="9512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715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Kornit Digital Ltd and subsidiaries’ internal control over financial reporting as of December 31, 2019, based on criteria established in Internal Control - Integrated Framework issued by the Committee of Sponsoring Organizations of the Treadway Commission (2013 framework) (the COSO criteria). In our opinion, Kornit Digital Ltd and subsidiaries (the “Company”) maintained, in all material respects, effective internal control over financial reporting as of December 31, 2019, based on the COSO criteria.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(loss), change in shareholders’ equity and cash flows for each of the three years in the period ended December 31, 2019, and the related notes and our report dated March 23,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Short-term bank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30,030</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accounts receivable and prepaid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6,985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253,282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140,756</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44,603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Deposits and 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Severance pay fund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152,184</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74,067</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405,466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Employees and payroll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revenues and advances from customers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45,577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33,172</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severance pay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21,586</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Ordinary shares of NIS 0.01 par value –</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Authorized: 200,000,000 shares at December 31, 2019 and 2018, respectively; Issued and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40,684,340 shares and 35,065,200 shares at December 31, 2019 and 2018,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304,617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156,714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32,738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22,571</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338,303</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405,466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156,594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101,953</w:t>
            </w:r>
          </w:p>
        </w:tc>
        <w:tc>
          <w:tcPr>
            <w:tcW w:w="0" w:type="dxa"/>
            <w:vAlign w:val="bottom"/>
          </w:tcPr>
          <w:p>
            <w:pPr>
              <w:spacing w:after="0"/>
              <w:rPr>
                <w:sz w:val="1"/>
                <w:szCs w:val="1"/>
                <w:color w:val="auto"/>
              </w:rPr>
            </w:pPr>
          </w:p>
        </w:tc>
      </w:tr>
      <w:tr>
        <w:trPr>
          <w:trHeight w:val="23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23,272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16,644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12,135</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179,866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71,057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53,303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49"/>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26,733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19,201</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97,790</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72,504</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82,076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69,869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54,111</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20,834</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33,573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25,596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21,279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13,578</w:t>
            </w:r>
          </w:p>
        </w:tc>
        <w:tc>
          <w:tcPr>
            <w:tcW w:w="0" w:type="dxa"/>
            <w:vAlign w:val="bottom"/>
          </w:tcPr>
          <w:p>
            <w:pPr>
              <w:spacing w:after="0"/>
              <w:rPr>
                <w:sz w:val="1"/>
                <w:szCs w:val="1"/>
                <w:color w:val="auto"/>
              </w:rPr>
            </w:pPr>
          </w:p>
        </w:tc>
      </w:tr>
      <w:tr>
        <w:trPr>
          <w:trHeight w:val="23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2"/>
          </w:tcPr>
          <w:p>
            <w:pPr>
              <w:spacing w:after="0" w:line="156"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line="156" w:lineRule="exact"/>
              <w:rPr>
                <w:sz w:val="20"/>
                <w:szCs w:val="20"/>
                <w:color w:val="auto"/>
              </w:rPr>
            </w:pPr>
            <w:r>
              <w:rPr>
                <w:rFonts w:ascii="Arial" w:cs="Arial" w:eastAsia="Arial" w:hAnsi="Arial"/>
                <w:sz w:val="18"/>
                <w:szCs w:val="18"/>
                <w:color w:val="auto"/>
              </w:rPr>
              <w:t>74,478</w:t>
            </w:r>
          </w:p>
        </w:tc>
        <w:tc>
          <w:tcPr>
            <w:tcW w:w="240" w:type="dxa"/>
            <w:vAlign w:val="bottom"/>
          </w:tcPr>
          <w:p>
            <w:pPr>
              <w:spacing w:after="0"/>
              <w:rPr>
                <w:sz w:val="15"/>
                <w:szCs w:val="15"/>
                <w:color w:val="auto"/>
              </w:rPr>
            </w:pPr>
          </w:p>
        </w:tc>
        <w:tc>
          <w:tcPr>
            <w:tcW w:w="108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64,265</w:t>
            </w:r>
          </w:p>
        </w:tc>
        <w:tc>
          <w:tcPr>
            <w:tcW w:w="30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56,194</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6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7,598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5,604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Financial income, net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3,313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1,433</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Income (loss) before taxes on income (tax benefit)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10,911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7,037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3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(5,392)</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(2,015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(losses)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(losses)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marketable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tcPr>
          <w:p>
            <w:pPr>
              <w:ind w:left="180"/>
              <w:spacing w:after="0" w:line="201" w:lineRule="exact"/>
              <w:rPr>
                <w:sz w:val="20"/>
                <w:szCs w:val="20"/>
                <w:color w:val="auto"/>
              </w:rPr>
            </w:pPr>
            <w:r>
              <w:rPr>
                <w:rFonts w:ascii="Arial" w:cs="Arial" w:eastAsia="Arial" w:hAnsi="Arial"/>
                <w:sz w:val="18"/>
                <w:szCs w:val="18"/>
                <w:color w:val="auto"/>
                <w:w w:val="94"/>
              </w:rPr>
              <w:t>Unrealized gains (losses) arising during the period, net of taxes on income (tax benefit) of $73,</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$(36) and $0, respectively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(887)</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(gains) reclassified into net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cash flow hedges: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tcPr>
          <w:p>
            <w:pPr>
              <w:ind w:left="180"/>
              <w:spacing w:after="0" w:line="201" w:lineRule="exact"/>
              <w:rPr>
                <w:sz w:val="20"/>
                <w:szCs w:val="20"/>
                <w:color w:val="auto"/>
              </w:rPr>
            </w:pPr>
            <w:r>
              <w:rPr>
                <w:rFonts w:ascii="Arial" w:cs="Arial" w:eastAsia="Arial" w:hAnsi="Arial"/>
                <w:sz w:val="18"/>
                <w:szCs w:val="18"/>
                <w:color w:val="auto"/>
                <w:w w:val="93"/>
              </w:rPr>
              <w:t>Unrealized gains (losses) arising during the period, taxes on income (tax benefit) of $8, $(7)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$0, respectively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(gains) reclassified into net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(1,632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Ordinary shares</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600" w:type="dxa"/>
            <w:vAlign w:val="bottom"/>
          </w:tcPr>
          <w:p>
            <w:pPr>
              <w:spacing w:after="0"/>
              <w:rPr>
                <w:sz w:val="17"/>
                <w:szCs w:val="17"/>
                <w:color w:val="auto"/>
              </w:rPr>
            </w:pPr>
          </w:p>
        </w:tc>
        <w:tc>
          <w:tcPr>
            <w:tcW w:w="1040" w:type="dxa"/>
            <w:vAlign w:val="bottom"/>
            <w:gridSpan w:val="2"/>
          </w:tcPr>
          <w:p>
            <w:pPr>
              <w:jc w:val="right"/>
              <w:ind w:right="180"/>
              <w:spacing w:after="0" w:line="198"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ind w:left="120"/>
              <w:spacing w:after="0" w:line="198" w:lineRule="exact"/>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21"/>
              <w:spacing w:after="0" w:line="198" w:lineRule="exact"/>
              <w:rPr>
                <w:sz w:val="20"/>
                <w:szCs w:val="20"/>
                <w:color w:val="auto"/>
              </w:rPr>
            </w:pPr>
            <w:r>
              <w:rPr>
                <w:rFonts w:ascii="Arial" w:cs="Arial" w:eastAsia="Arial" w:hAnsi="Arial"/>
                <w:sz w:val="18"/>
                <w:szCs w:val="18"/>
                <w:b w:val="1"/>
                <w:bCs w:val="1"/>
                <w:color w:val="auto"/>
                <w:w w:val="93"/>
              </w:rPr>
              <w:t>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r>
      <w:tr>
        <w:trPr>
          <w:trHeight w:val="216"/>
        </w:trPr>
        <w:tc>
          <w:tcPr>
            <w:tcW w:w="46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paid in</w:t>
            </w:r>
          </w:p>
        </w:tc>
        <w:tc>
          <w:tcPr>
            <w:tcW w:w="138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comprehensive</w:t>
            </w:r>
          </w:p>
        </w:tc>
        <w:tc>
          <w:tcPr>
            <w:tcW w:w="8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Retained</w:t>
            </w: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5"/>
              </w:rPr>
              <w:t>Shareholders'</w:t>
            </w:r>
          </w:p>
        </w:tc>
      </w:tr>
      <w:tr>
        <w:trPr>
          <w:trHeight w:val="241"/>
        </w:trPr>
        <w:tc>
          <w:tcPr>
            <w:tcW w:w="46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outstanding</w:t>
            </w:r>
          </w:p>
        </w:tc>
        <w:tc>
          <w:tcPr>
            <w:tcW w:w="1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capital</w:t>
            </w:r>
          </w:p>
        </w:tc>
        <w:tc>
          <w:tcPr>
            <w:tcW w:w="100" w:type="dxa"/>
            <w:vAlign w:val="bottom"/>
          </w:tcPr>
          <w:p>
            <w:pPr>
              <w:spacing w:after="0"/>
              <w:rPr>
                <w:sz w:val="20"/>
                <w:szCs w:val="20"/>
                <w:color w:val="auto"/>
              </w:rPr>
            </w:pPr>
          </w:p>
        </w:tc>
        <w:tc>
          <w:tcPr>
            <w:tcW w:w="128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84"/>
              </w:rPr>
              <w:t>income (loss)</w:t>
            </w:r>
          </w:p>
        </w:tc>
        <w:tc>
          <w:tcPr>
            <w:tcW w:w="8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16"/>
        </w:trPr>
        <w:tc>
          <w:tcPr>
            <w:tcW w:w="46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30,989,873</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94,966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107,188</w:t>
            </w:r>
          </w:p>
        </w:tc>
        <w:tc>
          <w:tcPr>
            <w:tcW w:w="80" w:type="dxa"/>
            <w:vAlign w:val="bottom"/>
            <w:shd w:val="clear" w:color="auto" w:fill="CCEEFF"/>
          </w:tcPr>
          <w:p>
            <w:pPr>
              <w:spacing w:after="0"/>
              <w:rPr>
                <w:sz w:val="18"/>
                <w:szCs w:val="18"/>
                <w:color w:val="auto"/>
              </w:rPr>
            </w:pP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w w:val="98"/>
              </w:rPr>
              <w:t>Issuance of ordinary shares in a secondary offering, net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issuance costs in an amount of $981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35,071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35,077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834,350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4,411</w:t>
            </w: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Cumulative effect of a change in accounting principle related</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stock-based compensation</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Warrants to customers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2,895</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(2,015)</w:t>
            </w: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34,124,223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and vesting of restricted stock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940,977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6,425</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5,546</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Warrants to customers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4,576</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(539)</w:t>
            </w:r>
          </w:p>
        </w:tc>
      </w:tr>
      <w:tr>
        <w:trPr>
          <w:trHeight w:val="24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w:t>
            </w: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r>
      <w:tr>
        <w:trPr>
          <w:trHeight w:val="210"/>
        </w:trPr>
        <w:tc>
          <w:tcPr>
            <w:tcW w:w="4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2018</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35,065,200</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156,714</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22,571</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179,136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w w:val="98"/>
              </w:rPr>
              <w:t>Issuance of ordinary shares in a secondary offering, net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issuance costs in an amount of $669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4,991,000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130,296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130,310</w:t>
            </w:r>
          </w:p>
        </w:tc>
        <w:tc>
          <w:tcPr>
            <w:tcW w:w="80" w:type="dxa"/>
            <w:vAlign w:val="bottom"/>
          </w:tcPr>
          <w:p>
            <w:pPr>
              <w:spacing w:after="0"/>
              <w:rPr>
                <w:sz w:val="20"/>
                <w:szCs w:val="20"/>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and vesting of restricted stock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628,140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5,901</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6,614</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Warrants to customers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8"/>
                <w:szCs w:val="18"/>
                <w:color w:val="auto"/>
              </w:rPr>
            </w:pP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10,167</w:t>
            </w: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10,167</w:t>
            </w:r>
          </w:p>
        </w:tc>
      </w:tr>
      <w:tr>
        <w:trPr>
          <w:trHeight w:val="210"/>
        </w:trPr>
        <w:tc>
          <w:tcPr>
            <w:tcW w:w="4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40,684,340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105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304,617</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32,738</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338,303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3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6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Amortization of premium (discount) on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loss (gain) on sale of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Decrease (increase) in trade receivables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(18,617)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Decrease (increase) in inventories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4,037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(10,629)</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operating leases right-of-use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Increase in deferred taxes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(6,665)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deposits and long-term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Increase (decrease) in trade payables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6,032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operating lease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Increase in employees and payroll accruals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accrued severance pay,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Decrease (increase) in other long-term liabilities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and disposal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7"/>
        </w:trPr>
        <w:tc>
          <w:tcPr>
            <w:tcW w:w="7320" w:type="dxa"/>
            <w:vAlign w:val="bottom"/>
            <w:gridSpan w:val="3"/>
          </w:tcPr>
          <w:p>
            <w:pPr>
              <w:spacing w:after="0"/>
              <w:rPr>
                <w:sz w:val="20"/>
                <w:szCs w:val="20"/>
                <w:color w:val="auto"/>
              </w:rPr>
            </w:pPr>
            <w:r>
              <w:rPr>
                <w:rFonts w:ascii="Arial" w:cs="Arial" w:eastAsia="Arial" w:hAnsi="Arial"/>
                <w:sz w:val="18"/>
                <w:szCs w:val="18"/>
                <w:color w:val="auto"/>
              </w:rPr>
              <w:t>Foreign currency translation gain (loss) on intercompany balances with foreign subsidiaries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11,004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33,368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(5,416)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of intangible assets and capitalization of software development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Investment in short-term bank deposits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(90,000)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39,353</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37"/>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(115,529)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(22,723)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(83,183)</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(179,497)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(46,744)</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public offering, net of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35,077</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Exercise of employee stock options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5,901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Payments related to shares withheld for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gridSpan w:val="3"/>
          </w:tcPr>
          <w:p>
            <w:pPr>
              <w:spacing w:after="0"/>
              <w:rPr>
                <w:sz w:val="20"/>
                <w:szCs w:val="20"/>
                <w:color w:val="auto"/>
              </w:rPr>
            </w:pPr>
            <w:r>
              <w:rPr>
                <w:rFonts w:ascii="Arial" w:cs="Arial" w:eastAsia="Arial" w:hAnsi="Arial"/>
                <w:sz w:val="18"/>
                <w:szCs w:val="18"/>
                <w:color w:val="auto"/>
              </w:rPr>
              <w:t>Payment of contingent consideration</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135,131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5,525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36,437</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74,132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18,629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40,743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74,132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526"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disclosure of cash flow information</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paid during the year for income taxes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709"/>
        </w:trPr>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1"/>
        </w:trPr>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137160</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6600" w:space="720"/>
            <w:col w:w="3920"/>
          </w:cols>
          <w:pgMar w:left="320" w:top="904"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acquired by credit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transferred to be used as property, plant and equipment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arising from obtaining right-of-use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9,640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left="1620" w:hanging="640"/>
        <w:spacing w:after="0" w:line="259"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86"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established wholly owned subsidiaries in Israel, the United States, Germany, Hong Kong and the United Kingdom. The Company’s subsidiaries are engaged primarily in services, sales, and marketing, except for the Israeli subsidiary which is engaged primarily in research and development and manufacturing.</w:t>
      </w:r>
    </w:p>
    <w:p>
      <w:pPr>
        <w:spacing w:after="0" w:line="183" w:lineRule="exact"/>
        <w:rPr>
          <w:rFonts w:ascii="Arial" w:cs="Arial" w:eastAsia="Arial" w:hAnsi="Arial"/>
          <w:sz w:val="18"/>
          <w:szCs w:val="18"/>
          <w:color w:val="auto"/>
        </w:rPr>
      </w:pPr>
    </w:p>
    <w:p>
      <w:pPr>
        <w:jc w:val="both"/>
        <w:ind w:left="1620" w:hanging="640"/>
        <w:spacing w:after="0" w:line="279" w:lineRule="auto"/>
        <w:tabs>
          <w:tab w:leader="none" w:pos="16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depends on four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7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June 18, 2019, the Company closed a follow on and secondary offering where 4,991,000 ordinary shares were sold in the transaction to the public. The aggregate net proceeds received by the Company from the offering were $129,710, net of underwriting discounts, commissions and offering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620" w:hanging="64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620"/>
        <w:spacing w:after="0" w:line="275" w:lineRule="auto"/>
        <w:rPr>
          <w:rFonts w:ascii="Arial" w:cs="Arial" w:eastAsia="Arial" w:hAnsi="Arial"/>
          <w:sz w:val="18"/>
          <w:szCs w:val="18"/>
          <w:color w:val="auto"/>
        </w:rPr>
      </w:pPr>
      <w:r>
        <w:rPr>
          <w:rFonts w:ascii="Arial" w:cs="Arial" w:eastAsia="Arial" w:hAnsi="Arial"/>
          <w:sz w:val="17"/>
          <w:szCs w:val="17"/>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76" w:lineRule="exact"/>
        <w:rPr>
          <w:rFonts w:ascii="Arial" w:cs="Arial" w:eastAsia="Arial" w:hAnsi="Arial"/>
          <w:sz w:val="18"/>
          <w:szCs w:val="18"/>
          <w:color w:val="auto"/>
        </w:rPr>
      </w:pPr>
    </w:p>
    <w:p>
      <w:pPr>
        <w:jc w:val="both"/>
        <w:ind w:left="1620"/>
        <w:spacing w:after="0" w:line="301" w:lineRule="auto"/>
        <w:rPr>
          <w:rFonts w:ascii="Arial" w:cs="Arial" w:eastAsia="Arial" w:hAnsi="Arial"/>
          <w:sz w:val="18"/>
          <w:szCs w:val="18"/>
          <w:color w:val="auto"/>
        </w:rPr>
      </w:pPr>
      <w:r>
        <w:rPr>
          <w:rFonts w:ascii="Arial" w:cs="Arial" w:eastAsia="Arial" w:hAnsi="Arial"/>
          <w:sz w:val="16"/>
          <w:szCs w:val="16"/>
          <w:color w:val="auto"/>
        </w:rPr>
        <w:t>On an ongoing basis, the Company’s management evaluates estimates, including those related to intangible assets and goodwill, tax assets and liabilities, fair values of stock-based awards, inventory write-offs, warranty provision, allowance for bad debt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620" w:hanging="640"/>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25" w:lineRule="exact"/>
        <w:rPr>
          <w:rFonts w:ascii="Arial" w:cs="Arial" w:eastAsia="Arial" w:hAnsi="Arial"/>
          <w:sz w:val="18"/>
          <w:szCs w:val="18"/>
          <w:color w:val="auto"/>
        </w:rPr>
      </w:pPr>
    </w:p>
    <w:p>
      <w:pPr>
        <w:jc w:val="both"/>
        <w:ind w:left="1620"/>
        <w:spacing w:after="0" w:line="291" w:lineRule="auto"/>
        <w:rPr>
          <w:rFonts w:ascii="Arial" w:cs="Arial" w:eastAsia="Arial" w:hAnsi="Arial"/>
          <w:sz w:val="18"/>
          <w:szCs w:val="18"/>
          <w:color w:val="auto"/>
        </w:rPr>
      </w:pPr>
      <w:r>
        <w:rPr>
          <w:rFonts w:ascii="Arial" w:cs="Arial" w:eastAsia="Arial" w:hAnsi="Arial"/>
          <w:sz w:val="16"/>
          <w:szCs w:val="16"/>
          <w:color w:val="auto"/>
        </w:rPr>
        <w:t>A majority of the revenues of the Company and its subsidiaries are denominated in U.S. dollars (“dollar” or “dollars”).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net in the period in which the currency exchange rates change.</w:t>
      </w:r>
    </w:p>
    <w:p>
      <w:pPr>
        <w:spacing w:after="0" w:line="166" w:lineRule="exact"/>
        <w:rPr>
          <w:rFonts w:ascii="Arial" w:cs="Arial" w:eastAsia="Arial" w:hAnsi="Arial"/>
          <w:sz w:val="18"/>
          <w:szCs w:val="18"/>
          <w:color w:val="auto"/>
        </w:rPr>
      </w:pPr>
    </w:p>
    <w:p>
      <w:pPr>
        <w:jc w:val="both"/>
        <w:ind w:left="1620"/>
        <w:spacing w:after="0" w:line="257" w:lineRule="auto"/>
        <w:rPr>
          <w:rFonts w:ascii="Arial" w:cs="Arial" w:eastAsia="Arial" w:hAnsi="Arial"/>
          <w:sz w:val="18"/>
          <w:szCs w:val="18"/>
          <w:color w:val="auto"/>
        </w:rPr>
      </w:pPr>
      <w:r>
        <w:rPr>
          <w:rFonts w:ascii="Arial" w:cs="Arial" w:eastAsia="Arial" w:hAnsi="Arial"/>
          <w:sz w:val="18"/>
          <w:szCs w:val="18"/>
          <w:color w:val="auto"/>
        </w:rPr>
        <w:t>For the Company’s subsidiary in Germany whose functional currency is the Euro, all amounts on the balance sheets have been translated into the dollar using the exchange rates in effect on the relevant balance sheet dates. All amounts in the statements of operations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87" w:lineRule="exact"/>
        <w:rPr>
          <w:rFonts w:ascii="Arial" w:cs="Arial" w:eastAsia="Arial" w:hAnsi="Arial"/>
          <w:sz w:val="18"/>
          <w:szCs w:val="18"/>
          <w:color w:val="auto"/>
        </w:rPr>
      </w:pPr>
    </w:p>
    <w:p>
      <w:pPr>
        <w:ind w:left="1620" w:hanging="640"/>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sales have been eliminated upon consolidation.</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Short-term bank deposits:</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Short-term bank deposits are deposits with an original maturity of more than three months but less than one year from the date of acquisition.</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225" w:lineRule="exact"/>
        <w:rPr>
          <w:rFonts w:ascii="Arial" w:cs="Arial" w:eastAsia="Arial" w:hAnsi="Arial"/>
          <w:sz w:val="18"/>
          <w:szCs w:val="18"/>
          <w:color w:val="auto"/>
        </w:rPr>
      </w:pPr>
    </w:p>
    <w:p>
      <w:pPr>
        <w:jc w:val="both"/>
        <w:ind w:left="162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investments in marketable securities in accordance with ASC 320, “Investments - Debt and Equity Securities”. Management determines the appropriate classification of its investments at the time of purchase and re-evaluates such determinations at each balance sheet date. The Company classifies its marketable securities as either short-term or long-term based on each instrument’s underlying contractual maturity date and the entity’s expectations of sales and redemptions in the following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The Company classifies all of its marketable securities as available-for-sale. Available-for-sale securities are carried at fair value, with the unrealized gains and losses, net of tax, reported in “accumulated other comprehensive income (loss)” in shareholders’ equity. Realized gains and losses on sales of marketable securities are included in financial income, net and are derived using the specific identification method for determining the cost of securities.</w:t>
      </w:r>
    </w:p>
    <w:p>
      <w:pPr>
        <w:spacing w:after="0" w:line="187" w:lineRule="exact"/>
        <w:rPr>
          <w:sz w:val="20"/>
          <w:szCs w:val="20"/>
          <w:color w:val="auto"/>
        </w:rPr>
      </w:pPr>
    </w:p>
    <w:p>
      <w:pPr>
        <w:jc w:val="both"/>
        <w:ind w:left="1620"/>
        <w:spacing w:after="0" w:line="277" w:lineRule="auto"/>
        <w:rPr>
          <w:sz w:val="20"/>
          <w:szCs w:val="20"/>
          <w:color w:val="auto"/>
        </w:rPr>
      </w:pPr>
      <w:r>
        <w:rPr>
          <w:rFonts w:ascii="Arial" w:cs="Arial" w:eastAsia="Arial" w:hAnsi="Arial"/>
          <w:sz w:val="18"/>
          <w:szCs w:val="18"/>
          <w:color w:val="auto"/>
        </w:rPr>
        <w:t>The amortized cost of marketable securities is adjusted for amortization of premium and accretion of discount to maturity, both of which, together with interest, are included in financial income, net.</w:t>
      </w:r>
    </w:p>
    <w:p>
      <w:pPr>
        <w:spacing w:after="0" w:line="170" w:lineRule="exact"/>
        <w:rPr>
          <w:sz w:val="20"/>
          <w:szCs w:val="20"/>
          <w:color w:val="auto"/>
        </w:rPr>
      </w:pPr>
    </w:p>
    <w:p>
      <w:pPr>
        <w:jc w:val="both"/>
        <w:ind w:left="1620"/>
        <w:spacing w:after="0" w:line="271" w:lineRule="auto"/>
        <w:rPr>
          <w:sz w:val="20"/>
          <w:szCs w:val="20"/>
          <w:color w:val="auto"/>
        </w:rPr>
      </w:pPr>
      <w:r>
        <w:rPr>
          <w:rFonts w:ascii="Arial" w:cs="Arial" w:eastAsia="Arial" w:hAnsi="Arial"/>
          <w:sz w:val="17"/>
          <w:szCs w:val="17"/>
          <w:color w:val="auto"/>
        </w:rPr>
        <w:t>The Company recognizes an impairment charge when a decline in the fair value of its investments in marketable securities below the cost basis of such securities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that are deemed other-than-temporarily impaired (“OTTI”), the amount of impairment is recognized in the statement of operations and is limited to the amount related to credit losses, while impairment related to other factors is recognized in accumulated other comprehensive income (loss). The Company did not recognize any impairment with respect to OTTI on its marketable securities in 2019, 2018 and 2017.</w:t>
      </w:r>
    </w:p>
    <w:p>
      <w:pPr>
        <w:spacing w:after="0" w:line="178" w:lineRule="exact"/>
        <w:rPr>
          <w:sz w:val="20"/>
          <w:szCs w:val="20"/>
          <w:color w:val="auto"/>
        </w:rPr>
      </w:pPr>
    </w:p>
    <w:p>
      <w:pPr>
        <w:ind w:left="1620" w:hanging="640"/>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jc w:val="both"/>
        <w:ind w:left="1620"/>
        <w:spacing w:after="0" w:line="311" w:lineRule="auto"/>
        <w:rPr>
          <w:rFonts w:ascii="Arial" w:cs="Arial" w:eastAsia="Arial" w:hAnsi="Arial"/>
          <w:sz w:val="18"/>
          <w:szCs w:val="18"/>
          <w:color w:val="auto"/>
        </w:rPr>
      </w:pPr>
      <w:r>
        <w:rPr>
          <w:rFonts w:ascii="Arial" w:cs="Arial" w:eastAsia="Arial" w:hAnsi="Arial"/>
          <w:sz w:val="16"/>
          <w:szCs w:val="16"/>
          <w:color w:val="auto"/>
        </w:rPr>
        <w:t>Inventories are measured at the lower of cost or net realizable value. The cost of inventories comprises costs of purchase and costs incurred in bringing the inventories to their present location and condition. Inventory write-off is measured as the difference between the cost of the inventory and net realizable value based upon assumptions about future demand and is charged to the cost of sales.</w:t>
      </w:r>
    </w:p>
    <w:p>
      <w:pPr>
        <w:spacing w:after="0" w:line="148"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Cost of inventories is determined as follows: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Raw materials and components - on the basis of weighted average cost.</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Finished products - on the basis of average costs of materials, and other direct manufacturing cost.</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Inventory write offs have been provided to cover risks arising from slow-moving items, technological obsolescence and excess inventories according to revenue forecasts.</w:t>
      </w:r>
    </w:p>
    <w:p>
      <w:pPr>
        <w:spacing w:after="0" w:line="170"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During the years ended December 31, 2019, 2018 and 2017, the Company recorded inventory write offs in a total amount of $2,624, $1,759 and $2,988,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620" w:hanging="640"/>
        <w:spacing w:after="0"/>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25"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Property, plant and equipment are measured at cost, including directly attributable costs, less accumulated depreciation and accumulated impairment losses. Depreciation is calculated on a straight-line basis over the useful life of the assets at annual rates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Computer and peripheral equipment</w:t>
            </w:r>
          </w:p>
        </w:tc>
        <w:tc>
          <w:tcPr>
            <w:tcW w:w="5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1960" w:hanging="339"/>
        <w:spacing w:after="0" w:line="277" w:lineRule="auto"/>
        <w:tabs>
          <w:tab w:leader="none" w:pos="1940" w:val="left"/>
        </w:tabs>
        <w:rPr>
          <w:sz w:val="20"/>
          <w:szCs w:val="20"/>
          <w:color w:val="auto"/>
        </w:rPr>
      </w:pPr>
      <w:r>
        <w:rPr>
          <w:rFonts w:ascii="Arial" w:cs="Arial" w:eastAsia="Arial" w:hAnsi="Arial"/>
          <w:sz w:val="18"/>
          <w:szCs w:val="18"/>
          <w:color w:val="auto"/>
        </w:rPr>
        <w:t>*)</w:t>
        <w:tab/>
        <w:t>Leasehold improvements are amortized on a straight-line basis over the shorter of the lease term (including the extension option held by the Company and intended to be exercised) and the expected life of the improvement.</w:t>
      </w:r>
    </w:p>
    <w:p>
      <w:pPr>
        <w:spacing w:after="0" w:line="170" w:lineRule="exact"/>
        <w:rPr>
          <w:sz w:val="20"/>
          <w:szCs w:val="20"/>
          <w:color w:val="auto"/>
        </w:rPr>
      </w:pPr>
    </w:p>
    <w:p>
      <w:pPr>
        <w:jc w:val="both"/>
        <w:ind w:left="1960" w:hanging="323"/>
        <w:spacing w:after="0" w:line="286" w:lineRule="auto"/>
        <w:rPr>
          <w:sz w:val="20"/>
          <w:szCs w:val="20"/>
          <w:color w:val="auto"/>
        </w:rPr>
      </w:pPr>
      <w:r>
        <w:rPr>
          <w:rFonts w:ascii="Arial" w:cs="Arial" w:eastAsia="Arial" w:hAnsi="Arial"/>
          <w:sz w:val="17"/>
          <w:szCs w:val="17"/>
          <w:color w:val="auto"/>
        </w:rPr>
        <w:t>**) Building and land consist of land and a new ink manufacturing plant. In September 2018 the company purchased the land which includes long-term leasehold rights, with lease term of 98 years. As of December 31, 2019, the ink manufacturing plant is under construction. Depreciation of the manufacturing plant will begin upon completion of its construction.</w:t>
      </w:r>
    </w:p>
    <w:p>
      <w:pPr>
        <w:spacing w:after="0" w:line="165" w:lineRule="exact"/>
        <w:rPr>
          <w:sz w:val="20"/>
          <w:szCs w:val="20"/>
          <w:color w:val="auto"/>
        </w:rPr>
      </w:pPr>
    </w:p>
    <w:p>
      <w:pPr>
        <w:ind w:left="1620" w:hanging="640"/>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25"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w:t>
      </w:r>
    </w:p>
    <w:p>
      <w:pPr>
        <w:spacing w:after="0" w:line="18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Acquisition related costs are expensed to the statement of operations in the period incurred.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jc w:val="both"/>
        <w:ind w:left="1620"/>
        <w:spacing w:after="0" w:line="279" w:lineRule="auto"/>
        <w:rPr>
          <w:rFonts w:ascii="Arial" w:cs="Arial" w:eastAsia="Arial" w:hAnsi="Arial"/>
          <w:sz w:val="18"/>
          <w:szCs w:val="18"/>
          <w:color w:val="auto"/>
        </w:rPr>
      </w:pPr>
      <w:r>
        <w:rPr>
          <w:rFonts w:ascii="Arial" w:cs="Arial" w:eastAsia="Arial" w:hAnsi="Arial"/>
          <w:sz w:val="17"/>
          <w:szCs w:val="17"/>
          <w:color w:val="auto"/>
        </w:rPr>
        <w:t>Goodwill reflects the excess of the purchase price of business acquired over the fair value of net assets acquired. Under ASC No. 350, “Intangibles – Goodwill and other” (“ASC No. 350”), goodwill is not amortized but rather is tested for impairment at least annually or more frequently if events or changes in circumstances indicate that the carrying value may be impaired. In accordance with ASC No. 350, the Company performs an annual impairment test on December 31 of each year.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20"/>
        <w:spacing w:after="0" w:line="293" w:lineRule="auto"/>
        <w:rPr>
          <w:sz w:val="20"/>
          <w:szCs w:val="20"/>
          <w:color w:val="auto"/>
        </w:rPr>
      </w:pPr>
      <w:r>
        <w:rPr>
          <w:rFonts w:ascii="Arial" w:cs="Arial" w:eastAsia="Arial" w:hAnsi="Arial"/>
          <w:sz w:val="16"/>
          <w:szCs w:val="16"/>
          <w:color w:val="auto"/>
        </w:rPr>
        <w:t>The Company operates in one operating segment and this segment comprises the only reporting unit. The Company tests goodwill using the two-step process in accordance with ASC No. 350. The first step,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During the years ended December 31, 2019, 2018 and 2017, no impairment of goodwill has been identified.</w:t>
      </w:r>
    </w:p>
    <w:p>
      <w:pPr>
        <w:spacing w:after="0" w:line="225"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The intangible assets of the Company are not considered to have an indefinite useful life and are amortized over their useful lives. Customer relationships are amortized over their estimated useful lives in proportion to the economic benefits realized. This accounting policy results in accelerated amortization of such assets as compared to the straight-line method. Acquired technology and non-competition agreements are amortized on a straight-line basis.</w:t>
      </w:r>
    </w:p>
    <w:p>
      <w:pPr>
        <w:spacing w:after="0" w:line="187" w:lineRule="exact"/>
        <w:rPr>
          <w:sz w:val="20"/>
          <w:szCs w:val="20"/>
          <w:color w:val="auto"/>
        </w:rPr>
      </w:pPr>
    </w:p>
    <w:p>
      <w:pPr>
        <w:ind w:left="1620" w:hanging="640"/>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Impairment of long-lived assets and intangible assets subject to amortization:</w:t>
      </w:r>
    </w:p>
    <w:p>
      <w:pPr>
        <w:spacing w:after="0" w:line="225" w:lineRule="exact"/>
        <w:rPr>
          <w:rFonts w:ascii="Arial" w:cs="Arial" w:eastAsia="Arial" w:hAnsi="Arial"/>
          <w:sz w:val="18"/>
          <w:szCs w:val="18"/>
          <w:color w:val="auto"/>
        </w:rPr>
      </w:pPr>
    </w:p>
    <w:p>
      <w:pPr>
        <w:jc w:val="both"/>
        <w:ind w:left="1620"/>
        <w:spacing w:after="0" w:line="255" w:lineRule="auto"/>
        <w:rPr>
          <w:rFonts w:ascii="Arial" w:cs="Arial" w:eastAsia="Arial" w:hAnsi="Arial"/>
          <w:sz w:val="18"/>
          <w:szCs w:val="18"/>
          <w:color w:val="auto"/>
        </w:rPr>
      </w:pPr>
      <w:r>
        <w:rPr>
          <w:rFonts w:ascii="Arial" w:cs="Arial" w:eastAsia="Arial" w:hAnsi="Arial"/>
          <w:sz w:val="18"/>
          <w:szCs w:val="18"/>
          <w:color w:val="auto"/>
        </w:rPr>
        <w:t>Property, plant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9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During the years ended December 31, 2019, 2018 and 2017, no impairment losses were recorded.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620"/>
        <w:spacing w:after="0" w:line="308" w:lineRule="auto"/>
        <w:rPr>
          <w:rFonts w:ascii="Arial" w:cs="Arial" w:eastAsia="Arial" w:hAnsi="Arial"/>
          <w:sz w:val="18"/>
          <w:szCs w:val="18"/>
          <w:color w:val="auto"/>
        </w:rPr>
      </w:pPr>
      <w:r>
        <w:rPr>
          <w:rFonts w:ascii="Arial" w:cs="Arial" w:eastAsia="Arial" w:hAnsi="Arial"/>
          <w:sz w:val="17"/>
          <w:szCs w:val="17"/>
          <w:color w:val="auto"/>
        </w:rPr>
        <w:t>The Company generates revenues from sales of systems, consumables and services. The Company generates revenues from sale of its products directly to end-users and indirectly through independent distributors, all of whom are considered end-users.</w:t>
      </w:r>
    </w:p>
    <w:p>
      <w:pPr>
        <w:spacing w:after="0" w:line="146" w:lineRule="exact"/>
        <w:rPr>
          <w:rFonts w:ascii="Arial" w:cs="Arial" w:eastAsia="Arial" w:hAnsi="Arial"/>
          <w:sz w:val="18"/>
          <w:szCs w:val="18"/>
          <w:color w:val="auto"/>
        </w:rPr>
      </w:pPr>
    </w:p>
    <w:p>
      <w:pPr>
        <w:jc w:val="both"/>
        <w:ind w:left="1620"/>
        <w:spacing w:after="0" w:line="296" w:lineRule="auto"/>
        <w:rPr>
          <w:rFonts w:ascii="Arial" w:cs="Arial" w:eastAsia="Arial" w:hAnsi="Arial"/>
          <w:sz w:val="18"/>
          <w:szCs w:val="18"/>
          <w:color w:val="auto"/>
        </w:rPr>
      </w:pPr>
      <w:r>
        <w:rPr>
          <w:rFonts w:ascii="Arial" w:cs="Arial" w:eastAsia="Arial" w:hAnsi="Arial"/>
          <w:sz w:val="16"/>
          <w:szCs w:val="16"/>
          <w:color w:val="auto"/>
        </w:rPr>
        <w:t>The Company recognizes revenues in accordance with ASC No. 606, “Revenue from Contracts with Customers”. As such, the Company recognizes revenue under the core principle that transfer of control to the Company’s customers should be depicted in an amount reflecting the consideration the Company expects to receive in revenue. Therefore,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20"/>
        <w:spacing w:after="0" w:line="275" w:lineRule="auto"/>
        <w:rPr>
          <w:sz w:val="20"/>
          <w:szCs w:val="20"/>
          <w:color w:val="auto"/>
        </w:rPr>
      </w:pPr>
      <w:r>
        <w:rPr>
          <w:rFonts w:ascii="Arial" w:cs="Arial" w:eastAsia="Arial" w:hAnsi="Arial"/>
          <w:sz w:val="17"/>
          <w:szCs w:val="17"/>
          <w:color w:val="auto"/>
        </w:rPr>
        <w:t>Revenues from products, which consist of systems and consumables, are recognized at the point of time when control has transferred, in accordance with the agreed-upon delivery terms. Revenues from services are derived mainly from the sale of print heads, spare parts, upgrade kits and sale of service contracts. The Company’s print heads, spare parts and upgrade kits revenues (collectively “Spare parts”) are recognized at the point of time when control has transferred, in accordance with the agreed-upon delivery terms. Service contracts are recognized over time, on a straight-line basis, over the period of the service.</w:t>
      </w:r>
    </w:p>
    <w:p>
      <w:pPr>
        <w:spacing w:after="0" w:line="176" w:lineRule="exact"/>
        <w:rPr>
          <w:sz w:val="20"/>
          <w:szCs w:val="20"/>
          <w:color w:val="auto"/>
        </w:rPr>
      </w:pPr>
    </w:p>
    <w:p>
      <w:pPr>
        <w:jc w:val="both"/>
        <w:ind w:left="1620"/>
        <w:spacing w:after="0" w:line="272" w:lineRule="auto"/>
        <w:rPr>
          <w:sz w:val="20"/>
          <w:szCs w:val="20"/>
          <w:color w:val="auto"/>
        </w:rPr>
      </w:pPr>
      <w:r>
        <w:rPr>
          <w:rFonts w:ascii="Arial" w:cs="Arial" w:eastAsia="Arial" w:hAnsi="Arial"/>
          <w:sz w:val="17"/>
          <w:szCs w:val="17"/>
          <w:color w:val="auto"/>
        </w:rPr>
        <w:t>For multiple performance obligations arrangements, such as selling a system with service contract,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In most cases, the Company is able to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spacing w:after="0" w:line="177" w:lineRule="exact"/>
        <w:rPr>
          <w:sz w:val="20"/>
          <w:szCs w:val="20"/>
          <w:color w:val="auto"/>
        </w:rPr>
      </w:pPr>
    </w:p>
    <w:p>
      <w:pPr>
        <w:jc w:val="both"/>
        <w:ind w:left="1620"/>
        <w:spacing w:after="0" w:line="308" w:lineRule="auto"/>
        <w:rPr>
          <w:sz w:val="20"/>
          <w:szCs w:val="20"/>
          <w:color w:val="auto"/>
        </w:rPr>
      </w:pPr>
      <w:r>
        <w:rPr>
          <w:rFonts w:ascii="Arial" w:cs="Arial" w:eastAsia="Arial" w:hAnsi="Arial"/>
          <w:sz w:val="17"/>
          <w:szCs w:val="17"/>
          <w:color w:val="auto"/>
        </w:rPr>
        <w:t>The Company does not account for training and installation as a separate performance obligation due to its immateriality in the context of its contracts. Accordingly, revenues from training and installation are recognized upon the delivery of its systems.</w:t>
      </w:r>
    </w:p>
    <w:p>
      <w:pPr>
        <w:spacing w:after="0" w:line="146" w:lineRule="exact"/>
        <w:rPr>
          <w:sz w:val="20"/>
          <w:szCs w:val="20"/>
          <w:color w:val="auto"/>
        </w:rPr>
      </w:pPr>
    </w:p>
    <w:p>
      <w:pPr>
        <w:jc w:val="both"/>
        <w:ind w:left="1620"/>
        <w:spacing w:after="0" w:line="279" w:lineRule="auto"/>
        <w:rPr>
          <w:sz w:val="20"/>
          <w:szCs w:val="20"/>
          <w:color w:val="auto"/>
        </w:rPr>
      </w:pPr>
      <w:r>
        <w:rPr>
          <w:rFonts w:ascii="Arial" w:cs="Arial" w:eastAsia="Arial" w:hAnsi="Arial"/>
          <w:sz w:val="17"/>
          <w:szCs w:val="17"/>
          <w:color w:val="auto"/>
        </w:rPr>
        <w:t>The Company periodically provides customer incentive programs in the form of product discounts, volume-based rebates and warrants (see also note 10f), which are accounted for as a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71" w:lineRule="exact"/>
        <w:rPr>
          <w:sz w:val="20"/>
          <w:szCs w:val="20"/>
          <w:color w:val="auto"/>
        </w:rPr>
      </w:pPr>
    </w:p>
    <w:p>
      <w:pPr>
        <w:jc w:val="both"/>
        <w:ind w:left="1620"/>
        <w:spacing w:after="0" w:line="301" w:lineRule="auto"/>
        <w:rPr>
          <w:sz w:val="20"/>
          <w:szCs w:val="20"/>
          <w:color w:val="auto"/>
        </w:rPr>
      </w:pPr>
      <w:r>
        <w:rPr>
          <w:rFonts w:ascii="Arial" w:cs="Arial" w:eastAsia="Arial" w:hAnsi="Arial"/>
          <w:sz w:val="16"/>
          <w:szCs w:val="16"/>
          <w:color w:val="auto"/>
        </w:rPr>
        <w:t>Although, in general, the Company does not grant rights of return, there are certain instances where such rights are granted. The Company maintains a provision for returns which is estimated, based primarily on historical experience as well as management judgment, and is recorded as reduction of revenue. Such provision amounted to $721 and $570 as of December 31, 2019 and 2018, respectively and is included in accrued expenses and other current liabilities in the consolidated balance sheet.</w:t>
      </w:r>
    </w:p>
    <w:p>
      <w:pPr>
        <w:spacing w:after="0" w:line="157" w:lineRule="exact"/>
        <w:rPr>
          <w:sz w:val="20"/>
          <w:szCs w:val="20"/>
          <w:color w:val="auto"/>
        </w:rPr>
      </w:pPr>
    </w:p>
    <w:p>
      <w:pPr>
        <w:jc w:val="both"/>
        <w:ind w:left="1620"/>
        <w:spacing w:after="0" w:line="279" w:lineRule="auto"/>
        <w:rPr>
          <w:sz w:val="20"/>
          <w:szCs w:val="20"/>
          <w:color w:val="auto"/>
        </w:rPr>
      </w:pPr>
      <w:r>
        <w:rPr>
          <w:rFonts w:ascii="Arial" w:cs="Arial" w:eastAsia="Arial" w:hAnsi="Arial"/>
          <w:sz w:val="17"/>
          <w:szCs w:val="17"/>
          <w:color w:val="auto"/>
        </w:rPr>
        <w:t>Contract liabilities include amounts received from customers for which revenue has not yet been recognized. Contract liabilities amounted to $2,867 and $3,931 as of December 31, 2019 and 2018, respectively and are presented under deferred revenues and advances from customers and other long-term liabilities. During the year ended December 31, 2019, the Company recognized revenues in the amount of $1,560 which have been included in the contract liabilities at January 1, 2019.</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20"/>
        <w:spacing w:after="0" w:line="277" w:lineRule="auto"/>
        <w:rPr>
          <w:sz w:val="20"/>
          <w:szCs w:val="20"/>
          <w:color w:val="auto"/>
        </w:rPr>
      </w:pPr>
      <w:r>
        <w:rPr>
          <w:rFonts w:ascii="Arial" w:cs="Arial" w:eastAsia="Arial" w:hAnsi="Arial"/>
          <w:sz w:val="18"/>
          <w:szCs w:val="18"/>
          <w:color w:val="auto"/>
        </w:rPr>
        <w:t>In cases where the Company’s customers trade-in old systems as part of sales of new systems, the fair value of the old systems is recorded as inventory, provided that such value can be determined.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5980" w:type="dxa"/>
            <w:vAlign w:val="bottom"/>
            <w:gridSpan w:val="2"/>
          </w:tcPr>
          <w:p>
            <w:pPr>
              <w:ind w:left="40"/>
              <w:spacing w:after="0"/>
              <w:rPr>
                <w:sz w:val="20"/>
                <w:szCs w:val="20"/>
                <w:color w:val="auto"/>
              </w:rPr>
            </w:pPr>
            <w:r>
              <w:rPr>
                <w:rFonts w:ascii="Arial" w:cs="Arial" w:eastAsia="Arial" w:hAnsi="Arial"/>
                <w:sz w:val="18"/>
                <w:szCs w:val="18"/>
                <w:color w:val="auto"/>
              </w:rPr>
              <w:t>Revenue disaggregated by revenue source consists of the following:</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5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5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15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5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91,353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50,498</w:t>
            </w: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1"/>
              </w:rPr>
              <w:t>Ink and consumables</w:t>
            </w: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65,241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59,904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51,455</w:t>
            </w: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5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00" w:type="dxa"/>
            <w:vAlign w:val="bottom"/>
            <w:shd w:val="clear" w:color="auto" w:fill="CCEEFF"/>
          </w:tcPr>
          <w:p>
            <w:pPr>
              <w:spacing w:after="0"/>
              <w:rPr>
                <w:sz w:val="18"/>
                <w:szCs w:val="18"/>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Service contracts</w:t>
            </w:r>
          </w:p>
        </w:tc>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6,388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4,267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0"/>
                <w:szCs w:val="20"/>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Total revenue</w:t>
            </w:r>
          </w:p>
        </w:tc>
        <w:tc>
          <w:tcPr>
            <w:tcW w:w="5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179,866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142,373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114,088</w:t>
            </w:r>
          </w:p>
        </w:tc>
        <w:tc>
          <w:tcPr>
            <w:tcW w:w="100" w:type="dxa"/>
            <w:vAlign w:val="bottom"/>
          </w:tcPr>
          <w:p>
            <w:pPr>
              <w:spacing w:after="0"/>
              <w:rPr>
                <w:sz w:val="22"/>
                <w:szCs w:val="22"/>
                <w:color w:val="auto"/>
              </w:rPr>
            </w:pPr>
          </w:p>
        </w:tc>
      </w:tr>
      <w:tr>
        <w:trPr>
          <w:trHeight w:val="20"/>
        </w:trPr>
        <w:tc>
          <w:tcPr>
            <w:tcW w:w="15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1580" w:type="dxa"/>
            <w:vAlign w:val="bottom"/>
          </w:tcPr>
          <w:p>
            <w:pPr>
              <w:spacing w:after="0"/>
              <w:rPr>
                <w:sz w:val="24"/>
                <w:szCs w:val="24"/>
                <w:color w:val="auto"/>
              </w:rPr>
            </w:pPr>
          </w:p>
        </w:tc>
        <w:tc>
          <w:tcPr>
            <w:tcW w:w="7120" w:type="dxa"/>
            <w:vAlign w:val="bottom"/>
            <w:gridSpan w:val="4"/>
          </w:tcPr>
          <w:p>
            <w:pPr>
              <w:ind w:left="40"/>
              <w:spacing w:after="0"/>
              <w:rPr>
                <w:sz w:val="20"/>
                <w:szCs w:val="20"/>
                <w:color w:val="auto"/>
              </w:rPr>
            </w:pPr>
            <w:r>
              <w:rPr>
                <w:rFonts w:ascii="Arial" w:cs="Arial" w:eastAsia="Arial" w:hAnsi="Arial"/>
                <w:sz w:val="18"/>
                <w:szCs w:val="18"/>
                <w:color w:val="auto"/>
                <w:w w:val="93"/>
              </w:rPr>
              <w:t>The following table presents revenue disaggregated by geography based on customer location: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15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5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15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100,457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77,652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60,541</w:t>
            </w: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EMEA</w:t>
            </w: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48,810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45,195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32,015</w:t>
            </w: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5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15,572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shd w:val="clear" w:color="auto" w:fill="CCEEFF"/>
          </w:tcPr>
          <w:p>
            <w:pPr>
              <w:spacing w:after="0"/>
              <w:rPr>
                <w:sz w:val="18"/>
                <w:szCs w:val="18"/>
                <w:color w:val="auto"/>
              </w:rPr>
            </w:pPr>
          </w:p>
        </w:tc>
      </w:tr>
      <w:tr>
        <w:trPr>
          <w:trHeight w:val="237"/>
        </w:trPr>
        <w:tc>
          <w:tcPr>
            <w:tcW w:w="1580" w:type="dxa"/>
            <w:vAlign w:val="bottom"/>
          </w:tcPr>
          <w:p>
            <w:pPr>
              <w:spacing w:after="0"/>
              <w:rPr>
                <w:sz w:val="20"/>
                <w:szCs w:val="20"/>
                <w:color w:val="auto"/>
              </w:rPr>
            </w:pPr>
            <w:r>
              <w:rPr>
                <w:rFonts w:ascii="Arial" w:cs="Arial" w:eastAsia="Arial" w:hAnsi="Arial"/>
                <w:sz w:val="18"/>
                <w:szCs w:val="18"/>
                <w:color w:val="auto"/>
              </w:rPr>
              <w:t>Other</w:t>
            </w:r>
          </w:p>
        </w:tc>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8,498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3,954</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0"/>
                <w:szCs w:val="20"/>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1580" w:type="dxa"/>
            <w:vAlign w:val="bottom"/>
          </w:tcPr>
          <w:p>
            <w:pPr>
              <w:spacing w:after="0"/>
              <w:rPr>
                <w:sz w:val="20"/>
                <w:szCs w:val="20"/>
                <w:color w:val="auto"/>
              </w:rPr>
            </w:pPr>
            <w:r>
              <w:rPr>
                <w:rFonts w:ascii="Arial" w:cs="Arial" w:eastAsia="Arial" w:hAnsi="Arial"/>
                <w:sz w:val="18"/>
                <w:szCs w:val="18"/>
                <w:color w:val="auto"/>
              </w:rPr>
              <w:t>Total revenue</w:t>
            </w:r>
          </w:p>
        </w:tc>
        <w:tc>
          <w:tcPr>
            <w:tcW w:w="5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179,866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142,373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114,088</w:t>
            </w:r>
          </w:p>
        </w:tc>
        <w:tc>
          <w:tcPr>
            <w:tcW w:w="100" w:type="dxa"/>
            <w:vAlign w:val="bottom"/>
          </w:tcPr>
          <w:p>
            <w:pPr>
              <w:spacing w:after="0"/>
              <w:rPr>
                <w:sz w:val="22"/>
                <w:szCs w:val="22"/>
                <w:color w:val="auto"/>
              </w:rPr>
            </w:pPr>
          </w:p>
        </w:tc>
      </w:tr>
      <w:tr>
        <w:trPr>
          <w:trHeight w:val="21"/>
        </w:trPr>
        <w:tc>
          <w:tcPr>
            <w:tcW w:w="15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Remaining performance obligations represents contracted revenues that have not yet been recognized, which includes deferred revenues and non-cancelable contracts that will be invoiced and recognized as revenue in future periods. The following table represents the remaining performance obligations as of December 31, 2019, which are expected to be satisfied and recognized in future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2022 and</w:t>
            </w:r>
          </w:p>
        </w:tc>
      </w:tr>
      <w:tr>
        <w:trPr>
          <w:trHeight w:val="241"/>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thereafter</w:t>
            </w:r>
          </w:p>
        </w:tc>
        <w:tc>
          <w:tcPr>
            <w:tcW w:w="100" w:type="dxa"/>
            <w:vAlign w:val="bottom"/>
            <w:tcBorders>
              <w:bottom w:val="single" w:sz="8" w:color="CCEEFF"/>
            </w:tcBorders>
          </w:tcPr>
          <w:p>
            <w:pPr>
              <w:spacing w:after="0"/>
              <w:rPr>
                <w:sz w:val="20"/>
                <w:szCs w:val="20"/>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620"/>
        <w:spacing w:after="0" w:line="263" w:lineRule="auto"/>
        <w:rPr>
          <w:sz w:val="20"/>
          <w:szCs w:val="20"/>
          <w:color w:val="auto"/>
        </w:rPr>
      </w:pPr>
      <w:r>
        <w:rPr>
          <w:rFonts w:ascii="Arial" w:cs="Arial" w:eastAsia="Arial" w:hAnsi="Arial"/>
          <w:sz w:val="18"/>
          <w:szCs w:val="18"/>
          <w:color w:val="auto"/>
        </w:rPr>
        <w:t>The Company elected to apply the optional exemption under paragraph 606-10-50-14(a) not to disclose the remaining performance obligations that relate to contracts with an original expected duration of one year or less for which deferred revenues have not been recorded yet.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620" w:hanging="640"/>
        <w:spacing w:after="0"/>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jc w:val="both"/>
        <w:ind w:left="1620" w:right="20"/>
        <w:spacing w:after="0" w:line="263" w:lineRule="auto"/>
        <w:rPr>
          <w:rFonts w:ascii="Arial" w:cs="Arial" w:eastAsia="Arial" w:hAnsi="Arial"/>
          <w:sz w:val="18"/>
          <w:szCs w:val="18"/>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2019, 2018 and 2017 were $1,639, $1,702 and $1,355, respectively.</w:t>
      </w:r>
    </w:p>
    <w:p>
      <w:pPr>
        <w:spacing w:after="0" w:line="183" w:lineRule="exact"/>
        <w:rPr>
          <w:rFonts w:ascii="Arial" w:cs="Arial" w:eastAsia="Arial" w:hAnsi="Arial"/>
          <w:sz w:val="18"/>
          <w:szCs w:val="18"/>
          <w:color w:val="auto"/>
        </w:rPr>
      </w:pPr>
    </w:p>
    <w:p>
      <w:pPr>
        <w:ind w:left="1620" w:hanging="640"/>
        <w:spacing w:after="0"/>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systems and ink production, employees’ salaries and related costs, allocated overhead expenses, import taxes, royalties and shipping and handling fees.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25" w:lineRule="exact"/>
        <w:rPr>
          <w:rFonts w:ascii="Arial" w:cs="Arial" w:eastAsia="Arial" w:hAnsi="Arial"/>
          <w:sz w:val="18"/>
          <w:szCs w:val="18"/>
          <w:color w:val="auto"/>
        </w:rPr>
      </w:pPr>
    </w:p>
    <w:p>
      <w:pPr>
        <w:jc w:val="both"/>
        <w:ind w:left="1620"/>
        <w:spacing w:after="0" w:line="257" w:lineRule="auto"/>
        <w:rPr>
          <w:rFonts w:ascii="Arial" w:cs="Arial" w:eastAsia="Arial" w:hAnsi="Arial"/>
          <w:sz w:val="18"/>
          <w:szCs w:val="18"/>
          <w:color w:val="auto"/>
        </w:rPr>
      </w:pPr>
      <w:r>
        <w:rPr>
          <w:rFonts w:ascii="Arial" w:cs="Arial" w:eastAsia="Arial" w:hAnsi="Arial"/>
          <w:sz w:val="18"/>
          <w:szCs w:val="18"/>
          <w:color w:val="auto"/>
        </w:rPr>
        <w:t>The Company typically provides assurance type warranty for six months on the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8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followings are the changes in the liability for product warranty from January 1, 2018 to December 31,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18"/>
                <w:szCs w:val="18"/>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Reduction for payments and costs to satisfy claims</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(2,921)</w:t>
            </w:r>
          </w:p>
        </w:tc>
      </w:tr>
      <w:tr>
        <w:trPr>
          <w:trHeight w:val="216"/>
        </w:trPr>
        <w:tc>
          <w:tcPr>
            <w:tcW w:w="100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 issued during the year</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(3,600)</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2"/>
                <w:szCs w:val="22"/>
                <w:color w:val="auto"/>
              </w:rPr>
            </w:pPr>
          </w:p>
        </w:tc>
      </w:tr>
      <w:tr>
        <w:trPr>
          <w:trHeight w:val="21"/>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hanging="64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620" w:right="20"/>
        <w:spacing w:after="0" w:line="277" w:lineRule="auto"/>
        <w:rPr>
          <w:rFonts w:ascii="Arial" w:cs="Arial" w:eastAsia="Arial" w:hAnsi="Arial"/>
          <w:sz w:val="18"/>
          <w:szCs w:val="18"/>
          <w:color w:val="auto"/>
        </w:rPr>
      </w:pPr>
      <w:r>
        <w:rPr>
          <w:rFonts w:ascii="Arial" w:cs="Arial" w:eastAsia="Arial" w:hAnsi="Arial"/>
          <w:sz w:val="18"/>
          <w:szCs w:val="18"/>
          <w:color w:val="auto"/>
        </w:rPr>
        <w:t>Research and development expenses are charged to the statement of operations, as incurred, except for development expenses which are capitalized as described in note 2q.</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620" w:hanging="640"/>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Internal use software:</w:t>
      </w:r>
    </w:p>
    <w:p>
      <w:pPr>
        <w:spacing w:after="0" w:line="225" w:lineRule="exact"/>
        <w:rPr>
          <w:rFonts w:ascii="Arial" w:cs="Arial" w:eastAsia="Arial" w:hAnsi="Arial"/>
          <w:sz w:val="18"/>
          <w:szCs w:val="18"/>
          <w:color w:val="auto"/>
        </w:rPr>
      </w:pPr>
    </w:p>
    <w:p>
      <w:pPr>
        <w:jc w:val="both"/>
        <w:ind w:left="1620"/>
        <w:spacing w:after="0" w:line="273" w:lineRule="auto"/>
        <w:rPr>
          <w:rFonts w:ascii="Arial" w:cs="Arial" w:eastAsia="Arial" w:hAnsi="Arial"/>
          <w:sz w:val="18"/>
          <w:szCs w:val="18"/>
          <w:color w:val="auto"/>
        </w:rPr>
      </w:pPr>
      <w:r>
        <w:rPr>
          <w:rFonts w:ascii="Arial" w:cs="Arial" w:eastAsia="Arial" w:hAnsi="Arial"/>
          <w:sz w:val="17"/>
          <w:szCs w:val="17"/>
          <w:color w:val="auto"/>
        </w:rPr>
        <w:t>The Company capitalizes qualifying costs incurred during the application development stage related to software developed for internal use. These costs are capitalized based on qualifying criteria. Such costs are amortized over the software’s estimated life of three years. Costs incurred to develop software applications consist of (a) certain external direct costs of materials and services incurred in developing or obtaining internal-use computer software, and (b) payroll and payroll-related costs for employees who are directly associated with, and who devote time to, the development or implementation of the software. Capitalized internal-use software costs are included in intangibles assets, net in the consolidated balance sheet.</w:t>
      </w:r>
    </w:p>
    <w:p>
      <w:pPr>
        <w:spacing w:after="0" w:line="177" w:lineRule="exact"/>
        <w:rPr>
          <w:rFonts w:ascii="Arial" w:cs="Arial" w:eastAsia="Arial" w:hAnsi="Arial"/>
          <w:sz w:val="18"/>
          <w:szCs w:val="18"/>
          <w:color w:val="auto"/>
        </w:rPr>
      </w:pPr>
    </w:p>
    <w:p>
      <w:pPr>
        <w:ind w:left="1620" w:hanging="640"/>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Restructuring:</w:t>
      </w:r>
    </w:p>
    <w:p>
      <w:pPr>
        <w:spacing w:after="0" w:line="225" w:lineRule="exact"/>
        <w:rPr>
          <w:rFonts w:ascii="Arial" w:cs="Arial" w:eastAsia="Arial" w:hAnsi="Arial"/>
          <w:sz w:val="18"/>
          <w:szCs w:val="18"/>
          <w:color w:val="auto"/>
        </w:rPr>
      </w:pPr>
    </w:p>
    <w:p>
      <w:pPr>
        <w:ind w:left="1620"/>
        <w:spacing w:after="0" w:line="308" w:lineRule="auto"/>
        <w:rPr>
          <w:rFonts w:ascii="Arial" w:cs="Arial" w:eastAsia="Arial" w:hAnsi="Arial"/>
          <w:sz w:val="18"/>
          <w:szCs w:val="18"/>
          <w:color w:val="auto"/>
        </w:rPr>
      </w:pPr>
      <w:r>
        <w:rPr>
          <w:rFonts w:ascii="Arial" w:cs="Arial" w:eastAsia="Arial" w:hAnsi="Arial"/>
          <w:sz w:val="17"/>
          <w:szCs w:val="17"/>
          <w:color w:val="auto"/>
        </w:rPr>
        <w:t>Restructuring consists of costs primarily related to early retirement or retention agreements with employees of the Company’s Wisconsin facility in connection with the transition of its U.S headquarters to the East Coast in the United States.</w:t>
      </w:r>
    </w:p>
    <w:p>
      <w:pPr>
        <w:spacing w:after="0" w:line="146" w:lineRule="exact"/>
        <w:rPr>
          <w:rFonts w:ascii="Arial" w:cs="Arial" w:eastAsia="Arial" w:hAnsi="Arial"/>
          <w:sz w:val="18"/>
          <w:szCs w:val="18"/>
          <w:color w:val="auto"/>
        </w:rPr>
      </w:pPr>
    </w:p>
    <w:p>
      <w:pPr>
        <w:ind w:left="1620" w:hanging="640"/>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rFonts w:ascii="Arial" w:cs="Arial" w:eastAsia="Arial" w:hAnsi="Arial"/>
          <w:sz w:val="18"/>
          <w:szCs w:val="18"/>
          <w:color w:val="auto"/>
        </w:rPr>
      </w:pPr>
    </w:p>
    <w:p>
      <w:pPr>
        <w:jc w:val="both"/>
        <w:ind w:left="1620"/>
        <w:spacing w:after="0" w:line="259" w:lineRule="auto"/>
        <w:rPr>
          <w:rFonts w:ascii="Arial" w:cs="Arial" w:eastAsia="Arial" w:hAnsi="Arial"/>
          <w:sz w:val="18"/>
          <w:szCs w:val="18"/>
          <w:color w:val="auto"/>
        </w:rPr>
      </w:pPr>
      <w:r>
        <w:rPr>
          <w:rFonts w:ascii="Arial" w:cs="Arial" w:eastAsia="Arial" w:hAnsi="Arial"/>
          <w:sz w:val="18"/>
          <w:szCs w:val="18"/>
          <w:color w:val="auto"/>
        </w:rPr>
        <w:t>The Company accounts for share based compensation in accordance with ASC No. 718,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operations.</w:t>
      </w:r>
    </w:p>
    <w:p>
      <w:pPr>
        <w:spacing w:after="0" w:line="186" w:lineRule="exact"/>
        <w:rPr>
          <w:rFonts w:ascii="Arial" w:cs="Arial" w:eastAsia="Arial" w:hAnsi="Arial"/>
          <w:sz w:val="18"/>
          <w:szCs w:val="18"/>
          <w:color w:val="auto"/>
        </w:rPr>
      </w:pPr>
    </w:p>
    <w:p>
      <w:pPr>
        <w:ind w:left="162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binomial option pricing model as the most appropriate fair value method for its stock options awards with the following assumptions for the years ended December 31, 2019,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326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w w:val="96"/>
              </w:rPr>
              <w:t>Year ended December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686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1.5%-2.7%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2.0%-3.1%</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2.2%-2.3%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51%-53%</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Dividend yield</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The expected volatility is based on volatility of the Company’s share price and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w:t>
      </w:r>
    </w:p>
    <w:p>
      <w:pPr>
        <w:spacing w:after="0" w:line="187" w:lineRule="exact"/>
        <w:rPr>
          <w:sz w:val="20"/>
          <w:szCs w:val="20"/>
          <w:color w:val="auto"/>
        </w:rPr>
      </w:pPr>
    </w:p>
    <w:p>
      <w:pPr>
        <w:jc w:val="both"/>
        <w:ind w:left="1620"/>
        <w:spacing w:after="0" w:line="263" w:lineRule="auto"/>
        <w:rPr>
          <w:sz w:val="20"/>
          <w:szCs w:val="20"/>
          <w:color w:val="auto"/>
        </w:rPr>
      </w:pPr>
      <w:r>
        <w:rPr>
          <w:rFonts w:ascii="Arial" w:cs="Arial" w:eastAsia="Arial" w:hAnsi="Arial"/>
          <w:sz w:val="18"/>
          <w:szCs w:val="18"/>
          <w:color w:val="auto"/>
        </w:rPr>
        <w:t>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20" w:right="20"/>
        <w:spacing w:after="0" w:line="277" w:lineRule="auto"/>
        <w:rPr>
          <w:sz w:val="20"/>
          <w:szCs w:val="20"/>
          <w:color w:val="auto"/>
        </w:rPr>
      </w:pPr>
      <w:r>
        <w:rPr>
          <w:rFonts w:ascii="Arial" w:cs="Arial" w:eastAsia="Arial" w:hAnsi="Arial"/>
          <w:sz w:val="18"/>
          <w:szCs w:val="18"/>
          <w:color w:val="auto"/>
        </w:rPr>
        <w:t>The fair value of each restricted stock unit (“RSU”) is the market value as determined by the closing price of the common share prior to the day of grant.</w:t>
      </w:r>
    </w:p>
    <w:p>
      <w:pPr>
        <w:spacing w:after="0" w:line="170" w:lineRule="exact"/>
        <w:rPr>
          <w:sz w:val="20"/>
          <w:szCs w:val="20"/>
          <w:color w:val="auto"/>
        </w:rPr>
      </w:pPr>
    </w:p>
    <w:p>
      <w:pPr>
        <w:jc w:val="both"/>
        <w:ind w:left="1620"/>
        <w:spacing w:after="0" w:line="263" w:lineRule="auto"/>
        <w:rPr>
          <w:sz w:val="20"/>
          <w:szCs w:val="20"/>
          <w:color w:val="auto"/>
        </w:rPr>
      </w:pPr>
      <w:r>
        <w:rPr>
          <w:rFonts w:ascii="Arial" w:cs="Arial" w:eastAsia="Arial" w:hAnsi="Arial"/>
          <w:sz w:val="18"/>
          <w:szCs w:val="18"/>
          <w:color w:val="auto"/>
        </w:rPr>
        <w:t>The Company recognizes compensation expenses for the value of its awards, which have graded vesting based on service conditions, using the straight-line method, over the requisite service period of each of the awards. The Company recognizes forfeitures of awards as they occur.</w:t>
      </w:r>
    </w:p>
    <w:p>
      <w:pPr>
        <w:spacing w:after="0" w:line="184" w:lineRule="exact"/>
        <w:rPr>
          <w:sz w:val="20"/>
          <w:szCs w:val="20"/>
          <w:color w:val="auto"/>
        </w:rPr>
      </w:pPr>
    </w:p>
    <w:p>
      <w:pPr>
        <w:ind w:left="1620" w:hanging="640"/>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Derivatives and hedging:</w:t>
      </w:r>
    </w:p>
    <w:p>
      <w:pPr>
        <w:spacing w:after="0" w:line="225" w:lineRule="exact"/>
        <w:rPr>
          <w:rFonts w:ascii="Arial" w:cs="Arial" w:eastAsia="Arial" w:hAnsi="Arial"/>
          <w:sz w:val="18"/>
          <w:szCs w:val="18"/>
          <w:color w:val="auto"/>
        </w:rPr>
      </w:pPr>
    </w:p>
    <w:p>
      <w:pPr>
        <w:jc w:val="both"/>
        <w:ind w:left="1620"/>
        <w:spacing w:after="0" w:line="272" w:lineRule="auto"/>
        <w:rPr>
          <w:rFonts w:ascii="Arial" w:cs="Arial" w:eastAsia="Arial" w:hAnsi="Arial"/>
          <w:sz w:val="18"/>
          <w:szCs w:val="18"/>
          <w:color w:val="auto"/>
        </w:rPr>
      </w:pPr>
      <w:r>
        <w:rPr>
          <w:rFonts w:ascii="Arial" w:cs="Arial" w:eastAsia="Arial" w:hAnsi="Arial"/>
          <w:sz w:val="17"/>
          <w:szCs w:val="17"/>
          <w:color w:val="auto"/>
        </w:rPr>
        <w:t>The Company follows FASB ASC No. 815,” Derivatives and Hedging” which requires companies to recognize all of their derivative instruments as either assets or liabilities in the statement of financial position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w:t>
      </w:r>
    </w:p>
    <w:p>
      <w:pPr>
        <w:spacing w:after="0" w:line="177" w:lineRule="exact"/>
        <w:rPr>
          <w:rFonts w:ascii="Arial" w:cs="Arial" w:eastAsia="Arial" w:hAnsi="Arial"/>
          <w:sz w:val="18"/>
          <w:szCs w:val="18"/>
          <w:color w:val="auto"/>
        </w:rPr>
      </w:pPr>
    </w:p>
    <w:p>
      <w:pPr>
        <w:jc w:val="both"/>
        <w:ind w:left="1620"/>
        <w:spacing w:after="0" w:line="301" w:lineRule="auto"/>
        <w:rPr>
          <w:rFonts w:ascii="Arial" w:cs="Arial" w:eastAsia="Arial" w:hAnsi="Arial"/>
          <w:sz w:val="18"/>
          <w:szCs w:val="18"/>
          <w:color w:val="auto"/>
        </w:rPr>
      </w:pPr>
      <w:r>
        <w:rPr>
          <w:rFonts w:ascii="Arial" w:cs="Arial" w:eastAsia="Arial" w:hAnsi="Arial"/>
          <w:sz w:val="16"/>
          <w:szCs w:val="16"/>
          <w:color w:val="auto"/>
        </w:rPr>
        <w:t>The Company uses derivative financial instruments, specifically foreign currency forward and option contracts (“Hedging Contracts”), to manage exposure to foreign currency risks, by hedging a portion of the Company’s forecasted payroll and related expenses denominated in New Israeli Shekels expected to incur within a year. The effect of exchange rate changes on foreign currency hedging contracts is expected to partially offset the effect of exchange rate changes on the underlying hedged item.</w:t>
      </w:r>
    </w:p>
    <w:p>
      <w:pPr>
        <w:spacing w:after="0" w:line="157" w:lineRule="exact"/>
        <w:rPr>
          <w:rFonts w:ascii="Arial" w:cs="Arial" w:eastAsia="Arial" w:hAnsi="Arial"/>
          <w:sz w:val="18"/>
          <w:szCs w:val="18"/>
          <w:color w:val="auto"/>
        </w:rPr>
      </w:pPr>
    </w:p>
    <w:p>
      <w:pPr>
        <w:jc w:val="both"/>
        <w:ind w:left="1620"/>
        <w:spacing w:after="0" w:line="257" w:lineRule="auto"/>
        <w:rPr>
          <w:rFonts w:ascii="Arial" w:cs="Arial" w:eastAsia="Arial" w:hAnsi="Arial"/>
          <w:sz w:val="18"/>
          <w:szCs w:val="18"/>
          <w:color w:val="auto"/>
        </w:rPr>
      </w:pPr>
      <w:r>
        <w:rPr>
          <w:rFonts w:ascii="Arial" w:cs="Arial" w:eastAsia="Arial" w:hAnsi="Arial"/>
          <w:sz w:val="18"/>
          <w:szCs w:val="18"/>
          <w:color w:val="auto"/>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(expenses), net”.</w:t>
      </w:r>
    </w:p>
    <w:p>
      <w:pPr>
        <w:spacing w:after="0" w:line="187"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The Company measured the fair value of these contracts in accordance with ASC No. 820, “Fair Value Measurements and Disclosures” (“ASC No. 820”), and they were classified as level 2 of the fair value hierarchy.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2280" w:hanging="652"/>
        <w:spacing w:after="0"/>
        <w:tabs>
          <w:tab w:leader="none" w:pos="2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Derivative instruments notional amounts</w:t>
      </w:r>
    </w:p>
    <w:p>
      <w:pPr>
        <w:spacing w:after="0" w:line="225" w:lineRule="exact"/>
        <w:rPr>
          <w:rFonts w:ascii="Arial" w:cs="Arial" w:eastAsia="Arial" w:hAnsi="Arial"/>
          <w:sz w:val="18"/>
          <w:szCs w:val="18"/>
          <w:color w:val="auto"/>
        </w:rPr>
      </w:pPr>
    </w:p>
    <w:p>
      <w:pPr>
        <w:ind w:left="2280" w:right="2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summarizes the notional amounts for hedged items, when transactions are designated as hedge accounting: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2280" w:hanging="652"/>
        <w:spacing w:after="0"/>
        <w:tabs>
          <w:tab w:leader="none" w:pos="22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Derivative instrument outstanding</w:t>
      </w:r>
    </w:p>
    <w:p>
      <w:pPr>
        <w:spacing w:after="0" w:line="225" w:lineRule="exact"/>
        <w:rPr>
          <w:rFonts w:ascii="Arial" w:cs="Arial" w:eastAsia="Arial" w:hAnsi="Arial"/>
          <w:sz w:val="18"/>
          <w:szCs w:val="18"/>
          <w:color w:val="auto"/>
        </w:rPr>
      </w:pPr>
    </w:p>
    <w:p>
      <w:pPr>
        <w:jc w:val="both"/>
        <w:ind w:left="2280"/>
        <w:spacing w:after="0" w:line="263" w:lineRule="auto"/>
        <w:rPr>
          <w:rFonts w:ascii="Arial" w:cs="Arial" w:eastAsia="Arial" w:hAnsi="Arial"/>
          <w:sz w:val="18"/>
          <w:szCs w:val="18"/>
          <w:color w:val="auto"/>
        </w:rPr>
      </w:pPr>
      <w:r>
        <w:rPr>
          <w:rFonts w:ascii="Arial" w:cs="Arial" w:eastAsia="Arial" w:hAnsi="Arial"/>
          <w:sz w:val="18"/>
          <w:szCs w:val="18"/>
          <w:color w:val="auto"/>
        </w:rPr>
        <w:t>As of December 31, 2019 and 2018, the fair value of the Company’s outstanding forward and option contracts amounted to $16 and $(111) which is included within “Other accounts receivable and prepaid expenses” and “Other payables and accrued expenses”, respectively on the balance sheets.</w:t>
      </w:r>
    </w:p>
    <w:p>
      <w:pPr>
        <w:spacing w:after="0" w:line="183" w:lineRule="exact"/>
        <w:rPr>
          <w:rFonts w:ascii="Arial" w:cs="Arial" w:eastAsia="Arial" w:hAnsi="Arial"/>
          <w:sz w:val="18"/>
          <w:szCs w:val="18"/>
          <w:color w:val="auto"/>
        </w:rPr>
      </w:pPr>
    </w:p>
    <w:p>
      <w:pPr>
        <w:ind w:left="2280" w:hanging="652"/>
        <w:spacing w:after="0"/>
        <w:tabs>
          <w:tab w:leader="none" w:pos="22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Derivative instrument gains and losses</w:t>
      </w:r>
    </w:p>
    <w:p>
      <w:pPr>
        <w:spacing w:after="0" w:line="225" w:lineRule="exact"/>
        <w:rPr>
          <w:rFonts w:ascii="Arial" w:cs="Arial" w:eastAsia="Arial" w:hAnsi="Arial"/>
          <w:sz w:val="18"/>
          <w:szCs w:val="18"/>
          <w:color w:val="auto"/>
        </w:rPr>
      </w:pPr>
    </w:p>
    <w:p>
      <w:pPr>
        <w:ind w:left="2280"/>
        <w:spacing w:after="0" w:line="277" w:lineRule="auto"/>
        <w:rPr>
          <w:rFonts w:ascii="Arial" w:cs="Arial" w:eastAsia="Arial" w:hAnsi="Arial"/>
          <w:sz w:val="18"/>
          <w:szCs w:val="18"/>
          <w:color w:val="auto"/>
        </w:rPr>
      </w:pPr>
      <w:r>
        <w:rPr>
          <w:rFonts w:ascii="Arial" w:cs="Arial" w:eastAsia="Arial" w:hAnsi="Arial"/>
          <w:sz w:val="18"/>
          <w:szCs w:val="18"/>
          <w:color w:val="auto"/>
        </w:rPr>
        <w:t>During the year ended December 31, 2019, 2018 and 2017, the company recorded pretax income (expenses) of $16, $(21) and $18, respectively from derivatives designated in cash flow hedging relationships.</w:t>
      </w:r>
    </w:p>
    <w:p>
      <w:pPr>
        <w:spacing w:after="0" w:line="170" w:lineRule="exact"/>
        <w:rPr>
          <w:rFonts w:ascii="Arial" w:cs="Arial" w:eastAsia="Arial" w:hAnsi="Arial"/>
          <w:sz w:val="18"/>
          <w:szCs w:val="18"/>
          <w:color w:val="auto"/>
        </w:rPr>
      </w:pPr>
    </w:p>
    <w:p>
      <w:pPr>
        <w:ind w:left="2280"/>
        <w:spacing w:after="0" w:line="277" w:lineRule="auto"/>
        <w:rPr>
          <w:rFonts w:ascii="Arial" w:cs="Arial" w:eastAsia="Arial" w:hAnsi="Arial"/>
          <w:sz w:val="18"/>
          <w:szCs w:val="18"/>
          <w:color w:val="auto"/>
        </w:rPr>
      </w:pPr>
      <w:r>
        <w:rPr>
          <w:rFonts w:ascii="Arial" w:cs="Arial" w:eastAsia="Arial" w:hAnsi="Arial"/>
          <w:sz w:val="18"/>
          <w:szCs w:val="18"/>
          <w:color w:val="auto"/>
        </w:rPr>
        <w:t>The Company’s outstanding derivatives designated as cash flow hedging instruments and their related gains and losses, are reported in the statement of cash flows as cash flows from operating activities.</w:t>
      </w:r>
    </w:p>
    <w:p>
      <w:pPr>
        <w:spacing w:after="0" w:line="170" w:lineRule="exact"/>
        <w:rPr>
          <w:rFonts w:ascii="Arial" w:cs="Arial" w:eastAsia="Arial" w:hAnsi="Arial"/>
          <w:sz w:val="18"/>
          <w:szCs w:val="18"/>
          <w:color w:val="auto"/>
        </w:rPr>
      </w:pPr>
    </w:p>
    <w:p>
      <w:pPr>
        <w:ind w:left="2280"/>
        <w:spacing w:after="0" w:line="277" w:lineRule="auto"/>
        <w:rPr>
          <w:rFonts w:ascii="Arial" w:cs="Arial" w:eastAsia="Arial" w:hAnsi="Arial"/>
          <w:sz w:val="18"/>
          <w:szCs w:val="18"/>
          <w:color w:val="auto"/>
        </w:rPr>
      </w:pPr>
      <w:r>
        <w:rPr>
          <w:rFonts w:ascii="Arial" w:cs="Arial" w:eastAsia="Arial" w:hAnsi="Arial"/>
          <w:sz w:val="18"/>
          <w:szCs w:val="18"/>
          <w:color w:val="auto"/>
        </w:rPr>
        <w:t>The maximum length of time over which the Company is hedging its exposure to the variability in future cash flows for forecasted transactions is less than 12 months.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Advertising costs are charged to operations as incurred and were $1,981, $1,077 and $612 for the years ended December 31, 2019, 2018 and 2017, respectively.</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620"/>
        <w:spacing w:after="0" w:line="273" w:lineRule="auto"/>
        <w:rPr>
          <w:rFonts w:ascii="Arial" w:cs="Arial" w:eastAsia="Arial" w:hAnsi="Arial"/>
          <w:sz w:val="18"/>
          <w:szCs w:val="18"/>
          <w:color w:val="auto"/>
        </w:rPr>
      </w:pPr>
      <w:r>
        <w:rPr>
          <w:rFonts w:ascii="Arial" w:cs="Arial" w:eastAsia="Arial" w:hAnsi="Arial"/>
          <w:sz w:val="17"/>
          <w:szCs w:val="17"/>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to non-current assets and liabilities,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20"/>
        <w:spacing w:after="0" w:line="255" w:lineRule="auto"/>
        <w:rPr>
          <w:sz w:val="20"/>
          <w:szCs w:val="20"/>
          <w:color w:val="auto"/>
        </w:rPr>
      </w:pPr>
      <w:r>
        <w:rPr>
          <w:rFonts w:ascii="Arial" w:cs="Arial" w:eastAsia="Arial" w:hAnsi="Arial"/>
          <w:sz w:val="18"/>
          <w:szCs w:val="18"/>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192" w:lineRule="exact"/>
        <w:rPr>
          <w:sz w:val="20"/>
          <w:szCs w:val="20"/>
          <w:color w:val="auto"/>
        </w:rPr>
      </w:pPr>
    </w:p>
    <w:p>
      <w:pPr>
        <w:ind w:left="1620" w:hanging="640"/>
        <w:spacing w:after="0"/>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25" w:lineRule="exact"/>
        <w:rPr>
          <w:rFonts w:ascii="Arial" w:cs="Arial" w:eastAsia="Arial" w:hAnsi="Arial"/>
          <w:sz w:val="18"/>
          <w:szCs w:val="18"/>
          <w:color w:val="auto"/>
        </w:rPr>
      </w:pPr>
    </w:p>
    <w:p>
      <w:pPr>
        <w:ind w:left="1620"/>
        <w:spacing w:after="0" w:line="308"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Company and its subsidiaries to concentrations of credit risk consist principally of cash and cash equivalents, bank deposits, marketable securities, foreign exchange contracts and trade receivables.</w:t>
      </w:r>
    </w:p>
    <w:p>
      <w:pPr>
        <w:spacing w:after="0" w:line="146"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it bears a lower risk.</w:t>
      </w:r>
    </w:p>
    <w:p>
      <w:pPr>
        <w:spacing w:after="0" w:line="183" w:lineRule="exact"/>
        <w:rPr>
          <w:rFonts w:ascii="Arial" w:cs="Arial" w:eastAsia="Arial" w:hAnsi="Arial"/>
          <w:sz w:val="18"/>
          <w:szCs w:val="18"/>
          <w:color w:val="auto"/>
        </w:rPr>
      </w:pPr>
    </w:p>
    <w:p>
      <w:pPr>
        <w:jc w:val="both"/>
        <w:ind w:left="1620"/>
        <w:spacing w:after="0" w:line="275" w:lineRule="auto"/>
        <w:rPr>
          <w:rFonts w:ascii="Arial" w:cs="Arial" w:eastAsia="Arial" w:hAnsi="Arial"/>
          <w:sz w:val="18"/>
          <w:szCs w:val="18"/>
          <w:color w:val="auto"/>
        </w:rPr>
      </w:pPr>
      <w:r>
        <w:rPr>
          <w:rFonts w:ascii="Arial" w:cs="Arial" w:eastAsia="Arial" w:hAnsi="Arial"/>
          <w:sz w:val="17"/>
          <w:szCs w:val="17"/>
          <w:color w:val="auto"/>
        </w:rPr>
        <w:t>The Company attempts to limit its exposure to interest rate risk by investing in securities with maturities of less than three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176" w:lineRule="exact"/>
        <w:rPr>
          <w:rFonts w:ascii="Arial" w:cs="Arial" w:eastAsia="Arial" w:hAnsi="Arial"/>
          <w:sz w:val="18"/>
          <w:szCs w:val="18"/>
          <w:color w:val="auto"/>
        </w:rPr>
      </w:pPr>
    </w:p>
    <w:p>
      <w:pPr>
        <w:jc w:val="both"/>
        <w:ind w:left="1620"/>
        <w:spacing w:after="0" w:line="293" w:lineRule="auto"/>
        <w:rPr>
          <w:rFonts w:ascii="Arial" w:cs="Arial" w:eastAsia="Arial" w:hAnsi="Arial"/>
          <w:sz w:val="18"/>
          <w:szCs w:val="18"/>
          <w:color w:val="auto"/>
        </w:rPr>
      </w:pPr>
      <w:r>
        <w:rPr>
          <w:rFonts w:ascii="Arial" w:cs="Arial" w:eastAsia="Arial" w:hAnsi="Arial"/>
          <w:sz w:val="16"/>
          <w:szCs w:val="16"/>
          <w:color w:val="auto"/>
        </w:rPr>
        <w:t>The trade receivables of the Company and its subsidiaries are mainly derived from sales to customers located in the United States, Europe, the Middle East, Africa and Asia Pacific. The Company performs ongoing credit evaluations of its customers. In certain circumstances, the Company may require from its customers letters of credit, other collateral or additional guarantees. An allowance for doubtful accounts is determined with respect to those amounts that the Company has determined to be doubtful of collection. Historically, the Company has not recorded allowance for doubtful accounts, however certain immaterial bad debt expenses amounting to $26, $19 and $97 were recorded for the years ended December 31, 2019, 2018 and 2017 respectively.</w:t>
      </w:r>
    </w:p>
    <w:p>
      <w:pPr>
        <w:spacing w:after="0" w:line="164" w:lineRule="exact"/>
        <w:rPr>
          <w:rFonts w:ascii="Arial" w:cs="Arial" w:eastAsia="Arial" w:hAnsi="Arial"/>
          <w:sz w:val="18"/>
          <w:szCs w:val="18"/>
          <w:color w:val="auto"/>
        </w:rPr>
      </w:pPr>
    </w:p>
    <w:p>
      <w:pPr>
        <w:ind w:left="1620" w:hanging="640"/>
        <w:spacing w:after="0"/>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620"/>
        <w:spacing w:after="0" w:line="257" w:lineRule="auto"/>
        <w:rPr>
          <w:rFonts w:ascii="Arial" w:cs="Arial" w:eastAsia="Arial" w:hAnsi="Arial"/>
          <w:sz w:val="18"/>
          <w:szCs w:val="18"/>
          <w:color w:val="auto"/>
        </w:rPr>
      </w:pPr>
      <w:r>
        <w:rPr>
          <w:rFonts w:ascii="Arial" w:cs="Arial" w:eastAsia="Arial" w:hAnsi="Arial"/>
          <w:sz w:val="18"/>
          <w:szCs w:val="18"/>
          <w:color w:val="auto"/>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for such employees is recorded on the Company’s balance sheet.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20"/>
        <w:spacing w:after="0" w:line="296" w:lineRule="auto"/>
        <w:rPr>
          <w:sz w:val="20"/>
          <w:szCs w:val="20"/>
          <w:color w:val="auto"/>
        </w:rPr>
      </w:pPr>
      <w:r>
        <w:rPr>
          <w:rFonts w:ascii="Arial" w:cs="Arial" w:eastAsia="Arial" w:hAnsi="Arial"/>
          <w:sz w:val="16"/>
          <w:szCs w:val="16"/>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 salary for each year of employment or a portion thereof. The Company’s liability for these employees is fully provided for via monthly deposits with severance pay funds, insurance policies and an accrual. The value of these deposits is recorded as an asset with other assets on the Company’s balance sheet.</w:t>
      </w:r>
    </w:p>
    <w:p>
      <w:pPr>
        <w:spacing w:after="0" w:line="161" w:lineRule="exact"/>
        <w:rPr>
          <w:sz w:val="20"/>
          <w:szCs w:val="20"/>
          <w:color w:val="auto"/>
        </w:rPr>
      </w:pPr>
    </w:p>
    <w:p>
      <w:pPr>
        <w:jc w:val="both"/>
        <w:ind w:left="1620"/>
        <w:spacing w:after="0" w:line="277"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Severance expenses for the years ended December 31, 2019, 2018 and 2017 were $1,808, $1,483 and $1,394 respectively.</w:t>
      </w:r>
    </w:p>
    <w:p>
      <w:pPr>
        <w:spacing w:after="0" w:line="237" w:lineRule="exact"/>
        <w:rPr>
          <w:sz w:val="20"/>
          <w:szCs w:val="20"/>
          <w:color w:val="auto"/>
        </w:rPr>
      </w:pPr>
    </w:p>
    <w:p>
      <w:pPr>
        <w:ind w:left="1620" w:hanging="640"/>
        <w:spacing w:after="0"/>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620"/>
        <w:spacing w:after="0" w:line="342" w:lineRule="auto"/>
        <w:rPr>
          <w:rFonts w:ascii="Arial" w:cs="Arial" w:eastAsia="Arial" w:hAnsi="Arial"/>
          <w:sz w:val="18"/>
          <w:szCs w:val="18"/>
          <w:color w:val="auto"/>
        </w:rPr>
      </w:pPr>
      <w:r>
        <w:rPr>
          <w:rFonts w:ascii="Arial" w:cs="Arial" w:eastAsia="Arial" w:hAnsi="Arial"/>
          <w:sz w:val="16"/>
          <w:szCs w:val="16"/>
          <w:color w:val="auto"/>
        </w:rPr>
        <w:t>The Company applies ASC No. 820 Under this standard, fair value is defined as the price that would be received to sell an asset or paid to transfer a liability (i.e., the “exit price”) in an orderly transaction between market participants at the measurement date.</w:t>
      </w:r>
    </w:p>
    <w:p>
      <w:pPr>
        <w:spacing w:after="0" w:line="123" w:lineRule="exact"/>
        <w:rPr>
          <w:rFonts w:ascii="Arial" w:cs="Arial" w:eastAsia="Arial" w:hAnsi="Arial"/>
          <w:sz w:val="18"/>
          <w:szCs w:val="18"/>
          <w:color w:val="auto"/>
        </w:rPr>
      </w:pPr>
    </w:p>
    <w:p>
      <w:pPr>
        <w:jc w:val="both"/>
        <w:ind w:left="1620"/>
        <w:spacing w:after="0" w:line="273" w:lineRule="auto"/>
        <w:rPr>
          <w:rFonts w:ascii="Arial" w:cs="Arial" w:eastAsia="Arial" w:hAnsi="Arial"/>
          <w:sz w:val="18"/>
          <w:szCs w:val="18"/>
          <w:color w:val="auto"/>
        </w:rPr>
      </w:pPr>
      <w:r>
        <w:rPr>
          <w:rFonts w:ascii="Arial" w:cs="Arial" w:eastAsia="Arial" w:hAnsi="Arial"/>
          <w:sz w:val="17"/>
          <w:szCs w:val="17"/>
          <w:color w:val="auto"/>
        </w:rPr>
        <w:t>In determining fair value, the Company uses various valuation approaches. ASC No.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hierarchy is broken down into three levels based on the inputs as follows:</w:t>
      </w:r>
    </w:p>
    <w:p>
      <w:pPr>
        <w:spacing w:after="0" w:line="225" w:lineRule="exact"/>
        <w:rPr>
          <w:rFonts w:ascii="Arial" w:cs="Arial" w:eastAsia="Arial" w:hAnsi="Arial"/>
          <w:sz w:val="18"/>
          <w:szCs w:val="18"/>
          <w:color w:val="auto"/>
        </w:rPr>
      </w:pPr>
    </w:p>
    <w:p>
      <w:pPr>
        <w:ind w:left="2600" w:hanging="972"/>
        <w:spacing w:after="0" w:line="277" w:lineRule="auto"/>
        <w:rPr>
          <w:rFonts w:ascii="Arial" w:cs="Arial" w:eastAsia="Arial" w:hAnsi="Arial"/>
          <w:sz w:val="18"/>
          <w:szCs w:val="18"/>
          <w:color w:val="auto"/>
        </w:rPr>
      </w:pPr>
      <w:r>
        <w:rPr>
          <w:rFonts w:ascii="Arial" w:cs="Arial" w:eastAsia="Arial" w:hAnsi="Arial"/>
          <w:sz w:val="18"/>
          <w:szCs w:val="18"/>
          <w:color w:val="auto"/>
        </w:rPr>
        <w:t>Level 1 - Valuations based on quoted prices (unadjusted) in active markets for identical assets or liabilities that the Company can access at the measurement date.</w:t>
      </w:r>
    </w:p>
    <w:p>
      <w:pPr>
        <w:spacing w:after="0" w:line="170" w:lineRule="exact"/>
        <w:rPr>
          <w:rFonts w:ascii="Arial" w:cs="Arial" w:eastAsia="Arial" w:hAnsi="Arial"/>
          <w:sz w:val="18"/>
          <w:szCs w:val="18"/>
          <w:color w:val="auto"/>
        </w:rPr>
      </w:pPr>
    </w:p>
    <w:p>
      <w:pPr>
        <w:ind w:left="2600" w:hanging="972"/>
        <w:spacing w:after="0" w:line="277" w:lineRule="auto"/>
        <w:rPr>
          <w:rFonts w:ascii="Arial" w:cs="Arial" w:eastAsia="Arial" w:hAnsi="Arial"/>
          <w:sz w:val="18"/>
          <w:szCs w:val="18"/>
          <w:color w:val="auto"/>
        </w:rPr>
      </w:pPr>
      <w:r>
        <w:rPr>
          <w:rFonts w:ascii="Arial" w:cs="Arial" w:eastAsia="Arial" w:hAnsi="Arial"/>
          <w:sz w:val="18"/>
          <w:szCs w:val="18"/>
          <w:color w:val="auto"/>
        </w:rPr>
        <w:t>Level 2 - Valuations based on one or more quoted prices in markets that are not active or for which all significant inputs are observable, either directly or indirectly.</w:t>
      </w:r>
    </w:p>
    <w:p>
      <w:pPr>
        <w:spacing w:after="0" w:line="17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20"/>
        <w:spacing w:after="0" w:line="342" w:lineRule="auto"/>
        <w:rPr>
          <w:sz w:val="20"/>
          <w:szCs w:val="20"/>
          <w:color w:val="auto"/>
        </w:rPr>
      </w:pPr>
      <w:r>
        <w:rPr>
          <w:rFonts w:ascii="Arial" w:cs="Arial" w:eastAsia="Arial" w:hAnsi="Arial"/>
          <w:sz w:val="16"/>
          <w:szCs w:val="16"/>
          <w:color w:val="auto"/>
        </w:rPr>
        <w:t>The carrying amount of cash, cash equivalents, short term bank deposits, trade receivables, other accounts receivable, trade payables and other accounts payable and accrued expenses approximates their fair value due to the short-term maturities of such instruments.</w:t>
      </w:r>
    </w:p>
    <w:p>
      <w:pPr>
        <w:spacing w:after="0" w:line="124" w:lineRule="exact"/>
        <w:rPr>
          <w:sz w:val="20"/>
          <w:szCs w:val="20"/>
          <w:color w:val="auto"/>
        </w:rPr>
      </w:pPr>
    </w:p>
    <w:p>
      <w:pPr>
        <w:jc w:val="both"/>
        <w:ind w:left="1620"/>
        <w:spacing w:after="0" w:line="263" w:lineRule="auto"/>
        <w:rPr>
          <w:sz w:val="20"/>
          <w:szCs w:val="20"/>
          <w:color w:val="auto"/>
        </w:rPr>
      </w:pPr>
      <w:r>
        <w:rPr>
          <w:rFonts w:ascii="Arial" w:cs="Arial" w:eastAsia="Arial" w:hAnsi="Arial"/>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84" w:lineRule="exact"/>
        <w:rPr>
          <w:sz w:val="20"/>
          <w:szCs w:val="20"/>
          <w:color w:val="auto"/>
        </w:rPr>
      </w:pPr>
    </w:p>
    <w:p>
      <w:pPr>
        <w:ind w:left="1620" w:hanging="640"/>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jc w:val="both"/>
        <w:ind w:left="1620"/>
        <w:spacing w:after="0" w:line="257" w:lineRule="auto"/>
        <w:rPr>
          <w:sz w:val="20"/>
          <w:szCs w:val="20"/>
          <w:color w:val="auto"/>
        </w:rPr>
      </w:pPr>
      <w:r>
        <w:rPr>
          <w:rFonts w:ascii="Arial" w:cs="Arial" w:eastAsia="Arial" w:hAnsi="Arial"/>
          <w:sz w:val="18"/>
          <w:szCs w:val="18"/>
          <w:color w:val="auto"/>
        </w:rPr>
        <w:t>The Company accounts for comprehensive income in accordance with FASB ASC No. 220, “Comprehensive Income.” Comprehensive income generally represents all changes in shareholders’ equity during the period except those resulting from investments by, or distributions to, shareholders. The Company determined that its items of other comprehensive income relate to gains and losses on hedging derivative instruments, unrealized gains and losses on marketable securities and unrealized gain and losses from foreign currency translation adjustments.</w:t>
      </w:r>
    </w:p>
    <w:p>
      <w:pPr>
        <w:spacing w:after="0" w:line="188" w:lineRule="exact"/>
        <w:rPr>
          <w:sz w:val="20"/>
          <w:szCs w:val="20"/>
          <w:color w:val="auto"/>
        </w:rPr>
      </w:pPr>
    </w:p>
    <w:p>
      <w:pPr>
        <w:ind w:left="1620" w:hanging="640"/>
        <w:spacing w:after="0"/>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Basic and diluted earnings per share:</w:t>
      </w:r>
    </w:p>
    <w:p>
      <w:pPr>
        <w:spacing w:after="0" w:line="225" w:lineRule="exact"/>
        <w:rPr>
          <w:rFonts w:ascii="Arial" w:cs="Arial" w:eastAsia="Arial" w:hAnsi="Arial"/>
          <w:sz w:val="18"/>
          <w:szCs w:val="18"/>
          <w:color w:val="auto"/>
        </w:rPr>
      </w:pPr>
    </w:p>
    <w:p>
      <w:pPr>
        <w:jc w:val="both"/>
        <w:ind w:left="1620"/>
        <w:spacing w:after="0" w:line="259" w:lineRule="auto"/>
        <w:rPr>
          <w:rFonts w:ascii="Arial" w:cs="Arial" w:eastAsia="Arial" w:hAnsi="Arial"/>
          <w:sz w:val="18"/>
          <w:szCs w:val="18"/>
          <w:color w:val="auto"/>
        </w:rPr>
      </w:pPr>
      <w:r>
        <w:rPr>
          <w:rFonts w:ascii="Arial" w:cs="Arial" w:eastAsia="Arial" w:hAnsi="Arial"/>
          <w:sz w:val="18"/>
          <w:szCs w:val="18"/>
          <w:color w:val="auto"/>
        </w:rPr>
        <w:t>Basic earnings per share is computed based on the weighted average number of ordinary shares outstanding during each period. Diluted earnings per share is computed based on the weighted average number of ordinary shares outstanding during each period, plus dilutive potential ordinary shares considered outstanding during the period, in accordance with ASC No. 260, “Earnings Per Share”.</w:t>
      </w:r>
    </w:p>
    <w:p>
      <w:pPr>
        <w:spacing w:after="0" w:line="186" w:lineRule="exact"/>
        <w:rPr>
          <w:rFonts w:ascii="Arial" w:cs="Arial" w:eastAsia="Arial" w:hAnsi="Arial"/>
          <w:sz w:val="18"/>
          <w:szCs w:val="18"/>
          <w:color w:val="auto"/>
        </w:rPr>
      </w:pPr>
    </w:p>
    <w:p>
      <w:pPr>
        <w:jc w:val="both"/>
        <w:ind w:left="1620"/>
        <w:spacing w:after="0" w:line="259" w:lineRule="auto"/>
        <w:rPr>
          <w:rFonts w:ascii="Arial" w:cs="Arial" w:eastAsia="Arial" w:hAnsi="Arial"/>
          <w:sz w:val="18"/>
          <w:szCs w:val="18"/>
          <w:color w:val="auto"/>
        </w:rPr>
      </w:pPr>
      <w:r>
        <w:rPr>
          <w:rFonts w:ascii="Arial" w:cs="Arial" w:eastAsia="Arial" w:hAnsi="Arial"/>
          <w:sz w:val="18"/>
          <w:szCs w:val="18"/>
          <w:color w:val="auto"/>
        </w:rPr>
        <w:t>The total number of shares related to the outstanding options and RSU’s excluded from the calculation of diluted earnings per share due to their anti-dilutive effect was 536,359 and 884,028 for the years ended December 31, 2019 and 2018, respectively. For the year ended December 31, 2017, all outstanding options and RSU’s have been excluded from the calculation of the diluted earnings per share since their effect was anti-dilutive.</w:t>
      </w:r>
    </w:p>
    <w:p>
      <w:pPr>
        <w:spacing w:after="0" w:line="186" w:lineRule="exact"/>
        <w:rPr>
          <w:rFonts w:ascii="Arial" w:cs="Arial" w:eastAsia="Arial" w:hAnsi="Arial"/>
          <w:sz w:val="18"/>
          <w:szCs w:val="18"/>
          <w:color w:val="auto"/>
        </w:rPr>
      </w:pPr>
    </w:p>
    <w:p>
      <w:pPr>
        <w:ind w:left="1620" w:hanging="640"/>
        <w:spacing w:after="0"/>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Recently adopted accounting standard:</w:t>
      </w:r>
    </w:p>
    <w:p>
      <w:pPr>
        <w:spacing w:after="0" w:line="225" w:lineRule="exact"/>
        <w:rPr>
          <w:rFonts w:ascii="Arial" w:cs="Arial" w:eastAsia="Arial" w:hAnsi="Arial"/>
          <w:sz w:val="18"/>
          <w:szCs w:val="18"/>
          <w:color w:val="auto"/>
        </w:rPr>
      </w:pPr>
    </w:p>
    <w:p>
      <w:pPr>
        <w:jc w:val="both"/>
        <w:ind w:left="2280" w:hanging="652"/>
        <w:spacing w:after="0" w:line="271" w:lineRule="auto"/>
        <w:tabs>
          <w:tab w:leader="none" w:pos="22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These amendments expand the scope of Topic 718, 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This ASU supersedes Subtopic 505-50, Equity - Equity-Based Payments to Non-Employees. The guidance is effective for the interim and annual periods beginning after December 15, 2018, and early adoption is permitted. The Company adopted this update as of January 1, 2019 with no material impact on its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2280" w:hanging="652"/>
        <w:spacing w:after="0" w:line="291" w:lineRule="auto"/>
        <w:tabs>
          <w:tab w:leader="none" w:pos="22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November 2019, the FASB issued ASU No. 2019-08, “Compensation - Stock Compensation (Topic 718) and Revenue from Contract with Customers (Topic 606): Codification Improvements Share-Based Consideration Payable to a Customer.” These amendments expand the scope of Topic 718, Compensation - Stock Compensation to include share-based payments issued to customers in conjunction with selling goods or services. Consequently, the accounting for share-based payments to customers will be measured and classified according to Topic 718. The guidance is effective for the interim and annual periods beginning after December 15, 2018, and early adoption is permitted. The Company adopted this update as of January 1, 2019 and used the fair value of the share-based payments on the adoption date.</w:t>
      </w:r>
    </w:p>
    <w:p>
      <w:pPr>
        <w:spacing w:after="0" w:line="166" w:lineRule="exact"/>
        <w:rPr>
          <w:rFonts w:ascii="Arial" w:cs="Arial" w:eastAsia="Arial" w:hAnsi="Arial"/>
          <w:sz w:val="16"/>
          <w:szCs w:val="16"/>
          <w:color w:val="auto"/>
        </w:rPr>
      </w:pPr>
    </w:p>
    <w:p>
      <w:pPr>
        <w:ind w:left="2280"/>
        <w:spacing w:after="0"/>
        <w:rPr>
          <w:rFonts w:ascii="Arial" w:cs="Arial" w:eastAsia="Arial" w:hAnsi="Arial"/>
          <w:sz w:val="16"/>
          <w:szCs w:val="16"/>
          <w:color w:val="auto"/>
        </w:rPr>
      </w:pPr>
      <w:r>
        <w:rPr>
          <w:rFonts w:ascii="Arial" w:cs="Arial" w:eastAsia="Arial" w:hAnsi="Arial"/>
          <w:sz w:val="18"/>
          <w:szCs w:val="18"/>
          <w:color w:val="auto"/>
        </w:rPr>
        <w:t>See note 10g for additional disclosures.</w:t>
      </w:r>
    </w:p>
    <w:p>
      <w:pPr>
        <w:spacing w:after="0" w:line="225" w:lineRule="exact"/>
        <w:rPr>
          <w:rFonts w:ascii="Arial" w:cs="Arial" w:eastAsia="Arial" w:hAnsi="Arial"/>
          <w:sz w:val="16"/>
          <w:szCs w:val="16"/>
          <w:color w:val="auto"/>
        </w:rPr>
      </w:pPr>
    </w:p>
    <w:p>
      <w:pPr>
        <w:jc w:val="both"/>
        <w:ind w:left="2280" w:hanging="652"/>
        <w:spacing w:after="0" w:line="259" w:lineRule="auto"/>
        <w:tabs>
          <w:tab w:leader="none" w:pos="2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February 2016, the Financial Accounting Standards Board (FASB) issued Accounting Standards Update No. 2016-02 (Topic 842) “Leases.” Topic 842 supersedes the lease requirements in Accounting Standards Codification (ASC) Topic 840, “Leases.” Under Topic 842, lessees are required to recognize assets and liabilities on the balance sheet for most leases and provide enhanced disclosures.</w:t>
      </w:r>
    </w:p>
    <w:p>
      <w:pPr>
        <w:spacing w:after="0" w:line="186" w:lineRule="exact"/>
        <w:rPr>
          <w:rFonts w:ascii="Arial" w:cs="Arial" w:eastAsia="Arial" w:hAnsi="Arial"/>
          <w:sz w:val="18"/>
          <w:szCs w:val="18"/>
          <w:color w:val="auto"/>
        </w:rPr>
      </w:pPr>
    </w:p>
    <w:p>
      <w:pPr>
        <w:jc w:val="both"/>
        <w:ind w:left="2280"/>
        <w:spacing w:after="0" w:line="290" w:lineRule="auto"/>
        <w:rPr>
          <w:rFonts w:ascii="Arial" w:cs="Arial" w:eastAsia="Arial" w:hAnsi="Arial"/>
          <w:sz w:val="18"/>
          <w:szCs w:val="18"/>
          <w:color w:val="auto"/>
        </w:rPr>
      </w:pPr>
      <w:r>
        <w:rPr>
          <w:rFonts w:ascii="Arial" w:cs="Arial" w:eastAsia="Arial" w:hAnsi="Arial"/>
          <w:sz w:val="16"/>
          <w:szCs w:val="16"/>
          <w:color w:val="auto"/>
        </w:rPr>
        <w:t>On January 1, 2019, the Company adopted Topic 842 and elected the available practical expedient to recognize the cumulative effect of initially adopting Topic 842 as an adjustment to the opening balance sheet of the period of adoption (i.e., January 1, 2019). The Company also elected the other available practical expedients and will not separate lease components from non-lease components, will not reassess whether contracts are or contain leases, lease classification, or initial direct costs for existing leases as of January 1, 2019. In addition, the Company elected not to apply the transition requirements for leases for which the lease term is less than 12 months. The consolidated balance sheets and results from operations for reporting periods beginning after January 1, 2019 are presented under Topic 842, while prior period amounts are not adjusted and continue to be reported in accordance with the historic accounting under Topic 840.</w:t>
      </w:r>
    </w:p>
    <w:p>
      <w:pPr>
        <w:spacing w:after="0" w:line="165" w:lineRule="exact"/>
        <w:rPr>
          <w:rFonts w:ascii="Arial" w:cs="Arial" w:eastAsia="Arial" w:hAnsi="Arial"/>
          <w:sz w:val="18"/>
          <w:szCs w:val="18"/>
          <w:color w:val="auto"/>
        </w:rPr>
      </w:pPr>
    </w:p>
    <w:p>
      <w:pPr>
        <w:ind w:left="2280" w:right="20"/>
        <w:spacing w:after="0" w:line="308" w:lineRule="auto"/>
        <w:rPr>
          <w:rFonts w:ascii="Arial" w:cs="Arial" w:eastAsia="Arial" w:hAnsi="Arial"/>
          <w:sz w:val="18"/>
          <w:szCs w:val="18"/>
          <w:color w:val="auto"/>
        </w:rPr>
      </w:pPr>
      <w:r>
        <w:rPr>
          <w:rFonts w:ascii="Arial" w:cs="Arial" w:eastAsia="Arial" w:hAnsi="Arial"/>
          <w:sz w:val="17"/>
          <w:szCs w:val="17"/>
          <w:color w:val="auto"/>
        </w:rPr>
        <w:t>The Company leases real estate, cars and storage areas, all classified as operating leases. In addition to rent payments, the leases may require the Company to pay for insurance, maintenance and other operating expenses.</w:t>
      </w:r>
    </w:p>
    <w:p>
      <w:pPr>
        <w:spacing w:after="0" w:line="146" w:lineRule="exact"/>
        <w:rPr>
          <w:rFonts w:ascii="Arial" w:cs="Arial" w:eastAsia="Arial" w:hAnsi="Arial"/>
          <w:sz w:val="18"/>
          <w:szCs w:val="18"/>
          <w:color w:val="auto"/>
        </w:rPr>
      </w:pPr>
    </w:p>
    <w:p>
      <w:pPr>
        <w:jc w:val="both"/>
        <w:ind w:left="2280"/>
        <w:spacing w:after="0" w:line="259" w:lineRule="auto"/>
        <w:rPr>
          <w:rFonts w:ascii="Arial" w:cs="Arial" w:eastAsia="Arial" w:hAnsi="Arial"/>
          <w:sz w:val="18"/>
          <w:szCs w:val="18"/>
          <w:color w:val="auto"/>
        </w:rPr>
      </w:pPr>
      <w:r>
        <w:rPr>
          <w:rFonts w:ascii="Arial" w:cs="Arial" w:eastAsia="Arial" w:hAnsi="Arial"/>
          <w:sz w:val="18"/>
          <w:szCs w:val="18"/>
          <w:color w:val="auto"/>
        </w:rPr>
        <w:t>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As of December 31, 2019, all arrangements were classified as operating leases.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2280"/>
        <w:spacing w:after="0" w:line="287" w:lineRule="auto"/>
        <w:rPr>
          <w:sz w:val="20"/>
          <w:szCs w:val="20"/>
          <w:color w:val="auto"/>
        </w:rPr>
      </w:pPr>
      <w:r>
        <w:rPr>
          <w:rFonts w:ascii="Arial" w:cs="Arial" w:eastAsia="Arial" w:hAnsi="Arial"/>
          <w:sz w:val="16"/>
          <w:szCs w:val="16"/>
          <w:color w:val="auto"/>
        </w:rPr>
        <w:t>Operating leases are included in operating lease right-of-use (“ROU”) assets and operating lease liabilities in the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 Operating lease expenses are recognized on a straight-line basis over the lease term. Several of the Company’s leases include option to extend the lease and some have termination options that are factored into the Company’s determination of the lease payments when appropriate. For purposes of calculating lease liabilities, lease terms include options to extend or terminate the lease when it is reasonably certain that the company will exercise such options. Some of the lease agreements include rental payments adjusted periodically for inflation. The Company’s lease agreements do not contain any material residual value guarantees.</w:t>
      </w:r>
    </w:p>
    <w:p>
      <w:pPr>
        <w:spacing w:after="0" w:line="172" w:lineRule="exact"/>
        <w:rPr>
          <w:sz w:val="20"/>
          <w:szCs w:val="20"/>
          <w:color w:val="auto"/>
        </w:rPr>
      </w:pPr>
    </w:p>
    <w:p>
      <w:pPr>
        <w:jc w:val="both"/>
        <w:ind w:left="2280"/>
        <w:spacing w:after="0" w:line="255" w:lineRule="auto"/>
        <w:rPr>
          <w:sz w:val="20"/>
          <w:szCs w:val="20"/>
          <w:color w:val="auto"/>
        </w:rPr>
      </w:pPr>
      <w:r>
        <w:rPr>
          <w:rFonts w:ascii="Arial" w:cs="Arial" w:eastAsia="Arial" w:hAnsi="Arial"/>
          <w:sz w:val="18"/>
          <w:szCs w:val="18"/>
          <w:color w:val="auto"/>
        </w:rPr>
        <w:t>The new standard also provides practical expedients for an entity’s ongoing accounting. The Company elected the short-term lease recognition exemption for all leases with a term shorter than 12 months. This means that for those leases, the Company does not recognize ROU assets or lease liabilities, including not recognizing ROU assets or lease liabilities for existing short-term leases of those assets in transition, but recognizes lease expenses over the lease term on a straight-line basis. The Company also elected the practical expedient to not separate lease and non-lease components for all of the Company’s leases.</w:t>
      </w:r>
    </w:p>
    <w:p>
      <w:pPr>
        <w:spacing w:after="0" w:line="192" w:lineRule="exact"/>
        <w:rPr>
          <w:sz w:val="20"/>
          <w:szCs w:val="20"/>
          <w:color w:val="auto"/>
        </w:rPr>
      </w:pPr>
    </w:p>
    <w:p>
      <w:pPr>
        <w:jc w:val="both"/>
        <w:ind w:left="2280" w:right="20"/>
        <w:spacing w:after="0" w:line="277" w:lineRule="auto"/>
        <w:rPr>
          <w:sz w:val="20"/>
          <w:szCs w:val="20"/>
          <w:color w:val="auto"/>
        </w:rPr>
      </w:pPr>
      <w:r>
        <w:rPr>
          <w:rFonts w:ascii="Arial" w:cs="Arial" w:eastAsia="Arial" w:hAnsi="Arial"/>
          <w:sz w:val="18"/>
          <w:szCs w:val="18"/>
          <w:color w:val="auto"/>
        </w:rPr>
        <w:t>The Company does not believe the new lease standard will have a notable impact on its liquidity. The new standard will have no impact on the Company’s financial covenant compliance under its credit lines.</w:t>
      </w:r>
    </w:p>
    <w:p>
      <w:pPr>
        <w:spacing w:after="0" w:line="170" w:lineRule="exact"/>
        <w:rPr>
          <w:sz w:val="20"/>
          <w:szCs w:val="20"/>
          <w:color w:val="auto"/>
        </w:rPr>
      </w:pPr>
    </w:p>
    <w:p>
      <w:pPr>
        <w:jc w:val="both"/>
        <w:ind w:left="2280"/>
        <w:spacing w:after="0" w:line="277" w:lineRule="auto"/>
        <w:rPr>
          <w:sz w:val="20"/>
          <w:szCs w:val="20"/>
          <w:color w:val="auto"/>
        </w:rPr>
      </w:pPr>
      <w:r>
        <w:rPr>
          <w:rFonts w:ascii="Arial" w:cs="Arial" w:eastAsia="Arial" w:hAnsi="Arial"/>
          <w:sz w:val="18"/>
          <w:szCs w:val="18"/>
          <w:color w:val="auto"/>
        </w:rPr>
        <w:t>The Company recorded upon adoption as of January 1, 2019, right-of-use leased assets and corresponding liabilities of $14,905.</w:t>
      </w:r>
    </w:p>
    <w:p>
      <w:pPr>
        <w:spacing w:after="0" w:line="17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See note 13 for additional disclosures.</w:t>
      </w:r>
    </w:p>
    <w:p>
      <w:pPr>
        <w:spacing w:after="0" w:line="225" w:lineRule="exact"/>
        <w:rPr>
          <w:sz w:val="20"/>
          <w:szCs w:val="20"/>
          <w:color w:val="auto"/>
        </w:rPr>
      </w:pPr>
    </w:p>
    <w:p>
      <w:pPr>
        <w:jc w:val="both"/>
        <w:ind w:left="2280" w:hanging="652"/>
        <w:spacing w:after="0" w:line="273" w:lineRule="auto"/>
        <w:tabs>
          <w:tab w:leader="none" w:pos="22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August 2017, the FASB issued ASU No. 2017-12 (Topic 815) Derivatives and Hedging — Targeted Improvements to Accounting for Hedging Activities, which expands an entity’s ability to hedge financial and nonfinancial risk components and amends how companies assess effectiveness as well as changes the presentation and disclosure requirements. The new standard is to be applied on a modified retrospective basis and is effective for interim and annual periods beginning after December 15, 2018, with early adoption permitted. The Company adopted the provisions of this update as of January 1, 2019 with no material impact on its consolidated financial statements.</w:t>
      </w:r>
    </w:p>
    <w:p>
      <w:pPr>
        <w:spacing w:after="0" w:line="177" w:lineRule="exact"/>
        <w:rPr>
          <w:rFonts w:ascii="Arial" w:cs="Arial" w:eastAsia="Arial" w:hAnsi="Arial"/>
          <w:sz w:val="17"/>
          <w:szCs w:val="17"/>
          <w:color w:val="auto"/>
        </w:rPr>
      </w:pPr>
    </w:p>
    <w:p>
      <w:pPr>
        <w:ind w:left="2280"/>
        <w:spacing w:after="0"/>
        <w:rPr>
          <w:rFonts w:ascii="Arial" w:cs="Arial" w:eastAsia="Arial" w:hAnsi="Arial"/>
          <w:sz w:val="17"/>
          <w:szCs w:val="17"/>
          <w:color w:val="auto"/>
        </w:rPr>
      </w:pPr>
      <w:r>
        <w:rPr>
          <w:rFonts w:ascii="Arial" w:cs="Arial" w:eastAsia="Arial" w:hAnsi="Arial"/>
          <w:sz w:val="18"/>
          <w:szCs w:val="18"/>
          <w:color w:val="auto"/>
        </w:rPr>
        <w:t>See note 2t for additional disclosures.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620" w:hanging="640"/>
        <w:spacing w:after="0"/>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Impact of recently issued accounting standard and not yet adopted:</w:t>
      </w:r>
    </w:p>
    <w:p>
      <w:pPr>
        <w:spacing w:after="0" w:line="225" w:lineRule="exact"/>
        <w:rPr>
          <w:rFonts w:ascii="Arial" w:cs="Arial" w:eastAsia="Arial" w:hAnsi="Arial"/>
          <w:sz w:val="18"/>
          <w:szCs w:val="18"/>
          <w:color w:val="auto"/>
        </w:rPr>
      </w:pPr>
    </w:p>
    <w:p>
      <w:pPr>
        <w:jc w:val="both"/>
        <w:ind w:left="2280" w:hanging="652"/>
        <w:spacing w:after="0" w:line="254" w:lineRule="auto"/>
        <w:tabs>
          <w:tab w:leader="none" w:pos="22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June 2016, the FASB issued Accounting Standards Update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methodology, which will result in more timely recognition of credit losses. ASU 2016-13 is effective for annual reporting periods, and interim periods within those years, beginning after December 15, 2019. The Company does not expect this ASU to have a material impact on its consolidated financial statements and related disclosures.</w:t>
      </w:r>
    </w:p>
    <w:p>
      <w:pPr>
        <w:spacing w:after="0" w:line="194" w:lineRule="exact"/>
        <w:rPr>
          <w:rFonts w:ascii="Arial" w:cs="Arial" w:eastAsia="Arial" w:hAnsi="Arial"/>
          <w:sz w:val="18"/>
          <w:szCs w:val="18"/>
          <w:color w:val="auto"/>
        </w:rPr>
      </w:pPr>
    </w:p>
    <w:p>
      <w:pPr>
        <w:jc w:val="both"/>
        <w:ind w:left="2280" w:hanging="652"/>
        <w:spacing w:after="0" w:line="291" w:lineRule="auto"/>
        <w:tabs>
          <w:tab w:leader="none" w:pos="22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with early adoption permitted. The Company does not expect that this new guidance will have a material impact on the Company’s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February 7, 2019 (the “Closing Date”), the Company, through its wholly owned subsidiary Kornit Digital North America Inc., acquired the business and certain assets of Hirsch Solutions Inc., (“Hirsch”) its distributor in North America. Under the related acquisition agreement, the total consideration of $4,715 was paid at the closing date.</w:t>
      </w:r>
    </w:p>
    <w:p>
      <w:pPr>
        <w:spacing w:after="0" w:line="184"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 addition, the Company incurred acquisition-related costs in a total amount of $85. Acquisition-related costs include legal, accounting, consulting fees and other external costs directly related to the acquisition.</w:t>
      </w:r>
    </w:p>
    <w:p>
      <w:pPr>
        <w:spacing w:after="0" w:line="17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main reasons for this acquisition are to improve connectivity with customers by expanding leadership position in the digital textile market as well as providing direct access to a large number of traditional screen-printing customers.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Purchase price allocation:</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Under business combination accounting principles, the total purchase price was allocated to Hirsch’s net tangible and intangible assets based on their estimated fair values as set forth below. The excess of the purchase price over the net tangible and identifiable intangible assets was recorded as goodwill.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3"/>
          </w:tcPr>
          <w:p>
            <w:pPr>
              <w:ind w:left="980"/>
              <w:spacing w:after="0"/>
              <w:rPr>
                <w:sz w:val="20"/>
                <w:szCs w:val="20"/>
                <w:color w:val="auto"/>
              </w:rPr>
            </w:pPr>
            <w:r>
              <w:rPr>
                <w:rFonts w:ascii="Arial" w:cs="Arial" w:eastAsia="Arial" w:hAnsi="Arial"/>
                <w:sz w:val="18"/>
                <w:szCs w:val="18"/>
                <w:color w:val="auto"/>
              </w:rPr>
              <w:t>The purchase price allocation for the acquisition has been determined at the follows: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r>
      <w:tr>
        <w:trPr>
          <w:trHeight w:val="241"/>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Fair Value</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period (years)</w:t>
            </w:r>
          </w:p>
        </w:tc>
      </w:tr>
      <w:tr>
        <w:trPr>
          <w:trHeight w:val="176"/>
        </w:trPr>
        <w:tc>
          <w:tcPr>
            <w:tcW w:w="7760" w:type="dxa"/>
            <w:vAlign w:val="bottom"/>
            <w:gridSpan w:val="3"/>
          </w:tcPr>
          <w:p>
            <w:pPr>
              <w:spacing w:after="0" w:line="176" w:lineRule="exact"/>
              <w:rPr>
                <w:sz w:val="20"/>
                <w:szCs w:val="20"/>
                <w:color w:val="auto"/>
              </w:rPr>
            </w:pPr>
            <w:r>
              <w:rPr>
                <w:rFonts w:ascii="Arial" w:cs="Arial" w:eastAsia="Arial" w:hAnsi="Arial"/>
                <w:sz w:val="18"/>
                <w:szCs w:val="18"/>
                <w:color w:val="auto"/>
              </w:rPr>
              <w:t>Tangible Assets</w:t>
            </w:r>
          </w:p>
        </w:tc>
        <w:tc>
          <w:tcPr>
            <w:tcW w:w="6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3,353</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Intangible Assets:</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760" w:type="dxa"/>
            <w:vAlign w:val="bottom"/>
            <w:gridSpan w:val="3"/>
          </w:tcPr>
          <w:p>
            <w:pPr>
              <w:spacing w:after="0"/>
              <w:rPr>
                <w:sz w:val="20"/>
                <w:szCs w:val="20"/>
                <w:color w:val="auto"/>
              </w:rPr>
            </w:pPr>
            <w:r>
              <w:rPr>
                <w:rFonts w:ascii="Arial" w:cs="Arial" w:eastAsia="Arial" w:hAnsi="Arial"/>
                <w:sz w:val="18"/>
                <w:szCs w:val="18"/>
                <w:color w:val="auto"/>
              </w:rPr>
              <w:t>Customer Relationships (*)</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37"/>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Infinite</w:t>
            </w:r>
          </w:p>
        </w:tc>
      </w:tr>
      <w:tr>
        <w:trPr>
          <w:trHeight w:val="216"/>
        </w:trPr>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4,715</w:t>
            </w: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300" w:hanging="320"/>
        <w:spacing w:after="0" w:line="277"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Customer relationships represent the underlying relationships and agreements with Hirsch’s installed customer base and are amortized over the useful life of the agreements using accelerated method.</w:t>
      </w:r>
    </w:p>
    <w:p>
      <w:pPr>
        <w:spacing w:after="0" w:line="170" w:lineRule="exact"/>
        <w:rPr>
          <w:sz w:val="20"/>
          <w:szCs w:val="20"/>
          <w:color w:val="auto"/>
        </w:rPr>
      </w:pPr>
    </w:p>
    <w:p>
      <w:pPr>
        <w:jc w:val="both"/>
        <w:ind w:left="980"/>
        <w:spacing w:after="0" w:line="301" w:lineRule="auto"/>
        <w:rPr>
          <w:sz w:val="20"/>
          <w:szCs w:val="20"/>
          <w:color w:val="auto"/>
        </w:rPr>
      </w:pPr>
      <w:r>
        <w:rPr>
          <w:rFonts w:ascii="Arial" w:cs="Arial" w:eastAsia="Arial" w:hAnsi="Arial"/>
          <w:sz w:val="16"/>
          <w:szCs w:val="16"/>
          <w:color w:val="auto"/>
        </w:rPr>
        <w:t>In performing the purchase price allocation, the Company considered, among other factors, analysis of historical financial performance, the best use of the acquired assets and estimates of future performance of Hirsch’s installed base. In its allocation, applying the market’s participant approach, the Company determined the fair values of the acquired inventory based on estimated selling price adjusted for cost of selling efforts and a reasonable profit allowance and the acquired customer relationships based on their future expected cash flows.</w:t>
      </w:r>
    </w:p>
    <w:p>
      <w:pPr>
        <w:spacing w:after="0" w:line="157"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they are not material to the Company’s consolidated statements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4:- FAIR VALUE MEASUREMENTS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980"/>
              <w:spacing w:after="0"/>
              <w:rPr>
                <w:sz w:val="20"/>
                <w:szCs w:val="20"/>
                <w:color w:val="auto"/>
              </w:rPr>
            </w:pPr>
            <w:r>
              <w:rPr>
                <w:rFonts w:ascii="Arial" w:cs="Arial" w:eastAsia="Arial" w:hAnsi="Arial"/>
                <w:sz w:val="18"/>
                <w:szCs w:val="18"/>
                <w:color w:val="auto"/>
              </w:rPr>
              <w:t>The following is a summary of marketable securities: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7"/>
                <w:szCs w:val="17"/>
                <w:color w:val="auto"/>
              </w:rPr>
            </w:pPr>
          </w:p>
        </w:tc>
        <w:tc>
          <w:tcPr>
            <w:tcW w:w="1200" w:type="dxa"/>
            <w:vAlign w:val="bottom"/>
            <w:gridSpan w:val="2"/>
          </w:tcPr>
          <w:p>
            <w:pPr>
              <w:jc w:val="center"/>
              <w:ind w:right="301"/>
              <w:spacing w:after="0" w:line="198"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77"/>
              </w:rPr>
              <w:t>loss</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27,637</w:t>
            </w:r>
          </w:p>
        </w:tc>
      </w:tr>
      <w:tr>
        <w:trPr>
          <w:trHeight w:val="237"/>
        </w:trPr>
        <w:tc>
          <w:tcPr>
            <w:tcW w:w="5980" w:type="dxa"/>
            <w:vAlign w:val="bottom"/>
          </w:tcPr>
          <w:p>
            <w:pPr>
              <w:ind w:left="12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4,930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Matures after one year through three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91,887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92,345</w:t>
            </w:r>
          </w:p>
        </w:tc>
      </w:tr>
      <w:tr>
        <w:trPr>
          <w:trHeight w:val="250"/>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94,917</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95,393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127,471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(131</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127,960</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7"/>
                <w:szCs w:val="17"/>
                <w:color w:val="auto"/>
              </w:rPr>
            </w:pPr>
          </w:p>
        </w:tc>
        <w:tc>
          <w:tcPr>
            <w:tcW w:w="1200" w:type="dxa"/>
            <w:vAlign w:val="bottom"/>
            <w:gridSpan w:val="2"/>
          </w:tcPr>
          <w:p>
            <w:pPr>
              <w:jc w:val="center"/>
              <w:ind w:right="301"/>
              <w:spacing w:after="0" w:line="198"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77"/>
              </w:rPr>
              <w:t>loss</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3,999</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Matures after one year through three years: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33,381</w:t>
            </w:r>
          </w:p>
        </w:tc>
      </w:tr>
      <w:tr>
        <w:trPr>
          <w:trHeight w:val="237"/>
        </w:trPr>
        <w:tc>
          <w:tcPr>
            <w:tcW w:w="5980" w:type="dxa"/>
            <w:vAlign w:val="bottom"/>
          </w:tcPr>
          <w:p>
            <w:pPr>
              <w:ind w:left="12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11,360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11,222</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(502</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Investments with continuous unrealized losses for less than 12 months and 12 months or greater and their related fair values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3"/>
              </w:rPr>
              <w:t>December 31, 2019</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1"/>
              </w:rPr>
              <w:t>Less than 12 months</w:t>
            </w:r>
          </w:p>
        </w:tc>
        <w:tc>
          <w:tcPr>
            <w:tcW w:w="1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12 months or greater</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gridSpan w:val="2"/>
          </w:tcPr>
          <w:p>
            <w:pPr>
              <w:spacing w:after="0"/>
              <w:rPr>
                <w:sz w:val="17"/>
                <w:szCs w:val="17"/>
                <w:color w:val="auto"/>
              </w:rPr>
            </w:pPr>
          </w:p>
        </w:tc>
      </w:tr>
      <w:tr>
        <w:trPr>
          <w:trHeight w:val="255"/>
        </w:trPr>
        <w:tc>
          <w:tcPr>
            <w:tcW w:w="4620" w:type="dxa"/>
            <w:vAlign w:val="bottom"/>
          </w:tcPr>
          <w:p>
            <w:pPr>
              <w:spacing w:after="0"/>
              <w:rPr>
                <w:sz w:val="22"/>
                <w:szCs w:val="22"/>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Fair value</w:t>
            </w:r>
          </w:p>
        </w:tc>
        <w:tc>
          <w:tcPr>
            <w:tcW w:w="160" w:type="dxa"/>
            <w:vAlign w:val="bottom"/>
          </w:tcPr>
          <w:p>
            <w:pPr>
              <w:spacing w:after="0"/>
              <w:rPr>
                <w:sz w:val="22"/>
                <w:szCs w:val="2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Losses</w:t>
            </w: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Fair value</w:t>
            </w:r>
          </w:p>
        </w:tc>
        <w:tc>
          <w:tcPr>
            <w:tcW w:w="140" w:type="dxa"/>
            <w:vAlign w:val="bottom"/>
          </w:tcPr>
          <w:p>
            <w:pPr>
              <w:spacing w:after="0"/>
              <w:rPr>
                <w:sz w:val="22"/>
                <w:szCs w:val="22"/>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6"/>
              </w:rPr>
              <w:t>Losses</w:t>
            </w:r>
          </w:p>
        </w:tc>
      </w:tr>
      <w:tr>
        <w:trPr>
          <w:trHeight w:val="216"/>
        </w:trPr>
        <w:tc>
          <w:tcPr>
            <w:tcW w:w="4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3,801</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Government debentures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2,552</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2,552</w:t>
            </w:r>
          </w:p>
        </w:tc>
        <w:tc>
          <w:tcPr>
            <w:tcW w:w="14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60,305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(130</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3,801</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w:t>
            </w:r>
            <w:r>
              <w:rPr>
                <w:rFonts w:ascii="Arial" w:cs="Arial" w:eastAsia="Arial" w:hAnsi="Arial"/>
                <w:sz w:val="29"/>
                <w:szCs w:val="29"/>
                <w:color w:val="auto"/>
                <w:vertAlign w:val="superscript"/>
              </w:rPr>
              <w:t>)</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64,106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(131</w:t>
            </w:r>
            <w:r>
              <w:rPr>
                <w:rFonts w:ascii="Arial" w:cs="Arial" w:eastAsia="Arial" w:hAnsi="Arial"/>
                <w:sz w:val="29"/>
                <w:szCs w:val="29"/>
                <w:color w:val="auto"/>
                <w:vertAlign w:val="superscript"/>
              </w:rPr>
              <w:t>)</w:t>
            </w:r>
          </w:p>
        </w:tc>
      </w:tr>
      <w:tr>
        <w:trPr>
          <w:trHeight w:val="21"/>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NOTE 4:- FAIR VALUE MEASUREMENTS (Cont.)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w w:val="93"/>
              </w:rPr>
              <w:t>December 31, 2018</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1"/>
              </w:rPr>
              <w:t>Less than 12 months</w:t>
            </w:r>
          </w:p>
        </w:tc>
        <w:tc>
          <w:tcPr>
            <w:tcW w:w="140" w:type="dxa"/>
            <w:vAlign w:val="bottom"/>
          </w:tcPr>
          <w:p>
            <w:pPr>
              <w:spacing w:after="0"/>
              <w:rPr>
                <w:sz w:val="20"/>
                <w:szCs w:val="20"/>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12 months or greater</w:t>
            </w:r>
          </w:p>
        </w:tc>
        <w:tc>
          <w:tcPr>
            <w:tcW w:w="2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gridSpan w:val="2"/>
          </w:tcPr>
          <w:p>
            <w:pPr>
              <w:spacing w:after="0"/>
              <w:rPr>
                <w:sz w:val="17"/>
                <w:szCs w:val="17"/>
                <w:color w:val="auto"/>
              </w:rPr>
            </w:pPr>
          </w:p>
        </w:tc>
      </w:tr>
      <w:tr>
        <w:trPr>
          <w:trHeight w:val="255"/>
        </w:trPr>
        <w:tc>
          <w:tcPr>
            <w:tcW w:w="4620" w:type="dxa"/>
            <w:vAlign w:val="bottom"/>
          </w:tcPr>
          <w:p>
            <w:pPr>
              <w:spacing w:after="0"/>
              <w:rPr>
                <w:sz w:val="22"/>
                <w:szCs w:val="22"/>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Fair value</w:t>
            </w:r>
          </w:p>
        </w:tc>
        <w:tc>
          <w:tcPr>
            <w:tcW w:w="160" w:type="dxa"/>
            <w:vAlign w:val="bottom"/>
          </w:tcPr>
          <w:p>
            <w:pPr>
              <w:spacing w:after="0"/>
              <w:rPr>
                <w:sz w:val="22"/>
                <w:szCs w:val="2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Losses</w:t>
            </w: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2"/>
                <w:szCs w:val="2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Losses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Fair value</w:t>
            </w:r>
          </w:p>
        </w:tc>
        <w:tc>
          <w:tcPr>
            <w:tcW w:w="140" w:type="dxa"/>
            <w:vAlign w:val="bottom"/>
          </w:tcPr>
          <w:p>
            <w:pPr>
              <w:spacing w:after="0"/>
              <w:rPr>
                <w:sz w:val="22"/>
                <w:szCs w:val="22"/>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6"/>
              </w:rPr>
              <w:t>Losses</w:t>
            </w:r>
          </w:p>
        </w:tc>
      </w:tr>
      <w:tr>
        <w:trPr>
          <w:trHeight w:val="216"/>
        </w:trPr>
        <w:tc>
          <w:tcPr>
            <w:tcW w:w="4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Government debentures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8,864</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2,357</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11,221</w:t>
            </w:r>
          </w:p>
        </w:tc>
        <w:tc>
          <w:tcPr>
            <w:tcW w:w="14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20,881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(243</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18,904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(259</w:t>
            </w:r>
            <w:r>
              <w:rPr>
                <w:rFonts w:ascii="Arial" w:cs="Arial" w:eastAsia="Arial" w:hAnsi="Arial"/>
                <w:sz w:val="29"/>
                <w:szCs w:val="29"/>
                <w:color w:val="auto"/>
                <w:vertAlign w:val="superscript"/>
              </w:rPr>
              <w:t>)</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39,785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(502</w:t>
            </w:r>
            <w:r>
              <w:rPr>
                <w:rFonts w:ascii="Arial" w:cs="Arial" w:eastAsia="Arial" w:hAnsi="Arial"/>
                <w:sz w:val="29"/>
                <w:szCs w:val="29"/>
                <w:color w:val="auto"/>
                <w:vertAlign w:val="superscript"/>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below table sets forth the Company’s assets and liabilities that were measured at fair value as of December 31, 2019 and 2018 by level within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80" w:type="dxa"/>
            <w:vAlign w:val="bottom"/>
            <w:gridSpan w:val="2"/>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auto"/>
            </w:tcBorders>
          </w:tcPr>
          <w:p>
            <w:pPr>
              <w:spacing w:after="0"/>
              <w:rPr>
                <w:sz w:val="4"/>
                <w:szCs w:val="4"/>
                <w:color w:val="auto"/>
              </w:rPr>
            </w:pPr>
          </w:p>
        </w:tc>
        <w:tc>
          <w:tcPr>
            <w:tcW w:w="5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127,960</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127,976</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127,976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960" w:type="dxa"/>
            <w:vAlign w:val="bottom"/>
          </w:tcPr>
          <w:p>
            <w:pPr>
              <w:jc w:val="right"/>
              <w:ind w:right="44"/>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80" w:type="dxa"/>
            <w:vAlign w:val="bottom"/>
            <w:gridSpan w:val="3"/>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48,584</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48,584</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48,584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3"/>
          </w:tcPr>
          <w:p>
            <w:pPr>
              <w:spacing w:after="0"/>
              <w:rPr>
                <w:sz w:val="20"/>
                <w:szCs w:val="20"/>
                <w:color w:val="auto"/>
              </w:rPr>
            </w:pPr>
            <w:r>
              <w:rPr>
                <w:rFonts w:ascii="Arial" w:cs="Arial" w:eastAsia="Arial" w:hAnsi="Arial"/>
                <w:sz w:val="18"/>
                <w:szCs w:val="18"/>
                <w:color w:val="auto"/>
              </w:rPr>
              <w:t>Foreign currency derivative contracts</w:t>
            </w: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gridSpan w:val="3"/>
          </w:tcPr>
          <w:p>
            <w:pPr>
              <w:spacing w:after="0"/>
              <w:rPr>
                <w:sz w:val="20"/>
                <w:szCs w:val="20"/>
                <w:color w:val="auto"/>
              </w:rPr>
            </w:pPr>
            <w:r>
              <w:rPr>
                <w:rFonts w:ascii="Arial" w:cs="Arial" w:eastAsia="Arial" w:hAnsi="Arial"/>
                <w:sz w:val="18"/>
                <w:szCs w:val="18"/>
                <w:color w:val="auto"/>
              </w:rPr>
              <w:t>Total financial liabilities</w:t>
            </w: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6"/>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gridSpan w:val="3"/>
          </w:tcPr>
          <w:p>
            <w:pPr>
              <w:spacing w:after="0"/>
              <w:rPr>
                <w:sz w:val="20"/>
                <w:szCs w:val="20"/>
                <w:color w:val="auto"/>
              </w:rPr>
            </w:pPr>
            <w:r>
              <w:rPr>
                <w:rFonts w:ascii="Arial" w:cs="Arial" w:eastAsia="Arial" w:hAnsi="Arial"/>
                <w:sz w:val="18"/>
                <w:szCs w:val="18"/>
                <w:color w:val="auto"/>
              </w:rPr>
              <w:t>Finished products (*)</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16,075</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12,605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37,477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30,030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320"/>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Including amounts of $0 and $836 for the years ended December 31, 2019 and 2018, respectively, with respect to inventory delivered to customers for which revenue was not yet recognized.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PROPERTY, PLANT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and peripheral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8,505</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29,017</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(16,761)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(14,023)</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Depreciation expenses for the years ended December 31, 2019, 2018 and 2017 were $3,611, $3,900 and $3,505 respectively.</w:t>
      </w:r>
    </w:p>
    <w:p>
      <w:pPr>
        <w:spacing w:after="0" w:line="225"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During the years ended December 31, 2019, 2018 and 2017, the Company recorded a reduction of $868, $861 and $298, respectively to the cost and accumulated depreciation of fully depreciated equipment no longer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229" w:lineRule="exact"/>
        <w:rPr>
          <w:sz w:val="20"/>
          <w:szCs w:val="20"/>
          <w:color w:val="auto"/>
        </w:rPr>
      </w:pPr>
    </w:p>
    <w:p>
      <w:pPr>
        <w:ind w:left="1620" w:hanging="640"/>
        <w:spacing w:after="0"/>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amortization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w:t>
            </w:r>
          </w:p>
        </w:tc>
        <w:tc>
          <w:tcPr>
            <w:tcW w:w="24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Original amount: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technology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5.23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Non-competition agreement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Software development costs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rights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Accumulated amortization:</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technology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Non-competition agreement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Software development costs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rights</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 (Cont.)</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Amortization expenses for the years ended December 31, 2019, 2018 and 2017 were $856, $1,065 and $1,309, respectively.</w:t>
      </w:r>
    </w:p>
    <w:p>
      <w:pPr>
        <w:spacing w:after="0" w:line="237" w:lineRule="exact"/>
        <w:rPr>
          <w:sz w:val="20"/>
          <w:szCs w:val="20"/>
          <w:color w:val="auto"/>
        </w:rPr>
      </w:pPr>
    </w:p>
    <w:p>
      <w:pPr>
        <w:ind w:left="1620" w:hanging="640"/>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Future amortization expenses for the years ending: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OTHER PAYABLES AND ACCRUED EXPENSES</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8"/>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returns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obligation related to acquisition</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6,373</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NOTE 9:- COMMITMENTS AND CONTINGENT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hanging="64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jc w:val="both"/>
        <w:ind w:left="1620"/>
        <w:spacing w:after="0" w:line="301" w:lineRule="auto"/>
        <w:rPr>
          <w:rFonts w:ascii="Arial" w:cs="Arial" w:eastAsia="Arial" w:hAnsi="Arial"/>
          <w:sz w:val="18"/>
          <w:szCs w:val="18"/>
          <w:color w:val="auto"/>
        </w:rPr>
      </w:pPr>
      <w:r>
        <w:rPr>
          <w:rFonts w:ascii="Arial" w:cs="Arial" w:eastAsia="Arial" w:hAnsi="Arial"/>
          <w:sz w:val="16"/>
          <w:szCs w:val="16"/>
          <w:color w:val="auto"/>
        </w:rPr>
        <w:t>As of December 31, 2019, the Company has two lines of credit with Israeli banks for total borrowings of up to $3 million. These lines of credit are unsecured and available provided that the Company maintains a 30% ratio of total tangible shareholders’ equity to total tangible assets and that the total credit use will be less than 70% of the Company and its subsidiaries’ receivables. Interest rates across these credit lines varied from 0.2% to Prime (Israel Interbank Offered Rate) +0.7% (current 2.3%) as of December 31, 2019.</w:t>
      </w:r>
    </w:p>
    <w:p>
      <w:pPr>
        <w:spacing w:after="0" w:line="15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As of December 31, 2019, the Company has not utilized its line of credits.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2019, the Company has $26,367 of purchase commitments for goods and services from vendors. These commitments are due primarily within one year.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CONTINGENT LIABILITIES (Cont.)</w:t>
      </w:r>
    </w:p>
    <w:p>
      <w:pPr>
        <w:spacing w:after="0" w:line="229" w:lineRule="exact"/>
        <w:rPr>
          <w:sz w:val="20"/>
          <w:szCs w:val="20"/>
          <w:color w:val="auto"/>
        </w:rPr>
      </w:pPr>
    </w:p>
    <w:p>
      <w:pPr>
        <w:ind w:left="1620" w:hanging="640"/>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83" w:lineRule="exact"/>
        <w:rPr>
          <w:rFonts w:ascii="Arial" w:cs="Arial" w:eastAsia="Arial" w:hAnsi="Arial"/>
          <w:sz w:val="18"/>
          <w:szCs w:val="18"/>
          <w:color w:val="auto"/>
        </w:rPr>
      </w:pPr>
    </w:p>
    <w:p>
      <w:pPr>
        <w:ind w:left="1620" w:hanging="640"/>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in 2016, the Company is obligated to pay 2.5% royalties of its annual ink revenues up to an annual maximum amount of $625.</w:t>
      </w:r>
    </w:p>
    <w:p>
      <w:pPr>
        <w:spacing w:after="0" w:line="17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Royalties expenses for the years ended December 31, 2019, 2018 and 2017 were $625.</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As of December 31, 2019, the Company provided two bank guarantees in a total amount of $400 for its rented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29" w:lineRule="exact"/>
        <w:rPr>
          <w:sz w:val="20"/>
          <w:szCs w:val="20"/>
          <w:color w:val="auto"/>
        </w:rPr>
      </w:pPr>
    </w:p>
    <w:p>
      <w:pPr>
        <w:ind w:left="1620" w:hanging="640"/>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Company’s shares: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225" w:lineRule="exact"/>
        <w:rPr>
          <w:rFonts w:ascii="Arial" w:cs="Arial" w:eastAsia="Arial" w:hAnsi="Arial"/>
          <w:sz w:val="18"/>
          <w:szCs w:val="18"/>
          <w:color w:val="auto"/>
        </w:rPr>
      </w:pPr>
    </w:p>
    <w:p>
      <w:pPr>
        <w:jc w:val="both"/>
        <w:ind w:left="2280"/>
        <w:spacing w:after="0" w:line="259" w:lineRule="auto"/>
        <w:rPr>
          <w:rFonts w:ascii="Arial" w:cs="Arial" w:eastAsia="Arial" w:hAnsi="Arial"/>
          <w:sz w:val="18"/>
          <w:szCs w:val="18"/>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6" w:lineRule="exact"/>
        <w:rPr>
          <w:rFonts w:ascii="Arial" w:cs="Arial" w:eastAsia="Arial" w:hAnsi="Arial"/>
          <w:sz w:val="18"/>
          <w:szCs w:val="18"/>
          <w:color w:val="auto"/>
        </w:rPr>
      </w:pPr>
    </w:p>
    <w:p>
      <w:pPr>
        <w:ind w:left="2280" w:hanging="652"/>
        <w:spacing w:after="0" w:line="342" w:lineRule="auto"/>
        <w:tabs>
          <w:tab w:leader="none" w:pos="22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On December 7, 2018, the Company made an underwritten secondary offering of 3,132,481 ordinary shares, by the Company’s major shareholder. The Company did not receive any of the proceeds from the sale of these ordinary shares.</w:t>
      </w:r>
    </w:p>
    <w:p>
      <w:pPr>
        <w:spacing w:after="0" w:line="123" w:lineRule="exact"/>
        <w:rPr>
          <w:rFonts w:ascii="Arial" w:cs="Arial" w:eastAsia="Arial" w:hAnsi="Arial"/>
          <w:sz w:val="16"/>
          <w:szCs w:val="16"/>
          <w:color w:val="auto"/>
        </w:rPr>
      </w:pPr>
    </w:p>
    <w:p>
      <w:pPr>
        <w:jc w:val="both"/>
        <w:ind w:left="2280" w:hanging="652"/>
        <w:spacing w:after="0" w:line="263" w:lineRule="auto"/>
        <w:tabs>
          <w:tab w:leader="none" w:pos="22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On June 18, 2019, the Company closed a follow on and secondary offering where by 4,991,000 ordinary shares were sold in the transaction to the public. The aggregate net proceeds received by the Company from the offering were $129,710, net of underwriting discounts, commissions and offering expenses.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620" w:hanging="640"/>
        <w:spacing w:after="0"/>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 option and RSU’s plans:</w:t>
      </w:r>
    </w:p>
    <w:p>
      <w:pPr>
        <w:spacing w:after="0" w:line="225" w:lineRule="exact"/>
        <w:rPr>
          <w:rFonts w:ascii="Arial" w:cs="Arial" w:eastAsia="Arial" w:hAnsi="Arial"/>
          <w:sz w:val="18"/>
          <w:szCs w:val="18"/>
          <w:color w:val="auto"/>
        </w:rPr>
      </w:pPr>
    </w:p>
    <w:p>
      <w:pPr>
        <w:jc w:val="both"/>
        <w:ind w:left="1620"/>
        <w:spacing w:after="0" w:line="273" w:lineRule="auto"/>
        <w:rPr>
          <w:rFonts w:ascii="Arial" w:cs="Arial" w:eastAsia="Arial" w:hAnsi="Arial"/>
          <w:sz w:val="18"/>
          <w:szCs w:val="18"/>
          <w:color w:val="auto"/>
        </w:rPr>
      </w:pPr>
      <w:r>
        <w:rPr>
          <w:rFonts w:ascii="Arial" w:cs="Arial" w:eastAsia="Arial" w:hAnsi="Arial"/>
          <w:sz w:val="17"/>
          <w:szCs w:val="17"/>
          <w:color w:val="auto"/>
        </w:rPr>
        <w:t>The Company’s Board of Directors approved Equity Incentive Plans pursuant to which the Company is authorized to issue to employees, directors and officers of the Company and its subsidiaries (the “optionees”) options to purchase ordinary shares of NIS 0.01 par value each, at an exercise price equal to at least the fair market value of the ordinary shares at the date of grant. 25% of total options are exercisable one year after the date determined for each optionee and a further 6.25% at the end of each subsequent three-month period for 3 years. Options are exercisable for up to 10 years from the grant date of the options. Options that are cancelled or forfeited before expiration become available for future grants.</w:t>
      </w:r>
    </w:p>
    <w:p>
      <w:pPr>
        <w:spacing w:after="0" w:line="177" w:lineRule="exact"/>
        <w:rPr>
          <w:rFonts w:ascii="Arial" w:cs="Arial" w:eastAsia="Arial" w:hAnsi="Arial"/>
          <w:sz w:val="18"/>
          <w:szCs w:val="18"/>
          <w:color w:val="auto"/>
        </w:rPr>
      </w:pPr>
    </w:p>
    <w:p>
      <w:pPr>
        <w:ind w:left="1620"/>
        <w:spacing w:after="0" w:line="308" w:lineRule="auto"/>
        <w:rPr>
          <w:rFonts w:ascii="Arial" w:cs="Arial" w:eastAsia="Arial" w:hAnsi="Arial"/>
          <w:sz w:val="18"/>
          <w:szCs w:val="18"/>
          <w:color w:val="auto"/>
        </w:rPr>
      </w:pPr>
      <w:r>
        <w:rPr>
          <w:rFonts w:ascii="Arial" w:cs="Arial" w:eastAsia="Arial" w:hAnsi="Arial"/>
          <w:sz w:val="17"/>
          <w:szCs w:val="17"/>
          <w:color w:val="auto"/>
        </w:rPr>
        <w:t>Under the Equity Incentive Plans and starting 2017, the Company grants Restricted Stock Units (“RSUs”). The RSU’s generally vest over a period of four years of employment. RSUs that are cancelled or forfeited become available for future grants.</w:t>
      </w:r>
    </w:p>
    <w:p>
      <w:pPr>
        <w:spacing w:after="0" w:line="146" w:lineRule="exact"/>
        <w:rPr>
          <w:rFonts w:ascii="Arial" w:cs="Arial" w:eastAsia="Arial" w:hAnsi="Arial"/>
          <w:sz w:val="18"/>
          <w:szCs w:val="18"/>
          <w:color w:val="auto"/>
        </w:rPr>
      </w:pPr>
    </w:p>
    <w:p>
      <w:pPr>
        <w:ind w:left="1620" w:right="20"/>
        <w:spacing w:after="0" w:line="308" w:lineRule="auto"/>
        <w:rPr>
          <w:rFonts w:ascii="Arial" w:cs="Arial" w:eastAsia="Arial" w:hAnsi="Arial"/>
          <w:sz w:val="18"/>
          <w:szCs w:val="18"/>
          <w:color w:val="auto"/>
        </w:rPr>
      </w:pPr>
      <w:r>
        <w:rPr>
          <w:rFonts w:ascii="Arial" w:cs="Arial" w:eastAsia="Arial" w:hAnsi="Arial"/>
          <w:sz w:val="17"/>
          <w:szCs w:val="17"/>
          <w:color w:val="auto"/>
        </w:rPr>
        <w:t>During December 2019, the board of directors approved an increase in the ordinary shares reserved for issuance by 1,220,439 ordinary shares. As of December 31, 2019, an aggregate of 3,269,482 ordinary shares were available for future grants.</w:t>
      </w:r>
    </w:p>
    <w:p>
      <w:pPr>
        <w:spacing w:after="0" w:line="146" w:lineRule="exact"/>
        <w:rPr>
          <w:rFonts w:ascii="Arial" w:cs="Arial" w:eastAsia="Arial" w:hAnsi="Arial"/>
          <w:sz w:val="18"/>
          <w:szCs w:val="18"/>
          <w:color w:val="auto"/>
        </w:rPr>
      </w:pPr>
    </w:p>
    <w:p>
      <w:pPr>
        <w:ind w:left="1620" w:hanging="640"/>
        <w:spacing w:after="0"/>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remaining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upon</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term</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1,583,564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135,701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27.55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(472,980)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(173,508)</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1,072,777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18,170</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598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455,735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14.03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620"/>
        <w:spacing w:after="0" w:line="277" w:lineRule="auto"/>
        <w:rPr>
          <w:sz w:val="20"/>
          <w:szCs w:val="20"/>
          <w:color w:val="auto"/>
        </w:rPr>
      </w:pPr>
      <w:r>
        <w:rPr>
          <w:rFonts w:ascii="Arial" w:cs="Arial" w:eastAsia="Arial" w:hAnsi="Arial"/>
          <w:sz w:val="18"/>
          <w:szCs w:val="18"/>
          <w:color w:val="auto"/>
        </w:rPr>
        <w:t>As of December 31, 2019, the Company had $5,677 of unrecognized compensation expense related to non-vested share options expected to be recognized over a weighted average period of 2.58 years.</w:t>
      </w:r>
    </w:p>
    <w:p>
      <w:pPr>
        <w:spacing w:after="0" w:line="170"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2019, 2018 and 2017 were $14.51, $9.5 and $9.24 per share, respectively. The weighted average fair value of options vested during the year ended December 31, 2019 was $8.13. The total intrinsic value of options exercised during the years ended December 31, 2019, 2018 and 2017 were $6,742, $11,775 and 10,588,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620" w:hanging="640"/>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options outstanding as of December 31, 2019, have been classified by exercise price,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Options outstanding</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Options exercisable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at December 31, 2019</w:t>
            </w: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0"/>
              </w:rPr>
              <w:t>at December 31, 2019</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remaining</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contractual</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contractual</w:t>
            </w:r>
          </w:p>
        </w:tc>
      </w:tr>
      <w:tr>
        <w:trPr>
          <w:trHeight w:val="241"/>
        </w:trPr>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 price</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term (in years)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term (in years)</w:t>
            </w:r>
          </w:p>
        </w:tc>
      </w:tr>
      <w:tr>
        <w:trPr>
          <w:trHeight w:val="223"/>
        </w:trPr>
        <w:tc>
          <w:tcPr>
            <w:tcW w:w="15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2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10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37,490</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2.07</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37,490</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9.38-9.97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62,751</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9.97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62,751</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9.97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10.05-11.90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141,548</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10.31</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71,389</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12.97-15.80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129,542</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15.26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7.01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88,210</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15.01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16.15-18.05</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199,547</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17.97</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79,613</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18.80-19.05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345,611</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18.81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109,822</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18.82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r>
      <w:tr>
        <w:trPr>
          <w:trHeight w:val="237"/>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21.15-28.15</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156,288</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26.86</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6,460</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1,072,777</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455,735</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1620" w:hanging="640"/>
        <w:spacing w:after="0"/>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summary of the Company’s RSUs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r>
      <w:tr>
        <w:trPr>
          <w:trHeight w:val="241"/>
        </w:trPr>
        <w:tc>
          <w:tcPr>
            <w:tcW w:w="100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of RSUs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year</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414,420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489,645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(155,160)</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(70,602)</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the end of the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spacing w:after="0" w:line="342" w:lineRule="auto"/>
        <w:rPr>
          <w:sz w:val="20"/>
          <w:szCs w:val="20"/>
          <w:color w:val="auto"/>
        </w:rPr>
      </w:pPr>
      <w:r>
        <w:rPr>
          <w:rFonts w:ascii="Arial" w:cs="Arial" w:eastAsia="Arial" w:hAnsi="Arial"/>
          <w:sz w:val="16"/>
          <w:szCs w:val="16"/>
          <w:color w:val="auto"/>
        </w:rPr>
        <w:t>The weighted average fair values at grant date of RSUs granted for the years ended December 31, 2019, 2018 and 2017 were $28.50, $17.1 and $17.77, respectively. The total fair value of shares vested during the year ended December 31, 2019 was $2,681.</w:t>
      </w:r>
    </w:p>
    <w:p>
      <w:pPr>
        <w:spacing w:after="0" w:line="124" w:lineRule="exact"/>
        <w:rPr>
          <w:sz w:val="20"/>
          <w:szCs w:val="20"/>
          <w:color w:val="auto"/>
        </w:rPr>
      </w:pPr>
    </w:p>
    <w:p>
      <w:pPr>
        <w:ind w:left="1620" w:firstLine="12"/>
        <w:spacing w:after="0" w:line="277" w:lineRule="auto"/>
        <w:rPr>
          <w:sz w:val="20"/>
          <w:szCs w:val="20"/>
          <w:color w:val="auto"/>
        </w:rPr>
      </w:pPr>
      <w:r>
        <w:rPr>
          <w:rFonts w:ascii="Arial" w:cs="Arial" w:eastAsia="Arial" w:hAnsi="Arial"/>
          <w:sz w:val="18"/>
          <w:szCs w:val="18"/>
          <w:color w:val="auto"/>
        </w:rPr>
        <w:t>As of December 31, 2019, the Company had 14,420 of unrecognized compensation expense related to RSUs, expected to be recognized over a weighted average period of 3.24 years.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620" w:right="20" w:hanging="64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following table sets forth the total share-based compensation expense included in the consolidated statements of operations for the years ended December 31, 2019,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4,411</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640"/>
        <w:spacing w:after="0" w:line="275" w:lineRule="auto"/>
        <w:tabs>
          <w:tab w:leader="none" w:pos="16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On January 10, 2017, the Company signed a master purchase agreement with Amazon Inc. under which 2,932,176 warrants to purchase ordinary shares of the Company at an exercise price of $13.04 were issued to Amazon as a customer incentive. The warrants are subject to vesting as a function of payments for purchased products and services of up to $150 million over a five years period beginning on May 1, 2016, with the shares vesting incrementally each time Amazon makes a payment totaling $5 million to the Company. As of December 31, 2019, 1,612,683 warrants are exercisable.</w:t>
      </w:r>
    </w:p>
    <w:p>
      <w:pPr>
        <w:spacing w:after="0" w:line="176" w:lineRule="exact"/>
        <w:rPr>
          <w:rFonts w:ascii="Arial" w:cs="Arial" w:eastAsia="Arial" w:hAnsi="Arial"/>
          <w:sz w:val="17"/>
          <w:szCs w:val="17"/>
          <w:color w:val="auto"/>
        </w:rPr>
      </w:pPr>
    </w:p>
    <w:p>
      <w:pPr>
        <w:ind w:left="1620" w:right="20"/>
        <w:spacing w:after="0" w:line="277" w:lineRule="auto"/>
        <w:rPr>
          <w:rFonts w:ascii="Arial" w:cs="Arial" w:eastAsia="Arial" w:hAnsi="Arial"/>
          <w:sz w:val="17"/>
          <w:szCs w:val="17"/>
          <w:color w:val="auto"/>
        </w:rPr>
      </w:pPr>
      <w:r>
        <w:rPr>
          <w:rFonts w:ascii="Arial" w:cs="Arial" w:eastAsia="Arial" w:hAnsi="Arial"/>
          <w:sz w:val="18"/>
          <w:szCs w:val="18"/>
          <w:color w:val="auto"/>
        </w:rPr>
        <w:t>The Company recognized a reduction to revenues of $5,094, $4,576 and $2,895 during the years ended December 31, 2019, 2018 and 2017,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(LOSSES) PER SHARE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computation of basic and diluted earnings (losses) per share:</w:t>
      </w:r>
    </w:p>
    <w:p>
      <w:pPr>
        <w:spacing w:after="0" w:line="235"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Numerator for basic and diluted earnings (losses)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(2,015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(losses) per share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38,079,394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34,521,352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33,574,147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 and restricted share units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1,214,721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842,352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(losses) per share</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39,294,115</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35,363,704</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33,574,147</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(losses)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(losses)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12:- ACCUMULATED OTHER 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summarizes the changes in accumulated balances of other comprehensive income (loss), net of taxes, for the year ended</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December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6"/>
              </w:rPr>
              <w:t>Gains (losses)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Gains (losses)</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on marketable</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9"/>
              </w:rPr>
              <w:t>on cash flow</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translation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hedges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adjustment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16"/>
        </w:trPr>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NOTE 13:- LEASES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ind w:left="980"/>
              <w:spacing w:after="0"/>
              <w:rPr>
                <w:sz w:val="20"/>
                <w:szCs w:val="20"/>
                <w:color w:val="auto"/>
              </w:rPr>
            </w:pPr>
            <w:r>
              <w:rPr>
                <w:rFonts w:ascii="Arial" w:cs="Arial" w:eastAsia="Arial" w:hAnsi="Arial"/>
                <w:sz w:val="18"/>
                <w:szCs w:val="18"/>
                <w:color w:val="auto"/>
              </w:rPr>
              <w:t>The components of lease expense for the year ended December 31, 2019 were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10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w:t>
            </w: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lease</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3,988</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Cash paid for amounts included in the measurement of operating lease liabilities was $3,910 during the year ended December 31, 2019.</w:t>
      </w:r>
    </w:p>
    <w:p>
      <w:pPr>
        <w:spacing w:after="0" w:line="237"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Company’s operating lease agreements have remaining lease terms ranging from 1 year to 11 years, including agreements with options to extend the leases for up to 5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ind w:left="980"/>
              <w:spacing w:after="0"/>
              <w:rPr>
                <w:sz w:val="20"/>
                <w:szCs w:val="20"/>
                <w:color w:val="auto"/>
              </w:rPr>
            </w:pPr>
            <w:r>
              <w:rPr>
                <w:rFonts w:ascii="Arial" w:cs="Arial" w:eastAsia="Arial" w:hAnsi="Arial"/>
                <w:sz w:val="18"/>
                <w:szCs w:val="18"/>
                <w:color w:val="auto"/>
              </w:rPr>
              <w:t>The following table represents the weighted-average remaining lease term and discount rate: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98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99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r>
      <w:tr>
        <w:trPr>
          <w:trHeight w:val="216"/>
        </w:trPr>
        <w:tc>
          <w:tcPr>
            <w:tcW w:w="9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 years</w:t>
            </w:r>
          </w:p>
        </w:tc>
      </w:tr>
      <w:tr>
        <w:trPr>
          <w:trHeight w:val="216"/>
        </w:trPr>
        <w:tc>
          <w:tcPr>
            <w:tcW w:w="9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discount rate was determined based on the estimated collateralized borrowing rate of the Company, adjusted to the specific lease term and location of each lease.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980"/>
              <w:spacing w:after="0"/>
              <w:rPr>
                <w:sz w:val="20"/>
                <w:szCs w:val="20"/>
                <w:color w:val="auto"/>
              </w:rPr>
            </w:pPr>
            <w:r>
              <w:rPr>
                <w:rFonts w:ascii="Arial" w:cs="Arial" w:eastAsia="Arial" w:hAnsi="Arial"/>
                <w:sz w:val="18"/>
                <w:szCs w:val="18"/>
                <w:color w:val="auto"/>
              </w:rPr>
              <w:t>Maturities of operating lease liabilities were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1002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10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2,938</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 and after</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lease payments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36"/>
        </w:trPr>
        <w:tc>
          <w:tcPr>
            <w:tcW w:w="100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23,133</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w:t>
      </w:r>
    </w:p>
    <w:p>
      <w:pPr>
        <w:spacing w:after="0" w:line="229" w:lineRule="exact"/>
        <w:rPr>
          <w:sz w:val="20"/>
          <w:szCs w:val="20"/>
          <w:color w:val="auto"/>
        </w:rPr>
      </w:pPr>
    </w:p>
    <w:p>
      <w:pPr>
        <w:ind w:left="1620" w:hanging="640"/>
        <w:spacing w:after="0"/>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 rates:</w:t>
      </w:r>
    </w:p>
    <w:p>
      <w:pPr>
        <w:spacing w:after="0" w:line="225" w:lineRule="exact"/>
        <w:rPr>
          <w:rFonts w:ascii="Arial" w:cs="Arial" w:eastAsia="Arial" w:hAnsi="Arial"/>
          <w:sz w:val="18"/>
          <w:szCs w:val="18"/>
          <w:color w:val="auto"/>
        </w:rPr>
      </w:pPr>
    </w:p>
    <w:p>
      <w:pPr>
        <w:ind w:left="1620" w:right="20"/>
        <w:spacing w:after="0" w:line="277" w:lineRule="auto"/>
        <w:rPr>
          <w:rFonts w:ascii="Arial" w:cs="Arial" w:eastAsia="Arial" w:hAnsi="Arial"/>
          <w:sz w:val="18"/>
          <w:szCs w:val="18"/>
          <w:color w:val="auto"/>
        </w:rPr>
      </w:pPr>
      <w:r>
        <w:rPr>
          <w:rFonts w:ascii="Arial" w:cs="Arial" w:eastAsia="Arial" w:hAnsi="Arial"/>
          <w:sz w:val="18"/>
          <w:szCs w:val="18"/>
          <w:color w:val="auto"/>
        </w:rPr>
        <w:t>Taxable income of the Israeli companies is subject to the Israeli corporate tax at the rate as follows: 2019 and 2018: 23%, and 2017: 24%.</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The Company’s production facilities in Israel have been granted “Beneficiary Enterprise” status under the Law. The Israeli companies have been granted the “Alternative Benefit Track” under which the main benefits are a tax exemption for undistributed income and a reduced tax rate.</w:t>
      </w:r>
    </w:p>
    <w:p>
      <w:pPr>
        <w:spacing w:after="0" w:line="183" w:lineRule="exact"/>
        <w:rPr>
          <w:rFonts w:ascii="Arial" w:cs="Arial" w:eastAsia="Arial" w:hAnsi="Arial"/>
          <w:sz w:val="18"/>
          <w:szCs w:val="18"/>
          <w:color w:val="auto"/>
        </w:rPr>
      </w:pPr>
    </w:p>
    <w:p>
      <w:pPr>
        <w:jc w:val="both"/>
        <w:ind w:left="1620"/>
        <w:spacing w:after="0" w:line="257" w:lineRule="auto"/>
        <w:rPr>
          <w:rFonts w:ascii="Arial" w:cs="Arial" w:eastAsia="Arial" w:hAnsi="Arial"/>
          <w:sz w:val="18"/>
          <w:szCs w:val="18"/>
          <w:color w:val="auto"/>
        </w:rPr>
      </w:pPr>
      <w:r>
        <w:rPr>
          <w:rFonts w:ascii="Arial" w:cs="Arial" w:eastAsia="Arial" w:hAnsi="Arial"/>
          <w:sz w:val="18"/>
          <w:szCs w:val="18"/>
          <w:color w:val="auto"/>
        </w:rPr>
        <w:t>The Israeli companies began to utilize such tax benefits in 2010. The entitlement to the above benefits is limited to the end of 2019, and it is conditional upon the Company and its Israeli subsidiary fulfilling the conditions stipulated by the Law and regulations published. In the event of failure to comply with these conditions, the benefits may be partially or fully canceled and the Company or its Israeli subsidiary may be required to refund the amount of the benefits, in whole or in part, plus a consumer price index linkage adjustment and including interest.</w:t>
      </w:r>
    </w:p>
    <w:p>
      <w:pPr>
        <w:spacing w:after="0" w:line="187"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In the event of distribution of dividends from the above-mentioned tax-exempt income, the amount distributed will be subject to the same reduced corporate tax rate that would have been applied to the Beneficiary Enterprise’s income.</w:t>
      </w:r>
    </w:p>
    <w:p>
      <w:pPr>
        <w:spacing w:after="0" w:line="170"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In addition, tax-exempt income attributed to the Beneficiary Enterprise will subject the Company to taxes upon distribution in any manner including complete liquidation.</w:t>
      </w:r>
    </w:p>
    <w:p>
      <w:pPr>
        <w:spacing w:after="0" w:line="170" w:lineRule="exact"/>
        <w:rPr>
          <w:rFonts w:ascii="Arial" w:cs="Arial" w:eastAsia="Arial" w:hAnsi="Arial"/>
          <w:sz w:val="18"/>
          <w:szCs w:val="18"/>
          <w:color w:val="auto"/>
        </w:rPr>
      </w:pPr>
    </w:p>
    <w:p>
      <w:pPr>
        <w:jc w:val="both"/>
        <w:ind w:left="1620"/>
        <w:spacing w:after="0" w:line="259" w:lineRule="auto"/>
        <w:rPr>
          <w:rFonts w:ascii="Arial" w:cs="Arial" w:eastAsia="Arial" w:hAnsi="Arial"/>
          <w:sz w:val="18"/>
          <w:szCs w:val="18"/>
          <w:color w:val="auto"/>
        </w:rPr>
      </w:pPr>
      <w:r>
        <w:rPr>
          <w:rFonts w:ascii="Arial" w:cs="Arial" w:eastAsia="Arial" w:hAnsi="Arial"/>
          <w:sz w:val="18"/>
          <w:szCs w:val="18"/>
          <w:color w:val="auto"/>
        </w:rPr>
        <w:t>The Company does not intend to distribute any amounts of its undistributed tax-exempt income as dividend. The Company and its board of directors intend to reinvest its tax-exempt income and not to distribute such income as a dividend. Accordingly, no deferred income taxes have been provided on income attributable to the Company’s Beneficiary Enterprise programs as the undistributed tax-exempt income is essentially permanent by reinvestment.</w:t>
      </w:r>
    </w:p>
    <w:p>
      <w:pPr>
        <w:spacing w:after="0" w:line="186"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As of December 31, 2019, tax-exempt income of $131,222 is attributable to the Company’s and its Israeli subsidiary’s various Beneficiary Enterprise programs. If such tax-exempt income is distributed, it would be taxed at the reduced corporate tax rate applicable to such income, and $30,181 would be incurred as of December 31, 2019.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jc w:val="both"/>
        <w:ind w:left="1620"/>
        <w:spacing w:after="0" w:line="263" w:lineRule="auto"/>
        <w:rPr>
          <w:sz w:val="20"/>
          <w:szCs w:val="20"/>
          <w:color w:val="auto"/>
        </w:rPr>
      </w:pPr>
      <w:r>
        <w:rPr>
          <w:rFonts w:ascii="Arial" w:cs="Arial" w:eastAsia="Arial" w:hAnsi="Arial"/>
          <w:sz w:val="18"/>
          <w:szCs w:val="18"/>
          <w:color w:val="auto"/>
        </w:rPr>
        <w:t>The Israeli subsidiary elected to apply the Preferred Enterprise regime under the January 2011 amendment to the Law as of 2013 tax year. The election is irrevocable. Under the Preferred Enterprise regime, a preferred income of an Enterprise located in the center of Israel is subject to tax rate of 16%.</w:t>
      </w:r>
    </w:p>
    <w:p>
      <w:pPr>
        <w:spacing w:after="0" w:line="184"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Pursuant to Amendment 73 to the Law adopted in 2017, a Company that meets the conditions for “Preferred Technological Enterprises”, is subject to tax rate of 12% on income that qualifies as “Preferred Technology Income”, as define in the Law. The tax rate for a Preferred Technological Enterprises located in development zone A is 7.5%. The Company and its Israeli subsidiary believe they meets those conditions.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jc w:val="both"/>
        <w:ind w:left="1620"/>
        <w:spacing w:after="0" w:line="263" w:lineRule="auto"/>
        <w:rPr>
          <w:sz w:val="20"/>
          <w:szCs w:val="20"/>
          <w:color w:val="auto"/>
        </w:rPr>
      </w:pPr>
      <w:r>
        <w:rPr>
          <w:rFonts w:ascii="Arial" w:cs="Arial" w:eastAsia="Arial" w:hAnsi="Arial"/>
          <w:sz w:val="18"/>
          <w:szCs w:val="18"/>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184" w:lineRule="exact"/>
        <w:rPr>
          <w:sz w:val="20"/>
          <w:szCs w:val="20"/>
          <w:color w:val="auto"/>
        </w:rPr>
      </w:pPr>
    </w:p>
    <w:p>
      <w:pPr>
        <w:ind w:left="1620" w:hanging="640"/>
        <w:spacing w:after="0"/>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Non-Israeli subsidiaries are taxed according to the tax laws in their respective countries of residence.</w:t>
      </w:r>
    </w:p>
    <w:p>
      <w:pPr>
        <w:spacing w:after="0" w:line="225" w:lineRule="exact"/>
        <w:rPr>
          <w:rFonts w:ascii="Arial" w:cs="Arial" w:eastAsia="Arial" w:hAnsi="Arial"/>
          <w:sz w:val="18"/>
          <w:szCs w:val="18"/>
          <w:color w:val="auto"/>
        </w:rPr>
      </w:pPr>
    </w:p>
    <w:p>
      <w:pPr>
        <w:jc w:val="both"/>
        <w:ind w:left="1620"/>
        <w:spacing w:after="0" w:line="275" w:lineRule="auto"/>
        <w:rPr>
          <w:rFonts w:ascii="Arial" w:cs="Arial" w:eastAsia="Arial" w:hAnsi="Arial"/>
          <w:sz w:val="18"/>
          <w:szCs w:val="18"/>
          <w:color w:val="auto"/>
        </w:rPr>
      </w:pPr>
      <w:r>
        <w:rPr>
          <w:rFonts w:ascii="Arial" w:cs="Arial" w:eastAsia="Arial" w:hAnsi="Arial"/>
          <w:sz w:val="17"/>
          <w:szCs w:val="17"/>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76"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The amount of undistributed earnings of foreign subsidiaries that are considered to be reinvested as of December 31, 2019 was $9,874. If these undistributed earnings are distributed, they would be taxed at the corporate tax rate applicable to such income, and $821 would be incurred as of December 31, 2019.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620" w:hanging="640"/>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 Reform in the U.S:</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On December 22, 2017, the U.S. enacted the Tax Cuts and Jobs Act (the “Act”), which among other provisions, reduced the U.S. corporate tax rate from 35% to 21%, effective January 1, 2018.</w:t>
      </w:r>
    </w:p>
    <w:p>
      <w:pPr>
        <w:spacing w:after="0" w:line="170" w:lineRule="exact"/>
        <w:rPr>
          <w:sz w:val="20"/>
          <w:szCs w:val="20"/>
          <w:color w:val="auto"/>
        </w:rPr>
      </w:pPr>
    </w:p>
    <w:p>
      <w:pPr>
        <w:jc w:val="both"/>
        <w:ind w:left="1620"/>
        <w:spacing w:after="0" w:line="263" w:lineRule="auto"/>
        <w:rPr>
          <w:sz w:val="20"/>
          <w:szCs w:val="20"/>
          <w:color w:val="auto"/>
        </w:rPr>
      </w:pPr>
      <w:r>
        <w:rPr>
          <w:rFonts w:ascii="Arial" w:cs="Arial" w:eastAsia="Arial" w:hAnsi="Arial"/>
          <w:sz w:val="18"/>
          <w:szCs w:val="18"/>
          <w:color w:val="auto"/>
        </w:rPr>
        <w:t>At December 31, 2017, the Company re-measured its U.S. deferred tax assets and liabilities, based on the new rates at which they are expected to reverse in the future. The tax expense recorded in 2017, related to the re-measurement of the deferred tax balance was $355.</w:t>
      </w:r>
    </w:p>
    <w:p>
      <w:pPr>
        <w:spacing w:after="0" w:line="184" w:lineRule="exact"/>
        <w:rPr>
          <w:sz w:val="20"/>
          <w:szCs w:val="20"/>
          <w:color w:val="auto"/>
        </w:rPr>
      </w:pPr>
    </w:p>
    <w:p>
      <w:pPr>
        <w:ind w:left="1620" w:hanging="640"/>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225" w:lineRule="exact"/>
        <w:rPr>
          <w:rFonts w:ascii="Arial" w:cs="Arial" w:eastAsia="Arial" w:hAnsi="Arial"/>
          <w:sz w:val="18"/>
          <w:szCs w:val="18"/>
          <w:color w:val="auto"/>
        </w:rPr>
      </w:pPr>
    </w:p>
    <w:p>
      <w:pPr>
        <w:jc w:val="both"/>
        <w:ind w:left="1620"/>
        <w:spacing w:after="0" w:line="255" w:lineRule="auto"/>
        <w:rPr>
          <w:rFonts w:ascii="Arial" w:cs="Arial" w:eastAsia="Arial" w:hAnsi="Arial"/>
          <w:sz w:val="18"/>
          <w:szCs w:val="18"/>
          <w:color w:val="auto"/>
        </w:rPr>
      </w:pPr>
      <w:r>
        <w:rPr>
          <w:rFonts w:ascii="Arial" w:cs="Arial" w:eastAsia="Arial" w:hAnsi="Arial"/>
          <w:sz w:val="18"/>
          <w:szCs w:val="18"/>
          <w:color w:val="auto"/>
        </w:rPr>
        <w:t>The Company and its Israeli subsidiary are currently subject to a tax audit for the years 2013 to 2016 by the Israeli Tax Authority (‘ITA”). The company received an assessment for years 2013 and 2014 which is still subject to another review by the ITA before it is finalized. The company appealed before the second review and it believes the claims and the position taken on its tax returns are solid and valid. The ITA may furthermore disagree with the Company and its Israeli subsidiary positions taken for other years as well, and the Company may be subject to additional tax liabilities, which could have a material adverse effect on its results of operations.</w:t>
      </w:r>
    </w:p>
    <w:p>
      <w:pPr>
        <w:spacing w:after="0" w:line="192" w:lineRule="exact"/>
        <w:rPr>
          <w:rFonts w:ascii="Arial" w:cs="Arial" w:eastAsia="Arial" w:hAnsi="Arial"/>
          <w:sz w:val="18"/>
          <w:szCs w:val="18"/>
          <w:color w:val="auto"/>
        </w:rPr>
      </w:pPr>
    </w:p>
    <w:p>
      <w:pPr>
        <w:ind w:left="1620"/>
        <w:spacing w:after="0" w:line="342" w:lineRule="auto"/>
        <w:rPr>
          <w:rFonts w:ascii="Arial" w:cs="Arial" w:eastAsia="Arial" w:hAnsi="Arial"/>
          <w:sz w:val="18"/>
          <w:szCs w:val="18"/>
          <w:color w:val="auto"/>
        </w:rPr>
      </w:pPr>
      <w:r>
        <w:rPr>
          <w:rFonts w:ascii="Arial" w:cs="Arial" w:eastAsia="Arial" w:hAnsi="Arial"/>
          <w:sz w:val="16"/>
          <w:szCs w:val="16"/>
          <w:color w:val="auto"/>
        </w:rPr>
        <w:t>The Company and its Israeli subsidiary received final tax assessments through 2012. The U.S and German subsidiaries received final tax assessment through 2012 and 2014 and the Hong Kong Subsidiary have not received a final tax assessment since inception.</w:t>
      </w:r>
    </w:p>
    <w:p>
      <w:pPr>
        <w:spacing w:after="0" w:line="123" w:lineRule="exact"/>
        <w:rPr>
          <w:rFonts w:ascii="Arial" w:cs="Arial" w:eastAsia="Arial" w:hAnsi="Arial"/>
          <w:sz w:val="18"/>
          <w:szCs w:val="18"/>
          <w:color w:val="auto"/>
        </w:rPr>
      </w:pPr>
    </w:p>
    <w:p>
      <w:pPr>
        <w:ind w:left="1620" w:hanging="640"/>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Carryforward losses for tax purposes:</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Carryforward operating tax losses of the Company and its Israeli subsidiary total approximately $63,660 as of December 31, 2019 and may be used indefinitely.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620" w:hanging="640"/>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620" w:right="20"/>
        <w:spacing w:after="0" w:line="263"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Carryforward tax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1,471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7,790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7,282</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tax liability due to property, plant and equipment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620"/>
        <w:spacing w:after="0" w:line="263" w:lineRule="auto"/>
        <w:rPr>
          <w:sz w:val="20"/>
          <w:szCs w:val="20"/>
          <w:color w:val="auto"/>
        </w:rPr>
      </w:pPr>
      <w:r>
        <w:rPr>
          <w:rFonts w:ascii="Arial" w:cs="Arial" w:eastAsia="Arial" w:hAnsi="Arial"/>
          <w:sz w:val="18"/>
          <w:szCs w:val="18"/>
          <w:color w:val="auto"/>
        </w:rPr>
        <w:t>The Company records net deferred tax assets to the extent it believes these assets will more likely than not be realized. As of each reporting date, management considers new evidence, both positive and negative, that could impact management’s view with regards to the future realization of deferred tax assets for each jurisdiction.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1620"/>
              <w:spacing w:after="0"/>
              <w:rPr>
                <w:sz w:val="20"/>
                <w:szCs w:val="20"/>
                <w:color w:val="auto"/>
              </w:rPr>
            </w:pPr>
            <w:r>
              <w:rPr>
                <w:rFonts w:ascii="Arial" w:cs="Arial" w:eastAsia="Arial" w:hAnsi="Arial"/>
                <w:sz w:val="18"/>
                <w:szCs w:val="18"/>
                <w:color w:val="auto"/>
              </w:rPr>
              <w:t>Income (loss) before income taxes is comprised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(3,328)</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3,568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2,579</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73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10,911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7,037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(1,631</w:t>
            </w:r>
            <w:r>
              <w:rPr>
                <w:rFonts w:ascii="Arial" w:cs="Arial" w:eastAsia="Arial" w:hAnsi="Arial"/>
                <w:sz w:val="29"/>
                <w:szCs w:val="29"/>
                <w:color w:val="auto"/>
                <w:vertAlign w:val="superscript"/>
              </w:rPr>
              <w:t>)</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620" w:hanging="640"/>
        <w:spacing w:after="0"/>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Taxes on income (tax benefits) are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(6,480)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Domestic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(6,383)</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(6,050)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Foreign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taxes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620" w:hanging="640"/>
        <w:spacing w:after="0"/>
        <w:tabs>
          <w:tab w:leader="none" w:pos="1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 reconciliation of the beginning and ending amount of gross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Increases related to tax positions taken during prior years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tax positions taken during the current year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Cumulative translation adjustments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8680" w:type="dxa"/>
            <w:vAlign w:val="bottom"/>
          </w:tcPr>
          <w:p>
            <w:pPr>
              <w:spacing w:after="0"/>
              <w:rPr>
                <w:sz w:val="20"/>
                <w:szCs w:val="20"/>
                <w:color w:val="auto"/>
              </w:rPr>
            </w:pPr>
            <w:r>
              <w:rPr>
                <w:rFonts w:ascii="Arial" w:cs="Arial" w:eastAsia="Arial" w:hAnsi="Arial"/>
                <w:sz w:val="18"/>
                <w:szCs w:val="18"/>
                <w:color w:val="auto"/>
              </w:rPr>
              <w:t>Balance at December 31 *)</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 As of December 31, 2019, and 2018 unrecognized tax benefit in the amount of $1,880 and $1,218 were presented as a reduction from deferred taxes.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entire amount of the unrecognized tax benefits could affect the Company’s income tax provision and the effective tax rate.</w:t>
      </w:r>
    </w:p>
    <w:p>
      <w:pPr>
        <w:spacing w:after="0" w:line="237"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During the years ended December 31, 2019, 2018 and 2017, an amount of $51, $115 and $54, respectively, was added to the unrecognized tax benefits derived from interest and indexation expenses related to prior years’ uncertain tax positions. As of December 31, 2019, and 2018, the Company had accrued interest related to uncertain tax positions in the amounts of $237 and $171, which is included within income tax accrual on the balance sheets.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Exchange rate differences are recorded within financial income, net, while interest is recorded within income tax expense.</w:t>
      </w:r>
    </w:p>
    <w:p>
      <w:pPr>
        <w:spacing w:after="0" w:line="237"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620" w:hanging="640"/>
        <w:spacing w:after="0" w:line="277" w:lineRule="auto"/>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as reported in the consolidated statements of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(1,631</w:t>
            </w:r>
            <w:r>
              <w:rPr>
                <w:rFonts w:ascii="Arial" w:cs="Arial" w:eastAsia="Arial" w:hAnsi="Arial"/>
                <w:sz w:val="29"/>
                <w:szCs w:val="29"/>
                <w:color w:val="auto"/>
                <w:vertAlign w:val="superscript"/>
              </w:rPr>
              <w:t>)</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expense (benefit) at the Israeli statutory tax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 adjustment in respect of different tax rate of foreign subsidiaries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permanent differences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w w:val="99"/>
              </w:rPr>
              <w:t>Deferred taxes on losses and other temporary differences for which valuation allowance was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provided, net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(5,503)</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tax rate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Beneficiary enterprise benefits (*)</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(Decrease) in other uncertain tax positions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 (benefit)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 Basic and diluted earnings per share amounts of the benefit resulting from the “Beneficiary</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8"/>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status</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GEOGRAPHIC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Summary information about geographic areas:</w:t>
      </w:r>
    </w:p>
    <w:p>
      <w:pPr>
        <w:spacing w:after="0" w:line="225" w:lineRule="exact"/>
        <w:rPr>
          <w:sz w:val="20"/>
          <w:szCs w:val="20"/>
          <w:color w:val="auto"/>
        </w:rPr>
      </w:pPr>
    </w:p>
    <w:p>
      <w:pPr>
        <w:jc w:val="both"/>
        <w:ind w:left="980"/>
        <w:spacing w:after="0" w:line="301" w:lineRule="auto"/>
        <w:rPr>
          <w:sz w:val="20"/>
          <w:szCs w:val="20"/>
          <w:color w:val="auto"/>
        </w:rPr>
      </w:pPr>
      <w:r>
        <w:rPr>
          <w:rFonts w:ascii="Arial" w:cs="Arial" w:eastAsia="Arial" w:hAnsi="Arial"/>
          <w:sz w:val="16"/>
          <w:szCs w:val="16"/>
          <w:color w:val="auto"/>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chief executive officer, in deciding how to allocate resources and assessing performance. The Company’s chief operating decision maker evaluates the Company’s financial information and resources and assesses the performance of these resources on a consolidated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7980" w:type="dxa"/>
            <w:vAlign w:val="bottom"/>
            <w:gridSpan w:val="2"/>
          </w:tcPr>
          <w:p>
            <w:pPr>
              <w:ind w:left="40"/>
              <w:spacing w:after="0"/>
              <w:rPr>
                <w:sz w:val="20"/>
                <w:szCs w:val="20"/>
                <w:color w:val="auto"/>
              </w:rPr>
            </w:pPr>
            <w:r>
              <w:rPr>
                <w:rFonts w:ascii="Arial" w:cs="Arial" w:eastAsia="Arial" w:hAnsi="Arial"/>
                <w:sz w:val="18"/>
                <w:szCs w:val="18"/>
                <w:color w:val="auto"/>
                <w:w w:val="95"/>
              </w:rPr>
              <w:t>The following table presents long-lived assets by geographic region as of December 31, 2019 and 2018:</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9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9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Israel</w:t>
            </w: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12,581</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7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w w:val="98"/>
              </w:rPr>
              <w:t>Asia Pacific</w:t>
            </w:r>
          </w:p>
        </w:tc>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940" w:type="dxa"/>
            <w:vAlign w:val="bottom"/>
            <w:tcBorders>
              <w:top w:val="single" w:sz="8" w:color="CCEEFF"/>
            </w:tcBorders>
            <w:shd w:val="clear" w:color="auto" w:fill="CCEEFF"/>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940" w:type="dxa"/>
            <w:vAlign w:val="bottom"/>
          </w:tcPr>
          <w:p>
            <w:pPr>
              <w:spacing w:after="0"/>
              <w:rPr>
                <w:sz w:val="22"/>
                <w:szCs w:val="22"/>
                <w:color w:val="auto"/>
              </w:rPr>
            </w:pPr>
          </w:p>
        </w:tc>
        <w:tc>
          <w:tcPr>
            <w:tcW w:w="7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14,994</w:t>
            </w:r>
          </w:p>
        </w:tc>
      </w:tr>
      <w:tr>
        <w:trPr>
          <w:trHeight w:val="21"/>
        </w:trPr>
        <w:tc>
          <w:tcPr>
            <w:tcW w:w="9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940" w:type="dxa"/>
            <w:vAlign w:val="bottom"/>
          </w:tcPr>
          <w:p>
            <w:pPr>
              <w:spacing w:after="0"/>
              <w:rPr>
                <w:sz w:val="24"/>
                <w:szCs w:val="24"/>
                <w:color w:val="auto"/>
              </w:rPr>
            </w:pPr>
          </w:p>
        </w:tc>
        <w:tc>
          <w:tcPr>
            <w:tcW w:w="7980" w:type="dxa"/>
            <w:vAlign w:val="bottom"/>
            <w:gridSpan w:val="2"/>
          </w:tcPr>
          <w:p>
            <w:pPr>
              <w:ind w:left="40"/>
              <w:spacing w:after="0"/>
              <w:rPr>
                <w:sz w:val="20"/>
                <w:szCs w:val="20"/>
                <w:color w:val="auto"/>
              </w:rPr>
            </w:pPr>
            <w:r>
              <w:rPr>
                <w:rFonts w:ascii="Arial" w:cs="Arial" w:eastAsia="Arial" w:hAnsi="Arial"/>
                <w:sz w:val="18"/>
                <w:szCs w:val="18"/>
                <w:color w:val="auto"/>
              </w:rPr>
              <w:t>Major customers’ data as a percentage of total revenues: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following table sets forth the customers that represented 10% or more of the Company’s total revenues in each of the periods set forth below:</w:t>
      </w:r>
    </w:p>
    <w:p>
      <w:pPr>
        <w:spacing w:after="0" w:line="180"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1"/>
                <w:szCs w:val="21"/>
                <w:color w:val="auto"/>
              </w:rPr>
            </w:pPr>
          </w:p>
        </w:tc>
      </w:tr>
      <w:tr>
        <w:trPr>
          <w:trHeight w:val="216"/>
        </w:trPr>
        <w:tc>
          <w:tcPr>
            <w:tcW w:w="7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16:- SELECTED STATEMENTS OF OPERATIONS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980"/>
              <w:spacing w:after="0"/>
              <w:rPr>
                <w:sz w:val="20"/>
                <w:szCs w:val="20"/>
                <w:color w:val="auto"/>
              </w:rPr>
            </w:pPr>
            <w:r>
              <w:rPr>
                <w:rFonts w:ascii="Arial" w:cs="Arial" w:eastAsia="Arial" w:hAnsi="Arial"/>
                <w:sz w:val="18"/>
                <w:szCs w:val="18"/>
                <w:color w:val="auto"/>
              </w:rPr>
              <w:t>Financial income,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Financial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on bank deposits and other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Exchange rate differences,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on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Financial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Bank charges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Realized loss on sale of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(1,547)</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BALANCES AND TRANSACTIONS WITH RELATED PARTIES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spacing w:after="0" w:line="187" w:lineRule="exact"/>
        <w:rPr>
          <w:sz w:val="20"/>
          <w:szCs w:val="20"/>
          <w:color w:val="auto"/>
        </w:rPr>
      </w:pPr>
    </w:p>
    <w:p>
      <w:pPr>
        <w:ind w:left="1620" w:hanging="640"/>
        <w:spacing w:after="0"/>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Fritz Companies Israel T. Ltd. (“Fritz”)</w:t>
      </w:r>
    </w:p>
    <w:p>
      <w:pPr>
        <w:spacing w:after="0" w:line="225"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Fritz is a logistics company which is owned, in part, by the Chairman of the Board since March 2018. The Company has an ongoing logistic contract with Fritz. During the years ended December 31, 2019 and 2018 logistic service fees amounted to $3,762 and $2,673, respectively.</w:t>
      </w:r>
    </w:p>
    <w:p>
      <w:pPr>
        <w:spacing w:after="0" w:line="183" w:lineRule="exact"/>
        <w:rPr>
          <w:rFonts w:ascii="Arial" w:cs="Arial" w:eastAsia="Arial" w:hAnsi="Arial"/>
          <w:sz w:val="18"/>
          <w:szCs w:val="18"/>
          <w:color w:val="auto"/>
        </w:rPr>
      </w:pPr>
    </w:p>
    <w:p>
      <w:pPr>
        <w:ind w:left="1620" w:hanging="640"/>
        <w:spacing w:after="0"/>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Accord Insurance Agency Ltd. (“Acord”)</w:t>
      </w:r>
    </w:p>
    <w:p>
      <w:pPr>
        <w:spacing w:after="0" w:line="225" w:lineRule="exact"/>
        <w:rPr>
          <w:rFonts w:ascii="Arial" w:cs="Arial" w:eastAsia="Arial" w:hAnsi="Arial"/>
          <w:sz w:val="18"/>
          <w:szCs w:val="18"/>
          <w:color w:val="auto"/>
        </w:rPr>
      </w:pPr>
    </w:p>
    <w:p>
      <w:pPr>
        <w:jc w:val="both"/>
        <w:ind w:left="1620"/>
        <w:spacing w:after="0" w:line="301" w:lineRule="auto"/>
        <w:rPr>
          <w:rFonts w:ascii="Arial" w:cs="Arial" w:eastAsia="Arial" w:hAnsi="Arial"/>
          <w:sz w:val="18"/>
          <w:szCs w:val="18"/>
          <w:color w:val="auto"/>
        </w:rPr>
      </w:pPr>
      <w:r>
        <w:rPr>
          <w:rFonts w:ascii="Arial" w:cs="Arial" w:eastAsia="Arial" w:hAnsi="Arial"/>
          <w:sz w:val="16"/>
          <w:szCs w:val="16"/>
          <w:color w:val="auto"/>
        </w:rPr>
        <w:t>We maintain a business relationship with Accord Insurance Agency Ltd., or Accord, a company which is an insurance agency that is owned in part and controlled, by our Chairman of the Board, under which Accord is our insurance agent for most of our insurance policies. The policies in which Accord is our insurance agent, were purchased after a request for proposals procedure. During the years ended December 31, 2019, 2018 and 2017 total premium under the policies amounted to $843, $248 and $248, respectively.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BALANCES AND TRANSACTIONS WITH RELATED PARTIES (Cont.)</w:t>
      </w:r>
    </w:p>
    <w:p>
      <w:pPr>
        <w:spacing w:after="0" w:line="229" w:lineRule="exact"/>
        <w:rPr>
          <w:sz w:val="20"/>
          <w:szCs w:val="20"/>
          <w:color w:val="auto"/>
        </w:rPr>
      </w:pPr>
    </w:p>
    <w:p>
      <w:pPr>
        <w:ind w:left="1620" w:hanging="640"/>
        <w:spacing w:after="0"/>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Priority Software Ltd. (“Priority”)</w:t>
      </w:r>
    </w:p>
    <w:p>
      <w:pPr>
        <w:spacing w:after="0" w:line="225" w:lineRule="exact"/>
        <w:rPr>
          <w:rFonts w:ascii="Arial" w:cs="Arial" w:eastAsia="Arial" w:hAnsi="Arial"/>
          <w:sz w:val="18"/>
          <w:szCs w:val="18"/>
          <w:color w:val="auto"/>
        </w:rPr>
      </w:pPr>
    </w:p>
    <w:p>
      <w:pPr>
        <w:jc w:val="both"/>
        <w:ind w:left="1620"/>
        <w:spacing w:after="0" w:line="263" w:lineRule="auto"/>
        <w:rPr>
          <w:rFonts w:ascii="Arial" w:cs="Arial" w:eastAsia="Arial" w:hAnsi="Arial"/>
          <w:sz w:val="18"/>
          <w:szCs w:val="18"/>
          <w:color w:val="auto"/>
        </w:rPr>
      </w:pPr>
      <w:r>
        <w:rPr>
          <w:rFonts w:ascii="Arial" w:cs="Arial" w:eastAsia="Arial" w:hAnsi="Arial"/>
          <w:sz w:val="18"/>
          <w:szCs w:val="18"/>
          <w:color w:val="auto"/>
        </w:rPr>
        <w:t>Priority is the Company’s ERP solution provider, which is owned, in part by few of the Company’s Board members. During the years ended December 31, 2019, 2018 and 2017 maintenances fees and additional licenses acquired amounted to $109, $76 and $90,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229" w:lineRule="exact"/>
        <w:rPr>
          <w:sz w:val="20"/>
          <w:szCs w:val="20"/>
          <w:color w:val="auto"/>
        </w:rPr>
      </w:pPr>
    </w:p>
    <w:p>
      <w:pPr>
        <w:jc w:val="both"/>
        <w:ind w:left="1620"/>
        <w:spacing w:after="0" w:line="271" w:lineRule="auto"/>
        <w:rPr>
          <w:sz w:val="20"/>
          <w:szCs w:val="20"/>
          <w:color w:val="auto"/>
        </w:rPr>
      </w:pPr>
      <w:r>
        <w:rPr>
          <w:rFonts w:ascii="Arial" w:cs="Arial" w:eastAsia="Arial" w:hAnsi="Arial"/>
          <w:sz w:val="17"/>
          <w:szCs w:val="17"/>
          <w:color w:val="auto"/>
        </w:rPr>
        <w:t>Towards the end of December 2019, an outbreak of a novel strain of coronavirus (COVID-19) emerged at first in China and then (in February and March 2020) globally. The Company's operations and financial performance could be adversely affected to the extent that coronavirus or any other epidemic harms the global economy. The Company may also be adversely impacted in particular if a health epidemic or other outbreak occurs in one or more of the Company's markets and unfavorably affects certain of its customers and/or suppliers. Further, the Company's operations have experienced, and may further experience, disruptions, such as temporary closure of its offices or manufacturing facility, and/or those of its customers or suppliers, and suspension of services, which will materially affect the Company's business, financial condition and results of operations. The duration of the business disruption and related financial impact cannot be reasonably estimated at this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t>Exhibit 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Kornit Digital Ltd. Ordinary Shares</w:t>
      </w:r>
    </w:p>
    <w:p>
      <w:pPr>
        <w:spacing w:after="0" w:line="229"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The authorized share capital of Kornit Digital Ltd. (hereinafter, “we”, “us”, “our” or similar expressions) consists of NIS 2,000,000 divided into 200,000,000 ordinary shares, par value NIS 0.01 per share, or ordinary shares. As of February 28, 2020, 40,801,834 ordinary shares were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or articles, is to engage in any lawful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we are then required to elect external directors.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articles, our board of directors must consist of not less than five but no more than nine directors, including, when we are required, two external directors who serve pursuant to the Israeli Companies Law, 5759-1999, or the Companies Law. Pursuant to our articles, each of our directors (other than, when applicable,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when applicable)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We are not currently required to have external directors serving on our board of directors, based on an exemption that we have elected to be governed by under the Companies Law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187" w:lineRule="exact"/>
        <w:rPr>
          <w:sz w:val="20"/>
          <w:szCs w:val="20"/>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9"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applicable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Companies Law and under our articles, shareholders are not permitted to take action by way of written consent in lieu of a meeting.</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of the company’s audit committee (or compensation committee with respect to compensation arrangements), board of directors and shareholders, in that order. In addition, the shareholder approval must fulfill one of the following requirements:</w:t>
      </w:r>
    </w:p>
    <w:p>
      <w:pPr>
        <w:spacing w:after="0" w:line="176" w:lineRule="exact"/>
        <w:rPr>
          <w:sz w:val="20"/>
          <w:szCs w:val="20"/>
          <w:color w:val="auto"/>
        </w:rPr>
      </w:pPr>
    </w:p>
    <w:p>
      <w:pPr>
        <w:ind w:left="980" w:hanging="324"/>
        <w:spacing w:after="0" w:line="258"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 w:lineRule="exact"/>
        <w:rPr>
          <w:rFonts w:ascii="Arial" w:cs="Arial" w:eastAsia="Arial" w:hAnsi="Arial"/>
          <w:sz w:val="18"/>
          <w:szCs w:val="18"/>
          <w:color w:val="auto"/>
        </w:rPr>
      </w:pPr>
    </w:p>
    <w:p>
      <w:pPr>
        <w:ind w:left="980" w:right="20" w:hanging="324"/>
        <w:spacing w:after="0" w:line="260"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w:t>
      </w:r>
    </w:p>
    <w:p>
      <w:pPr>
        <w:spacing w:after="0" w:line="225" w:lineRule="exact"/>
        <w:rPr>
          <w:sz w:val="20"/>
          <w:szCs w:val="20"/>
          <w:color w:val="auto"/>
        </w:rPr>
      </w:pPr>
    </w:p>
    <w:p>
      <w:pPr>
        <w:jc w:val="both"/>
        <w:ind w:firstLine="656"/>
        <w:spacing w:after="0" w:line="255" w:lineRule="auto"/>
        <w:tabs>
          <w:tab w:leader="none" w:pos="87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approval and extension of a compensation policy and certain deviations therefrom require the approval of compensation committee, board of directors and shareholders, in that order. In addition,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policy; or (b) the total number of shares of non-controlling shareholders who do not have a personal interest in the compensation policy and who vote against the arrangement does not exceed 2% of the company’s aggregate voting rights;</w:t>
      </w:r>
    </w:p>
    <w:p>
      <w:pPr>
        <w:spacing w:after="0" w:line="192" w:lineRule="exact"/>
        <w:rPr>
          <w:rFonts w:ascii="Arial" w:cs="Arial" w:eastAsia="Arial" w:hAnsi="Arial"/>
          <w:sz w:val="18"/>
          <w:szCs w:val="18"/>
          <w:color w:val="auto"/>
        </w:rPr>
      </w:pPr>
    </w:p>
    <w:p>
      <w:pPr>
        <w:jc w:val="both"/>
        <w:ind w:firstLine="656"/>
        <w:spacing w:after="0" w:line="296" w:lineRule="auto"/>
        <w:tabs>
          <w:tab w:leader="none" w:pos="94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terms of employment or other engagement of the chief executive officer of the company require compensation committee, board of directors and shareholders, in that order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or (b) the total number of shares of non-controlling shareholders who do not have a personal interest in the compensation and who vote against the arrangement does not exceed 2% of the company’s aggregate voting rights); and</w:t>
      </w:r>
    </w:p>
    <w:p>
      <w:pPr>
        <w:spacing w:after="0" w:line="161" w:lineRule="exact"/>
        <w:rPr>
          <w:rFonts w:ascii="Arial" w:cs="Arial" w:eastAsia="Arial" w:hAnsi="Arial"/>
          <w:sz w:val="16"/>
          <w:szCs w:val="16"/>
          <w:color w:val="auto"/>
        </w:rPr>
      </w:pPr>
    </w:p>
    <w:p>
      <w:pPr>
        <w:ind w:firstLine="656"/>
        <w:spacing w:after="0" w:line="308" w:lineRule="auto"/>
        <w:tabs>
          <w:tab w:leader="none" w:pos="97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chairman of a company’s board of directors also serving as its chief executive officer requires the same approval as applies to (i) and (ii) above (substituting the personal interest in the service of the chairman as chief executive officer in place of personal interest in the compensation).</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our articles, the alteration of the rights, privileges, preferences or obligations of any class of our shares requires a simple majority of all classes of shares voting together as a single class at a shareholder meeting (without a separate vote of the class that is affected).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our articles, the rights attached to any class of share, such as voting, liquidation and dividend rights, may be amended by adoption of a resolution by the holders of a simple majority of all classes of shares voting together as a single class at a shareholder meeting (without a separate vote of the class that is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a transaction agreement to which we are party with Amazon Corporate LLC, a subsidiary of Amazon.com, Inc., which we collectively refer to as Amazon, Amazon is entitled to certain registration rights commencing on January 10, 2018. Under that agreement,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“Vote Requirements”).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4.11.2</w:t>
      </w:r>
    </w:p>
    <w:p>
      <w:pPr>
        <w:spacing w:after="0" w:line="216" w:lineRule="exact"/>
        <w:rPr>
          <w:sz w:val="20"/>
          <w:szCs w:val="20"/>
          <w:color w:val="auto"/>
        </w:rPr>
      </w:pPr>
    </w:p>
    <w:p>
      <w:pPr>
        <w:ind w:firstLine="8"/>
        <w:spacing w:after="0" w:line="282" w:lineRule="auto"/>
        <w:tabs>
          <w:tab w:leader="none" w:pos="435"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identified information in this Amendment 1 to Master Purchase Agreement has been excluded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1 TO MASTER PURCHASE AGREEMENT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Komit Digital Ltd. (“</w:t>
      </w:r>
      <w:r>
        <w:rPr>
          <w:rFonts w:ascii="Arial" w:cs="Arial" w:eastAsia="Arial" w:hAnsi="Arial"/>
          <w:sz w:val="18"/>
          <w:szCs w:val="18"/>
          <w:b w:val="1"/>
          <w:bCs w:val="1"/>
          <w:u w:val="single" w:color="auto"/>
          <w:color w:val="auto"/>
        </w:rPr>
        <w:t>Supplier</w:t>
      </w:r>
      <w:r>
        <w:rPr>
          <w:rFonts w:ascii="Arial" w:cs="Arial" w:eastAsia="Arial" w:hAnsi="Arial"/>
          <w:sz w:val="18"/>
          <w:szCs w:val="18"/>
          <w:color w:val="auto"/>
        </w:rPr>
        <w:t>”) and Amazon Corporate LLC and its affiliates (“</w:t>
      </w:r>
      <w:r>
        <w:rPr>
          <w:rFonts w:ascii="Arial" w:cs="Arial" w:eastAsia="Arial" w:hAnsi="Arial"/>
          <w:sz w:val="18"/>
          <w:szCs w:val="18"/>
          <w:b w:val="1"/>
          <w:bCs w:val="1"/>
          <w:u w:val="single" w:color="auto"/>
          <w:color w:val="auto"/>
        </w:rPr>
        <w:t>Amazon</w:t>
      </w:r>
      <w:r>
        <w:rPr>
          <w:rFonts w:ascii="Arial" w:cs="Arial" w:eastAsia="Arial" w:hAnsi="Arial"/>
          <w:sz w:val="18"/>
          <w:szCs w:val="18"/>
          <w:color w:val="auto"/>
        </w:rPr>
        <w:t>”) entered into a Master Purchase Agreement effective May 1. 2016 (as modified, supplemented or amended,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Supplier and Amazon now enter into this Amendment to the Agreement (the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effective as of March 1. 2017. This Amendment is made a part of the Agreement. All capitalized terms not defined in this Amendment have the meanings set forth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Printers</w:t>
      </w:r>
      <w:r>
        <w:rPr>
          <w:rFonts w:ascii="Arial" w:cs="Arial" w:eastAsia="Arial" w:hAnsi="Arial"/>
          <w:sz w:val="18"/>
          <w:szCs w:val="18"/>
          <w:color w:val="auto"/>
        </w:rPr>
        <w:t xml:space="preserve">” Section of </w:t>
      </w:r>
      <w:r>
        <w:rPr>
          <w:rFonts w:ascii="Arial" w:cs="Arial" w:eastAsia="Arial" w:hAnsi="Arial"/>
          <w:sz w:val="18"/>
          <w:szCs w:val="18"/>
          <w:b w:val="1"/>
          <w:bCs w:val="1"/>
          <w:u w:val="single" w:color="auto"/>
          <w:color w:val="auto"/>
        </w:rPr>
        <w:t>Schedule 1 (Pricing)</w:t>
      </w:r>
      <w:r>
        <w:rPr>
          <w:rFonts w:ascii="Arial" w:cs="Arial" w:eastAsia="Arial" w:hAnsi="Arial"/>
          <w:sz w:val="18"/>
          <w:szCs w:val="18"/>
          <w:color w:val="auto"/>
        </w:rPr>
        <w:t xml:space="preserve"> of the Agreement is replaced in its entirety with the following:</w:t>
      </w:r>
    </w:p>
    <w:p>
      <w:pPr>
        <w:spacing w:after="0" w:line="2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Printers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Over any [***] period starting on May 1.2016 or its anniversary (each, a “Printer Measurement Period”). Purchaser must purchase printers from Supplier for: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 Printers Ordered by Purchaser during Applicable</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41"/>
        </w:trPr>
        <w:tc>
          <w:tcPr>
            <w:tcW w:w="5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Printer Measurement Period</w:t>
            </w:r>
          </w:p>
        </w:tc>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Cost per AV-1000 printer</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Cost per AV-1000 R-Series printer</w:t>
            </w:r>
          </w:p>
        </w:tc>
      </w:tr>
      <w:tr>
        <w:trPr>
          <w:trHeight w:val="216"/>
        </w:trPr>
        <w:tc>
          <w:tcPr>
            <w:tcW w:w="5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 Terms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Purchaser’s placement of an order which would result in [***] printers having been invoiced or ordered for immediate shipment within a Printer Measurement Period, a rebate equal to [***] of the total cost of the [***] printers (the “Printer Volume Rebate”) will be applied to the order. If the total amount of the order is less than the Printer Volume Rebate, then Supplier will credit any remainder of the Printer Volume Rebate against any Purchaser accounts receivable outstanding at the time of the order. If after such credit is applied any portion of the Printer Volume Rebate remains, Supplier will remit payment of such remainder to Amazon within 30 days of the applicable order.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Shipping costs to Purchaser-designated locations in the United States shall not exceed (“Max Printer Shipping Charge”):</w:t>
      </w:r>
    </w:p>
    <w:p>
      <w:pPr>
        <w:spacing w:after="0" w:line="225" w:lineRule="exact"/>
        <w:rPr>
          <w:sz w:val="20"/>
          <w:szCs w:val="20"/>
          <w:color w:val="auto"/>
        </w:rPr>
      </w:pPr>
    </w:p>
    <w:p>
      <w:pPr>
        <w:ind w:left="1760" w:hanging="330"/>
        <w:spacing w:after="0"/>
        <w:tabs>
          <w:tab w:leader="none" w:pos="1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Via Sea Freight – [***] per printer Product unit</w:t>
      </w:r>
    </w:p>
    <w:p>
      <w:pPr>
        <w:spacing w:after="0" w:line="23" w:lineRule="exact"/>
        <w:rPr>
          <w:rFonts w:ascii="Arial" w:cs="Arial" w:eastAsia="Arial" w:hAnsi="Arial"/>
          <w:sz w:val="18"/>
          <w:szCs w:val="18"/>
          <w:color w:val="auto"/>
        </w:rPr>
      </w:pPr>
    </w:p>
    <w:p>
      <w:pPr>
        <w:ind w:left="1760" w:hanging="330"/>
        <w:spacing w:after="0"/>
        <w:tabs>
          <w:tab w:leader="none" w:pos="1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Via Air Freight - [***] per printer Product unit</w:t>
      </w:r>
    </w:p>
    <w:p>
      <w:pPr>
        <w:spacing w:after="0" w:line="9" w:lineRule="exact"/>
        <w:rPr>
          <w:rFonts w:ascii="Arial" w:cs="Arial" w:eastAsia="Arial" w:hAnsi="Arial"/>
          <w:sz w:val="18"/>
          <w:szCs w:val="18"/>
          <w:color w:val="auto"/>
        </w:rPr>
      </w:pPr>
    </w:p>
    <w:p>
      <w:pPr>
        <w:spacing w:after="0"/>
        <w:tabs>
          <w:tab w:leader="none" w:pos="0" w:val="left"/>
        </w:tabs>
        <w:numPr>
          <w:ilvl w:val="0"/>
          <w:numId w:val="121"/>
        </w:numPr>
        <w:rPr>
          <w:rFonts w:ascii="Arial" w:cs="Arial" w:eastAsia="Arial" w:hAnsi="Arial"/>
          <w:sz w:val="18"/>
          <w:szCs w:val="18"/>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Max Printer Shipping Charge for shipping to locations outside of the United States will be agreed upon by the parties prior to shipment.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parties will discuss the Max Printer Shipping Charge at least once a year and may adjust the Max Printer Shipping Charge by mutual written agreement. The Max Printer Shipping Charge may be exceeded only if agreed to by [***] prior to shipment.</w:t>
      </w:r>
    </w:p>
    <w:p>
      <w:pPr>
        <w:spacing w:after="0" w:line="170" w:lineRule="exact"/>
        <w:rPr>
          <w:sz w:val="20"/>
          <w:szCs w:val="20"/>
          <w:color w:val="auto"/>
        </w:rPr>
      </w:pPr>
    </w:p>
    <w:p>
      <w:pPr>
        <w:ind w:left="660" w:hanging="652"/>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provisions of this Amendment will control over any inconsistent provision of the Agreement. The Agreement will remain in full force and effect.</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Amendment may be executed by facsimile or electronic scan and in counterparts, each of which will be deemed an original, but all of which together will constitute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signature below, the duly authorized representatives of the parties agree to the terms and conditions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SUPPLIER:</w:t>
            </w:r>
          </w:p>
        </w:tc>
        <w:tc>
          <w:tcPr>
            <w:tcW w:w="3560" w:type="dxa"/>
            <w:vAlign w:val="bottom"/>
            <w:gridSpan w:val="3"/>
          </w:tcPr>
          <w:p>
            <w:pPr>
              <w:spacing w:after="0"/>
              <w:rPr>
                <w:sz w:val="17"/>
                <w:szCs w:val="17"/>
                <w:color w:val="auto"/>
              </w:rPr>
            </w:pPr>
          </w:p>
        </w:tc>
        <w:tc>
          <w:tcPr>
            <w:tcW w:w="2240" w:type="dxa"/>
            <w:vAlign w:val="bottom"/>
          </w:tcPr>
          <w:p>
            <w:pPr>
              <w:spacing w:after="0"/>
              <w:rPr>
                <w:sz w:val="17"/>
                <w:szCs w:val="17"/>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AMAZON:</w:t>
            </w:r>
          </w:p>
        </w:tc>
        <w:tc>
          <w:tcPr>
            <w:tcW w:w="3600" w:type="dxa"/>
            <w:vAlign w:val="bottom"/>
            <w:gridSpan w:val="3"/>
          </w:tcPr>
          <w:p>
            <w:pPr>
              <w:spacing w:after="0"/>
              <w:rPr>
                <w:sz w:val="17"/>
                <w:szCs w:val="17"/>
                <w:color w:val="auto"/>
              </w:rPr>
            </w:pPr>
          </w:p>
        </w:tc>
      </w:tr>
      <w:tr>
        <w:trPr>
          <w:trHeight w:val="453"/>
        </w:trPr>
        <w:tc>
          <w:tcPr>
            <w:tcW w:w="4520" w:type="dxa"/>
            <w:vAlign w:val="bottom"/>
            <w:gridSpan w:val="5"/>
          </w:tcPr>
          <w:p>
            <w:pPr>
              <w:spacing w:after="0"/>
              <w:rPr>
                <w:sz w:val="20"/>
                <w:szCs w:val="20"/>
                <w:color w:val="auto"/>
              </w:rPr>
            </w:pPr>
            <w:r>
              <w:rPr>
                <w:rFonts w:ascii="Arial" w:cs="Arial" w:eastAsia="Arial" w:hAnsi="Arial"/>
                <w:sz w:val="18"/>
                <w:szCs w:val="18"/>
                <w:b w:val="1"/>
                <w:bCs w:val="1"/>
                <w:color w:val="auto"/>
              </w:rPr>
              <w:t>Kornit Digital, Ltd.</w:t>
            </w:r>
          </w:p>
        </w:tc>
        <w:tc>
          <w:tcPr>
            <w:tcW w:w="2240" w:type="dxa"/>
            <w:vAlign w:val="bottom"/>
          </w:tcPr>
          <w:p>
            <w:pPr>
              <w:spacing w:after="0"/>
              <w:rPr>
                <w:sz w:val="24"/>
                <w:szCs w:val="24"/>
                <w:color w:val="auto"/>
              </w:rPr>
            </w:pPr>
          </w:p>
        </w:tc>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Amazon Corporate LLC</w:t>
            </w:r>
          </w:p>
        </w:tc>
      </w:tr>
      <w:tr>
        <w:trPr>
          <w:trHeight w:val="439"/>
        </w:trPr>
        <w:tc>
          <w:tcPr>
            <w:tcW w:w="5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i w:val="1"/>
                <w:iCs w:val="1"/>
                <w:color w:val="auto"/>
              </w:rPr>
              <w:t>/s/ Guy Avidan</w:t>
            </w:r>
          </w:p>
        </w:tc>
        <w:tc>
          <w:tcPr>
            <w:tcW w:w="2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i w:val="1"/>
                <w:iCs w:val="1"/>
                <w:color w:val="auto"/>
              </w:rPr>
              <w:t>/s/ Young Lee</w:t>
            </w:r>
          </w:p>
        </w:tc>
      </w:tr>
      <w:tr>
        <w:trPr>
          <w:trHeight w:val="198"/>
        </w:trPr>
        <w:tc>
          <w:tcPr>
            <w:tcW w:w="580" w:type="dxa"/>
            <w:vAlign w:val="bottom"/>
          </w:tcPr>
          <w:p>
            <w:pPr>
              <w:spacing w:after="0" w:line="198" w:lineRule="exact"/>
              <w:rPr>
                <w:sz w:val="20"/>
                <w:szCs w:val="20"/>
                <w:color w:val="auto"/>
              </w:rPr>
            </w:pPr>
            <w:r>
              <w:rPr>
                <w:rFonts w:ascii="Arial" w:cs="Arial" w:eastAsia="Arial" w:hAnsi="Arial"/>
                <w:sz w:val="18"/>
                <w:szCs w:val="18"/>
                <w:b w:val="1"/>
                <w:bCs w:val="1"/>
                <w:color w:val="auto"/>
              </w:rPr>
              <w:t>Name:</w:t>
            </w:r>
          </w:p>
        </w:tc>
        <w:tc>
          <w:tcPr>
            <w:tcW w:w="394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Guy Avidan</w:t>
            </w:r>
          </w:p>
        </w:tc>
        <w:tc>
          <w:tcPr>
            <w:tcW w:w="224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Name:</w:t>
            </w:r>
          </w:p>
        </w:tc>
        <w:tc>
          <w:tcPr>
            <w:tcW w:w="392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Young Lee</w:t>
            </w:r>
          </w:p>
        </w:tc>
      </w:t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CFO</w:t>
            </w:r>
          </w:p>
        </w:tc>
        <w:tc>
          <w:tcPr>
            <w:tcW w:w="22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VP, Business Development</w:t>
            </w:r>
          </w:p>
        </w:tc>
      </w:tr>
      <w:tr>
        <w:trPr>
          <w:trHeight w:val="194"/>
        </w:trPr>
        <w:tc>
          <w:tcPr>
            <w:tcW w:w="45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Date Signed: March 27, 2017</w:t>
            </w:r>
          </w:p>
        </w:tc>
        <w:tc>
          <w:tcPr>
            <w:tcW w:w="2240" w:type="dxa"/>
            <w:vAlign w:val="bottom"/>
          </w:tcPr>
          <w:p>
            <w:pPr>
              <w:spacing w:after="0"/>
              <w:rPr>
                <w:sz w:val="16"/>
                <w:szCs w:val="16"/>
                <w:color w:val="auto"/>
              </w:rPr>
            </w:pPr>
          </w:p>
        </w:tc>
        <w:tc>
          <w:tcPr>
            <w:tcW w:w="44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Date Signed: April 6, 2017</w:t>
            </w: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Gabi Seligsohn</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b w:val="1"/>
          <w:bCs w:val="1"/>
          <w:color w:val="auto"/>
        </w:rPr>
        <w: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Signed: </w:t>
      </w:r>
      <w:r>
        <w:rPr>
          <w:rFonts w:ascii="Arial" w:cs="Arial" w:eastAsia="Arial" w:hAnsi="Arial"/>
          <w:sz w:val="18"/>
          <w:szCs w:val="18"/>
          <w:b w:val="1"/>
          <w:bCs w:val="1"/>
          <w:u w:val="single" w:color="auto"/>
          <w:color w:val="auto"/>
        </w:rPr>
        <w:t>April 6,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4.11.3</w:t>
      </w:r>
    </w:p>
    <w:p>
      <w:pPr>
        <w:spacing w:after="0" w:line="216" w:lineRule="exact"/>
        <w:rPr>
          <w:sz w:val="20"/>
          <w:szCs w:val="20"/>
          <w:color w:val="auto"/>
        </w:rPr>
      </w:pPr>
    </w:p>
    <w:p>
      <w:pPr>
        <w:ind w:firstLine="8"/>
        <w:spacing w:after="0" w:line="282" w:lineRule="auto"/>
        <w:tabs>
          <w:tab w:leader="none" w:pos="435"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identified information in this Amendment 2 to Master Purchase Agreement has been excluded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 TO MASTER PURCHASE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Komit Digital Ltd. (</w:t>
      </w:r>
      <w:r>
        <w:rPr>
          <w:rFonts w:ascii="Arial" w:cs="Arial" w:eastAsia="Arial" w:hAnsi="Arial"/>
          <w:sz w:val="18"/>
          <w:szCs w:val="18"/>
          <w:u w:val="single" w:color="auto"/>
          <w:color w:val="auto"/>
        </w:rPr>
        <w:t>“Supplier</w:t>
      </w:r>
      <w:r>
        <w:rPr>
          <w:rFonts w:ascii="Arial" w:cs="Arial" w:eastAsia="Arial" w:hAnsi="Arial"/>
          <w:sz w:val="18"/>
          <w:szCs w:val="18"/>
          <w:color w:val="auto"/>
        </w:rPr>
        <w:t>”) and Amazon Corporate LLC and its affiliates (</w:t>
      </w:r>
      <w:r>
        <w:rPr>
          <w:rFonts w:ascii="Arial" w:cs="Arial" w:eastAsia="Arial" w:hAnsi="Arial"/>
          <w:sz w:val="18"/>
          <w:szCs w:val="18"/>
          <w:u w:val="single" w:color="auto"/>
          <w:color w:val="auto"/>
        </w:rPr>
        <w:t>“Amazon</w:t>
      </w:r>
      <w:r>
        <w:rPr>
          <w:rFonts w:ascii="Arial" w:cs="Arial" w:eastAsia="Arial" w:hAnsi="Arial"/>
          <w:sz w:val="18"/>
          <w:szCs w:val="18"/>
          <w:color w:val="auto"/>
        </w:rPr>
        <w:t xml:space="preserve">”) entered into a Master Purchase Agreement effective May 1, 2016 (as modified, supplemented or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Supplier and Amazon now enter into this Amendment to the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effective as of January 1st, 2018. This Amendment is made a part of the Agreement. All capitalized terms not defined in this Amendment have the meanings set forth in the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“Printers</w:t>
      </w:r>
      <w:r>
        <w:rPr>
          <w:rFonts w:ascii="Arial" w:cs="Arial" w:eastAsia="Arial" w:hAnsi="Arial"/>
          <w:sz w:val="18"/>
          <w:szCs w:val="18"/>
          <w:color w:val="auto"/>
        </w:rPr>
        <w:t xml:space="preserve">” Section of </w:t>
      </w:r>
      <w:r>
        <w:rPr>
          <w:rFonts w:ascii="Arial" w:cs="Arial" w:eastAsia="Arial" w:hAnsi="Arial"/>
          <w:sz w:val="18"/>
          <w:szCs w:val="18"/>
          <w:u w:val="single" w:color="auto"/>
          <w:color w:val="auto"/>
        </w:rPr>
        <w:t>Schedule 1 (Pricing)</w:t>
      </w:r>
      <w:r>
        <w:rPr>
          <w:rFonts w:ascii="Arial" w:cs="Arial" w:eastAsia="Arial" w:hAnsi="Arial"/>
          <w:sz w:val="18"/>
          <w:szCs w:val="18"/>
          <w:color w:val="auto"/>
        </w:rPr>
        <w:t xml:space="preserve"> of the Agreement is replaced in its entirety with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Beginning January 1, 2018, and thereafter over any [***] period starting on January 1, 2018 or its anniversary (each, a </w:t>
      </w:r>
      <w:r>
        <w:rPr>
          <w:rFonts w:ascii="Arial" w:cs="Arial" w:eastAsia="Arial" w:hAnsi="Arial"/>
          <w:sz w:val="18"/>
          <w:szCs w:val="18"/>
          <w:b w:val="1"/>
          <w:bCs w:val="1"/>
          <w:color w:val="auto"/>
        </w:rPr>
        <w:t>“Printer Measurement Period”),</w:t>
      </w:r>
      <w:r>
        <w:rPr>
          <w:rFonts w:ascii="Arial" w:cs="Arial" w:eastAsia="Arial" w:hAnsi="Arial"/>
          <w:sz w:val="18"/>
          <w:szCs w:val="18"/>
          <w:color w:val="auto"/>
        </w:rPr>
        <w:t xml:space="preserve"> Purchaser may purchase printers from Supplier for: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 Printers Ordered</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by Purchaser during Applicable</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41"/>
        </w:trPr>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Pricing Tier</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Printer Measurement Period</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Cost per AV- 1000 R-Series printer</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3"/>
              </w:rPr>
              <w:t>Cost per AV-HD6 printer</w:t>
            </w:r>
          </w:p>
        </w:tc>
      </w:tr>
      <w:tr>
        <w:trPr>
          <w:trHeight w:val="216"/>
        </w:trPr>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aforementioned, with respect to the Printer Measurement Period commencing on January 1, 2018 and ending [***] thereafter (and for the avoidance of doubt, solely for such period), Purchaser shall be deemed to have purchased [***] printers upon the commencement of such period, such that each printer purchased shall be charged according to the second, third or fourth pricing tier, as applicable. Example for clarification purposes: if the Purchaser purchased [***] printers during the Printer Measurement Period which starts on January 1, 2018, it shall be charged according to the second pricing tier.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 Terms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Upon Purchaser’s placement of an order completing the range of units in any pricing tier, a rebate equal to the sum of the number of the printers purchased in that pricing tier and the printers purchased in all previous pricing tiers within the same Printer Measurement Period, multiplied by [***] (the </w:t>
      </w:r>
      <w:r>
        <w:rPr>
          <w:rFonts w:ascii="Arial" w:cs="Arial" w:eastAsia="Arial" w:hAnsi="Arial"/>
          <w:sz w:val="17"/>
          <w:szCs w:val="17"/>
          <w:b w:val="1"/>
          <w:bCs w:val="1"/>
          <w:color w:val="auto"/>
        </w:rPr>
        <w:t>“Printer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Volume Rebate”) </w:t>
      </w:r>
      <w:r>
        <w:rPr>
          <w:rFonts w:ascii="Arial" w:cs="Arial" w:eastAsia="Arial" w:hAnsi="Arial"/>
          <w:sz w:val="17"/>
          <w:szCs w:val="17"/>
          <w:color w:val="auto"/>
        </w:rPr>
        <w:t>will be applied to the order. The Printer Volume Rebate will be based on the total number of printers invoiced or ordered for immediate</w:t>
      </w:r>
      <w:r>
        <w:rPr>
          <w:rFonts w:ascii="Arial" w:cs="Arial" w:eastAsia="Arial" w:hAnsi="Arial"/>
          <w:sz w:val="17"/>
          <w:szCs w:val="17"/>
          <w:b w:val="1"/>
          <w:bCs w:val="1"/>
          <w:color w:val="auto"/>
        </w:rPr>
        <w:t xml:space="preserve"> </w:t>
      </w:r>
      <w:r>
        <w:rPr>
          <w:rFonts w:ascii="Arial" w:cs="Arial" w:eastAsia="Arial" w:hAnsi="Arial"/>
          <w:sz w:val="17"/>
          <w:szCs w:val="17"/>
          <w:color w:val="auto"/>
        </w:rPr>
        <w:t>shipment within a Printer Measurement Period. For example, if Purchaser purchases [***] AV-HD6 printers within a Printer Measurement Period, Purchaser shall receive a rebate of [***] (calculated as [***] printers multiplied by [***]); and if Purchaser purchases [***] AV-HD6 printers within that same period, Purchaser shall receive an additional rebate of [***] (calculated as [***] printers multiplied by [***]). For sake of clarity, purchases from all territories shall count towards the total number of printers ordered, and the total number of printers ordered is also cumulative across printer models (e.g. a purchase of 10 AV-1000 R-Series printers and 15 AV-HD6 printers would count as 25 printers ordered).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8" w:name="page169"/>
    <w:bookmarkEnd w:id="168"/>
    <w:p>
      <w:pPr>
        <w:jc w:val="both"/>
        <w:spacing w:after="0" w:line="263" w:lineRule="auto"/>
        <w:rPr>
          <w:sz w:val="20"/>
          <w:szCs w:val="20"/>
          <w:color w:val="auto"/>
        </w:rPr>
      </w:pPr>
      <w:r>
        <w:rPr>
          <w:rFonts w:ascii="Arial" w:cs="Arial" w:eastAsia="Arial" w:hAnsi="Arial"/>
          <w:sz w:val="18"/>
          <w:szCs w:val="18"/>
          <w:color w:val="auto"/>
        </w:rPr>
        <w:t>If the total amount of the order is less than Printer Volume Rebate, then Supplier will credit any remainder of the Printer Volume Rebate against any Purchaser accounts receivable outstanding at the time of the order. If after such credit is applied any portion of the Printer Volume Rebate remains, Supplier will remit payment of such remainder to Amazon within 30 days of the applicable order.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Shipping costs to Purchaser designated locations shall not exceed (“Max Printer Shipping Charge”):</w:t>
      </w:r>
    </w:p>
    <w:p>
      <w:pPr>
        <w:spacing w:after="0" w:line="211" w:lineRule="exact"/>
        <w:rPr>
          <w:sz w:val="20"/>
          <w:szCs w:val="20"/>
          <w:color w:val="auto"/>
        </w:rPr>
      </w:pPr>
    </w:p>
    <w:p>
      <w:pPr>
        <w:ind w:left="1640" w:hanging="282"/>
        <w:spacing w:after="0"/>
        <w:tabs>
          <w:tab w:leader="none" w:pos="1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Via Sea Freight – [***] per printer Product unit</w:t>
      </w:r>
    </w:p>
    <w:p>
      <w:pPr>
        <w:spacing w:after="0" w:line="23" w:lineRule="exact"/>
        <w:rPr>
          <w:rFonts w:ascii="Arial" w:cs="Arial" w:eastAsia="Arial" w:hAnsi="Arial"/>
          <w:sz w:val="18"/>
          <w:szCs w:val="18"/>
          <w:color w:val="auto"/>
        </w:rPr>
      </w:pPr>
    </w:p>
    <w:p>
      <w:pPr>
        <w:ind w:left="1640" w:hanging="282"/>
        <w:spacing w:after="0"/>
        <w:tabs>
          <w:tab w:leader="none" w:pos="1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Via Air Freight – [***] per printer Product unit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parties will discuss the Max Printer Shipping Charge at least once a year and may adjust the Max Printer Shipping Charge by mutual written agreement. The Max Printer Shipping Charge may be exceeded only if agreed to by [***] prior to shipment.</w:t>
      </w:r>
    </w:p>
    <w:p>
      <w:pPr>
        <w:spacing w:after="0" w:line="170"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“Ink” Section of </w:t>
      </w:r>
      <w:r>
        <w:rPr>
          <w:rFonts w:ascii="Arial" w:cs="Arial" w:eastAsia="Arial" w:hAnsi="Arial"/>
          <w:sz w:val="18"/>
          <w:szCs w:val="18"/>
          <w:u w:val="single" w:color="auto"/>
          <w:color w:val="auto"/>
        </w:rPr>
        <w:t>Schedule 1 (Pricing)</w:t>
      </w:r>
      <w:r>
        <w:rPr>
          <w:rFonts w:ascii="Arial" w:cs="Arial" w:eastAsia="Arial" w:hAnsi="Arial"/>
          <w:sz w:val="18"/>
          <w:szCs w:val="18"/>
          <w:color w:val="auto"/>
        </w:rPr>
        <w:t xml:space="preserve"> of the Agreement is replaced in its entirety with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January 1, 2018, and thereafter, over any [***] period starting on January 1, 2018 or its anniversary (each, an “Ink Measurement Period”), Purchaser may purchase ink from Supplier for: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Liters of Ink Ordered by Purchaser during Applicable Ink</w:t>
            </w:r>
          </w:p>
        </w:tc>
        <w:tc>
          <w:tcPr>
            <w:tcW w:w="5500" w:type="dxa"/>
            <w:vAlign w:val="bottom"/>
          </w:tcPr>
          <w:p>
            <w:pPr>
              <w:spacing w:after="0"/>
              <w:rPr>
                <w:sz w:val="18"/>
                <w:szCs w:val="18"/>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Measurement Period</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Cost per liter</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Notwithstanding the aforementioned, with respect to the Ink Measurement Period commencing on January 1, 2018 and ending [***] thereafter (and for the avoidance of doubt, solely for such period), Purchaser shall be deemed to have purchased [***] liters of ink upon the commencement of such period, such that each liter of ink purchased shall cost according to the third or fourth pricing tier, as applicable. Example for clarification purposes: if the Purchaser purchased [***] liters of ink during the Ink Measurement Period which starts on January 1, 2018, it shall be charged according to the third pricing tier.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i w:val="1"/>
          <w:iCs w:val="1"/>
          <w:color w:val="auto"/>
        </w:rPr>
        <w:t>Rebate Terms</w:t>
      </w:r>
    </w:p>
    <w:p>
      <w:pPr>
        <w:spacing w:after="0" w:line="225" w:lineRule="exact"/>
        <w:rPr>
          <w:sz w:val="20"/>
          <w:szCs w:val="20"/>
          <w:color w:val="auto"/>
        </w:rPr>
      </w:pPr>
    </w:p>
    <w:p>
      <w:pPr>
        <w:ind w:left="380" w:hanging="372"/>
        <w:spacing w:after="0" w:line="258" w:lineRule="auto"/>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Purchaser’s placement of an order which would result in [***] liters of ink having been invoiced or ordered for immediate shipment within an Ink Measurement Period, a rebate of [***] will be applied to the order.</w:t>
      </w:r>
    </w:p>
    <w:p>
      <w:pPr>
        <w:spacing w:after="0" w:line="1" w:lineRule="exact"/>
        <w:rPr>
          <w:rFonts w:ascii="Arial" w:cs="Arial" w:eastAsia="Arial" w:hAnsi="Arial"/>
          <w:sz w:val="18"/>
          <w:szCs w:val="18"/>
          <w:color w:val="auto"/>
        </w:rPr>
      </w:pPr>
    </w:p>
    <w:p>
      <w:pPr>
        <w:ind w:left="380" w:hanging="372"/>
        <w:spacing w:after="0" w:line="250" w:lineRule="auto"/>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Purchaser’s placement of an order which would result in [***] liters of ink having been invoiced or ordered for immediate shipment within an Ink Measurement Period, a rebate of [***] will be applied to the order.</w:t>
      </w:r>
    </w:p>
    <w:p>
      <w:pPr>
        <w:ind w:left="380" w:hanging="372"/>
        <w:spacing w:after="0" w:line="250" w:lineRule="auto"/>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Purchaser’s placement of an order which would result in [***] liters of ink having been invoiced or ordered for immediate shipment within an Ink Measurement Period, a rebate of [***] will be applied to the order.</w:t>
      </w:r>
    </w:p>
    <w:p>
      <w:pPr>
        <w:ind w:left="380" w:hanging="372"/>
        <w:spacing w:after="0" w:line="250" w:lineRule="auto"/>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ink rebates above are incremental and additive to each other (e.g., if [***] liters are ordered, Amazon will receive both of the [***] rebates, i.e. a total rebate of [***].</w:t>
      </w:r>
    </w:p>
    <w:p>
      <w:pPr>
        <w:jc w:val="both"/>
        <w:ind w:left="380" w:hanging="372"/>
        <w:spacing w:after="0" w:line="255" w:lineRule="auto"/>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the total amount of the order is less than the ink rebate, then Supplier will credit any remainder of the applicable ink rebate against any Purchaser accounts receivable outstanding at the time of the order. If after such credit is applied, any portion of the applicable ink rebate remains, Supplier will remit payment of such remainder to Amazon within 30 days of the applicable order.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Ink shall be shipped to the Purchaser-designated location at [***] charge to [***].</w:t>
      </w:r>
    </w:p>
    <w:p>
      <w:pPr>
        <w:spacing w:after="0" w:line="225"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following shall be added to the “</w:t>
      </w:r>
      <w:r>
        <w:rPr>
          <w:rFonts w:ascii="Arial" w:cs="Arial" w:eastAsia="Arial" w:hAnsi="Arial"/>
          <w:sz w:val="17"/>
          <w:szCs w:val="17"/>
          <w:u w:val="single" w:color="auto"/>
          <w:color w:val="auto"/>
        </w:rPr>
        <w:t>Upgrades</w:t>
      </w:r>
      <w:r>
        <w:rPr>
          <w:rFonts w:ascii="Arial" w:cs="Arial" w:eastAsia="Arial" w:hAnsi="Arial"/>
          <w:sz w:val="17"/>
          <w:szCs w:val="17"/>
          <w:color w:val="auto"/>
        </w:rPr>
        <w:t xml:space="preserve">” Section of </w:t>
      </w:r>
      <w:r>
        <w:rPr>
          <w:rFonts w:ascii="Arial" w:cs="Arial" w:eastAsia="Arial" w:hAnsi="Arial"/>
          <w:sz w:val="17"/>
          <w:szCs w:val="17"/>
          <w:u w:val="single" w:color="auto"/>
          <w:color w:val="auto"/>
        </w:rPr>
        <w:t>Schedule 1 (Pricing)</w:t>
      </w:r>
      <w:r>
        <w:rPr>
          <w:rFonts w:ascii="Arial" w:cs="Arial" w:eastAsia="Arial" w:hAnsi="Arial"/>
          <w:sz w:val="17"/>
          <w:szCs w:val="17"/>
          <w:color w:val="auto"/>
        </w:rPr>
        <w:t xml:space="preserve"> of the Agreement following the “Rebate Terms” section: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AV-HD6 Upgrades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Following Purchaser’s ordering [***] AV-HD6 printers, Supplier agrees to upgrade [***] of Purchaser’s existing AV-1000 and AV-1000 R-Series printers with an AV-HD6 upgrade kit (the </w:t>
      </w:r>
      <w:r>
        <w:rPr>
          <w:rFonts w:ascii="Arial" w:cs="Arial" w:eastAsia="Arial" w:hAnsi="Arial"/>
          <w:sz w:val="16"/>
          <w:szCs w:val="16"/>
          <w:b w:val="1"/>
          <w:bCs w:val="1"/>
          <w:color w:val="auto"/>
        </w:rPr>
        <w:t>“Upgraded Systems”)</w:t>
      </w:r>
      <w:r>
        <w:rPr>
          <w:rFonts w:ascii="Arial" w:cs="Arial" w:eastAsia="Arial" w:hAnsi="Arial"/>
          <w:sz w:val="16"/>
          <w:szCs w:val="16"/>
          <w:color w:val="auto"/>
        </w:rPr>
        <w:t xml:space="preserve"> for the total of [***]. For the avoidance of doubt, this price represents a quantity equal to [***] Upgraded Systems. Upgrade to the Upgraded Systems will include bulk ink delivery system for [***] liters included within the cost of the upgrade.</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Supplier acknowledges that time is of the essence with respect to the installation of the Upgraded Systems, and Supplier undertakes that the Upgraded Systems will be installed by October 1, 2018, provided that the purchase order, or otherwise written commitment (email shall suffice), for the above-mentioned Upgraded Systems is received by Komit no later than March 30</w:t>
      </w:r>
      <w:r>
        <w:rPr>
          <w:rFonts w:ascii="Arial" w:cs="Arial" w:eastAsia="Arial" w:hAnsi="Arial"/>
          <w:sz w:val="29"/>
          <w:szCs w:val="29"/>
          <w:color w:val="auto"/>
          <w:vertAlign w:val="superscript"/>
        </w:rPr>
        <w:t>th</w:t>
      </w:r>
      <w:r>
        <w:rPr>
          <w:rFonts w:ascii="Arial" w:cs="Arial" w:eastAsia="Arial" w:hAnsi="Arial"/>
          <w:sz w:val="18"/>
          <w:szCs w:val="18"/>
          <w:color w:val="auto"/>
        </w:rPr>
        <w:t>, 2018.</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Supplier fails to install any Upgraded System by October 1, 2018, and the delay is not attributable to (a) delays attributable to Purchaser, (b) a Force Majeure Event, Purchaser will receive credits against the charges due for those delayed Upgraded Systems as follows:</w:t>
      </w:r>
    </w:p>
    <w:p>
      <w:pPr>
        <w:spacing w:after="0" w:line="170"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each Upgraded System installed between October 2, 2018 and October 15, 2018 - [***] credit;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each Upgraded System installed on or after October 16, 2018 - [***] credit.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Upgraded System shall improve ink consumption efficiency by [***]% (with [***]% tolerance) compared to the current AV-1000 R-Series and [***]% compared to the AVK (with [***]% tolerance).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both"/>
        <w:spacing w:after="0" w:line="279" w:lineRule="auto"/>
        <w:rPr>
          <w:sz w:val="20"/>
          <w:szCs w:val="20"/>
          <w:color w:val="auto"/>
        </w:rPr>
      </w:pPr>
      <w:r>
        <w:rPr>
          <w:rFonts w:ascii="Arial" w:cs="Arial" w:eastAsia="Arial" w:hAnsi="Arial"/>
          <w:sz w:val="17"/>
          <w:szCs w:val="17"/>
          <w:color w:val="auto"/>
        </w:rPr>
        <w:t>In the event that an Upgraded System does not achieve the ink consumption improvement detailed above, as shall be determined by the parties’ mutual consent, Purchaser shall receive credit for future purchases in the amount of $[***] for each Upgraded System that does not present the expected improvement, up to a maximum of $[***] across all Upgraded Systems. In the event that Purchaser does not raise any claim with respect to the ink consumption by December 31, 2018, it will be deemed that the ink consumption was improved, as detailed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Upgraded Systems shipped via air freight, [***] and such cost shall not exceed [***] per Upgraded System. Supplier shall obtain Purchaser’s approval for all air freight shipments prior to shipment. [***] shall bear all shipping costs for any Upgraded Systems shipped via air freight without [***]’s approval. Supplier shall make commercially reasonable efforts to ensure that no more than [***]% of Upgraded Systems will require air freight to complete installation by October 1, 2018.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Upgraded Systems shipped via sea freight, Upgraded Systems shall be shipped to the Purchaser designated location at [***] charge to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anything contrary in the Agreement, the Warranty Period for each Upgraded System shall be the longer of: (i) the remainder of the Warranty Period of the printer Product unit which was upgraded pursuant to the terms of this Amendment, or (ii) three (3) months following the date of installation of the Upgraded System. For sake of clarity, the installation of the Upgraded System shall not effect Purchaser's ability to purchase additional Warranty Period Extensions for the Upgraded Systems.</w:t>
      </w:r>
    </w:p>
    <w:p>
      <w:pPr>
        <w:spacing w:after="0" w:line="187" w:lineRule="exact"/>
        <w:rPr>
          <w:sz w:val="20"/>
          <w:szCs w:val="20"/>
          <w:color w:val="auto"/>
        </w:rPr>
      </w:pPr>
    </w:p>
    <w:p>
      <w:pPr>
        <w:ind w:left="660" w:hanging="652"/>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provisions of this Amendment will control over any inconsistent provision of the Agreement. The Agreement, will remain in full force and effect.</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Amendment may be executed by facsimile or electronic scan and in counterparts, each of which will be deemed an original, but all of which together will constitute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signature below, the duly authorized representatives of the parties agree to the terms and conditions of this Amendment.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SUPPLIER:</w:t>
            </w:r>
          </w:p>
        </w:tc>
        <w:tc>
          <w:tcPr>
            <w:tcW w:w="3560" w:type="dxa"/>
            <w:vAlign w:val="bottom"/>
            <w:gridSpan w:val="4"/>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PURCHASER:</w:t>
            </w:r>
          </w:p>
        </w:tc>
        <w:tc>
          <w:tcPr>
            <w:tcW w:w="3300" w:type="dxa"/>
            <w:vAlign w:val="bottom"/>
            <w:gridSpan w:val="2"/>
          </w:tcPr>
          <w:p>
            <w:pPr>
              <w:spacing w:after="0"/>
              <w:rPr>
                <w:sz w:val="18"/>
                <w:szCs w:val="18"/>
                <w:color w:val="auto"/>
              </w:rPr>
            </w:pPr>
          </w:p>
        </w:tc>
      </w:tr>
      <w:tr>
        <w:trPr>
          <w:trHeight w:val="453"/>
        </w:trPr>
        <w:tc>
          <w:tcPr>
            <w:tcW w:w="4520" w:type="dxa"/>
            <w:vAlign w:val="bottom"/>
            <w:gridSpan w:val="6"/>
          </w:tcPr>
          <w:p>
            <w:pPr>
              <w:spacing w:after="0"/>
              <w:rPr>
                <w:sz w:val="20"/>
                <w:szCs w:val="20"/>
                <w:color w:val="auto"/>
              </w:rPr>
            </w:pPr>
            <w:r>
              <w:rPr>
                <w:rFonts w:ascii="Arial" w:cs="Arial" w:eastAsia="Arial" w:hAnsi="Arial"/>
                <w:sz w:val="18"/>
                <w:szCs w:val="18"/>
                <w:b w:val="1"/>
                <w:bCs w:val="1"/>
                <w:color w:val="auto"/>
              </w:rPr>
              <w:t>Kornit Digital Ltd.</w:t>
            </w:r>
          </w:p>
        </w:tc>
        <w:tc>
          <w:tcPr>
            <w:tcW w:w="2240" w:type="dxa"/>
            <w:vAlign w:val="bottom"/>
          </w:tcPr>
          <w:p>
            <w:pPr>
              <w:spacing w:after="0"/>
              <w:rPr>
                <w:sz w:val="24"/>
                <w:szCs w:val="24"/>
                <w:color w:val="auto"/>
              </w:rPr>
            </w:pPr>
          </w:p>
        </w:tc>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Amazon Corporate LLC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Guy Avidan</w:t>
            </w:r>
          </w:p>
        </w:tc>
        <w:tc>
          <w:tcPr>
            <w:tcW w:w="2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Miguel Roque</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40" w:type="dxa"/>
            <w:vAlign w:val="bottom"/>
            <w:gridSpan w:val="5"/>
          </w:tcPr>
          <w:p>
            <w:pPr>
              <w:spacing w:after="0" w:line="201" w:lineRule="exact"/>
              <w:rPr>
                <w:sz w:val="20"/>
                <w:szCs w:val="20"/>
                <w:color w:val="auto"/>
              </w:rPr>
            </w:pPr>
            <w:r>
              <w:rPr>
                <w:rFonts w:ascii="Arial" w:cs="Arial" w:eastAsia="Arial" w:hAnsi="Arial"/>
                <w:sz w:val="18"/>
                <w:szCs w:val="18"/>
                <w:color w:val="auto"/>
              </w:rPr>
              <w:t>Guy Avidan</w:t>
            </w:r>
          </w:p>
        </w:tc>
        <w:tc>
          <w:tcPr>
            <w:tcW w:w="224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gridSpan w:val="4"/>
          </w:tcPr>
          <w:p>
            <w:pPr>
              <w:spacing w:after="0" w:line="201" w:lineRule="exact"/>
              <w:rPr>
                <w:sz w:val="20"/>
                <w:szCs w:val="20"/>
                <w:color w:val="auto"/>
              </w:rPr>
            </w:pPr>
            <w:r>
              <w:rPr>
                <w:rFonts w:ascii="Arial" w:cs="Arial" w:eastAsia="Arial" w:hAnsi="Arial"/>
                <w:sz w:val="18"/>
                <w:szCs w:val="18"/>
                <w:color w:val="auto"/>
              </w:rPr>
              <w:t>Miguel Roque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5"/>
          </w:tcPr>
          <w:p>
            <w:pPr>
              <w:spacing w:after="0"/>
              <w:rPr>
                <w:sz w:val="20"/>
                <w:szCs w:val="20"/>
                <w:color w:val="auto"/>
              </w:rPr>
            </w:pPr>
            <w:r>
              <w:rPr>
                <w:rFonts w:ascii="Arial" w:cs="Arial" w:eastAsia="Arial" w:hAnsi="Arial"/>
                <w:sz w:val="18"/>
                <w:szCs w:val="18"/>
                <w:color w:val="auto"/>
              </w:rPr>
              <w:t>CFO</w:t>
            </w:r>
          </w:p>
        </w:tc>
        <w:tc>
          <w:tcPr>
            <w:tcW w:w="22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gridSpan w:val="4"/>
          </w:tcPr>
          <w:p>
            <w:pPr>
              <w:spacing w:after="0"/>
              <w:rPr>
                <w:sz w:val="20"/>
                <w:szCs w:val="20"/>
                <w:color w:val="auto"/>
              </w:rPr>
            </w:pPr>
            <w:r>
              <w:rPr>
                <w:rFonts w:ascii="Arial" w:cs="Arial" w:eastAsia="Arial" w:hAnsi="Arial"/>
                <w:sz w:val="18"/>
                <w:szCs w:val="18"/>
                <w:color w:val="auto"/>
              </w:rPr>
              <w:t>Vice President</w:t>
            </w:r>
          </w:p>
        </w:tc>
      </w:tr>
      <w:tr>
        <w:trPr>
          <w:trHeight w:val="190"/>
        </w:trPr>
        <w:tc>
          <w:tcPr>
            <w:tcW w:w="4520" w:type="dxa"/>
            <w:vAlign w:val="bottom"/>
            <w:gridSpan w:val="6"/>
          </w:tcPr>
          <w:p>
            <w:pPr>
              <w:spacing w:after="0" w:line="190" w:lineRule="exact"/>
              <w:rPr>
                <w:sz w:val="20"/>
                <w:szCs w:val="20"/>
                <w:color w:val="auto"/>
              </w:rPr>
            </w:pPr>
            <w:r>
              <w:rPr>
                <w:rFonts w:ascii="Arial" w:cs="Arial" w:eastAsia="Arial" w:hAnsi="Arial"/>
                <w:sz w:val="18"/>
                <w:szCs w:val="18"/>
                <w:color w:val="auto"/>
              </w:rPr>
              <w:t>Date Signed: May 2, 2018</w:t>
            </w:r>
          </w:p>
        </w:tc>
        <w:tc>
          <w:tcPr>
            <w:tcW w:w="2240" w:type="dxa"/>
            <w:vAlign w:val="bottom"/>
          </w:tcPr>
          <w:p>
            <w:pPr>
              <w:spacing w:after="0"/>
              <w:rPr>
                <w:sz w:val="16"/>
                <w:szCs w:val="16"/>
                <w:color w:val="auto"/>
              </w:rPr>
            </w:pPr>
          </w:p>
        </w:tc>
        <w:tc>
          <w:tcPr>
            <w:tcW w:w="4480" w:type="dxa"/>
            <w:vAlign w:val="bottom"/>
            <w:gridSpan w:val="5"/>
          </w:tcPr>
          <w:p>
            <w:pPr>
              <w:spacing w:after="0" w:line="190" w:lineRule="exact"/>
              <w:rPr>
                <w:sz w:val="20"/>
                <w:szCs w:val="20"/>
                <w:color w:val="auto"/>
              </w:rPr>
            </w:pPr>
            <w:r>
              <w:rPr>
                <w:rFonts w:ascii="Arial" w:cs="Arial" w:eastAsia="Arial" w:hAnsi="Arial"/>
                <w:sz w:val="18"/>
                <w:szCs w:val="18"/>
                <w:color w:val="auto"/>
              </w:rPr>
              <w:t>Date Signed: May 7, 2018</w:t>
            </w:r>
          </w:p>
        </w:tc>
      </w:tr>
      <w:tr>
        <w:trPr>
          <w:trHeight w:val="20"/>
        </w:trPr>
        <w:tc>
          <w:tcPr>
            <w:tcW w:w="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6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5"/>
          </w:tcPr>
          <w:p>
            <w:pPr>
              <w:spacing w:after="0"/>
              <w:rPr>
                <w:sz w:val="20"/>
                <w:szCs w:val="20"/>
                <w:color w:val="auto"/>
              </w:rPr>
            </w:pPr>
            <w:r>
              <w:rPr>
                <w:rFonts w:ascii="Arial" w:cs="Arial" w:eastAsia="Arial" w:hAnsi="Arial"/>
                <w:sz w:val="18"/>
                <w:szCs w:val="18"/>
                <w:color w:val="auto"/>
              </w:rPr>
              <w:t>/s/ Gabi Seligsohn</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Gabi Seligsohn</w:t>
            </w: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5"/>
          </w:tcPr>
          <w:p>
            <w:pPr>
              <w:spacing w:after="0"/>
              <w:rPr>
                <w:sz w:val="20"/>
                <w:szCs w:val="20"/>
                <w:color w:val="auto"/>
              </w:rPr>
            </w:pPr>
            <w:r>
              <w:rPr>
                <w:rFonts w:ascii="Arial" w:cs="Arial" w:eastAsia="Arial" w:hAnsi="Arial"/>
                <w:sz w:val="18"/>
                <w:szCs w:val="18"/>
                <w:color w:val="auto"/>
              </w:rPr>
              <w:t>CEO</w:t>
            </w: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 xml:space="preserve">Date Signed: </w:t>
      </w:r>
      <w:r>
        <w:rPr>
          <w:rFonts w:ascii="Arial" w:cs="Arial" w:eastAsia="Arial" w:hAnsi="Arial"/>
          <w:sz w:val="18"/>
          <w:szCs w:val="18"/>
          <w:u w:val="single" w:color="auto"/>
          <w:color w:val="auto"/>
        </w:rPr>
        <w:t>May 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Exhibit 4.11.4</w:t>
      </w:r>
    </w:p>
    <w:p>
      <w:pPr>
        <w:spacing w:after="0" w:line="216" w:lineRule="exact"/>
        <w:rPr>
          <w:sz w:val="20"/>
          <w:szCs w:val="20"/>
          <w:color w:val="auto"/>
        </w:rPr>
      </w:pPr>
    </w:p>
    <w:p>
      <w:pPr>
        <w:ind w:right="80" w:firstLine="8"/>
        <w:spacing w:after="0" w:line="282" w:lineRule="auto"/>
        <w:tabs>
          <w:tab w:leader="none" w:pos="448"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identified information in this Amendment 3 to Master Purchase Agreement has been excluded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3 TO MASTER PURCHASE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Digital Ltd. (“</w:t>
      </w:r>
      <w:r>
        <w:rPr>
          <w:rFonts w:ascii="Arial" w:cs="Arial" w:eastAsia="Arial" w:hAnsi="Arial"/>
          <w:sz w:val="18"/>
          <w:szCs w:val="18"/>
          <w:u w:val="single" w:color="auto"/>
          <w:color w:val="auto"/>
        </w:rPr>
        <w:t>Supplier</w:t>
      </w:r>
      <w:r>
        <w:rPr>
          <w:rFonts w:ascii="Arial" w:cs="Arial" w:eastAsia="Arial" w:hAnsi="Arial"/>
          <w:sz w:val="18"/>
          <w:szCs w:val="18"/>
          <w:color w:val="auto"/>
        </w:rPr>
        <w:t>”) and Amazon.com Services Inc., f/k/a Amazon Corporate LLC and its affiliates (“</w:t>
      </w:r>
      <w:r>
        <w:rPr>
          <w:rFonts w:ascii="Arial" w:cs="Arial" w:eastAsia="Arial" w:hAnsi="Arial"/>
          <w:sz w:val="18"/>
          <w:szCs w:val="18"/>
          <w:u w:val="single" w:color="auto"/>
          <w:color w:val="auto"/>
        </w:rPr>
        <w:t>Amazon</w:t>
      </w:r>
      <w:r>
        <w:rPr>
          <w:rFonts w:ascii="Arial" w:cs="Arial" w:eastAsia="Arial" w:hAnsi="Arial"/>
          <w:sz w:val="18"/>
          <w:szCs w:val="18"/>
          <w:color w:val="auto"/>
        </w:rPr>
        <w:t>”) entered into a Master Purchase Agreement effective May 1, 2016 (as modified, supplemented or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Supplier and Amazon now enter into this Amendment to the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effective as of June 29, 2018. This Amendment is made a part of the Agreement. All capitalized terms not defined in this Amendment have the meanings set forth in the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jc w:val="both"/>
        <w:ind w:left="660" w:hanging="652"/>
        <w:spacing w:after="0" w:line="259"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Supplier has entered into or intends to enter into Amazon’s Vendor Terms and Conditions (“</w:t>
      </w:r>
      <w:r>
        <w:rPr>
          <w:rFonts w:ascii="Arial" w:cs="Arial" w:eastAsia="Arial" w:hAnsi="Arial"/>
          <w:sz w:val="18"/>
          <w:szCs w:val="18"/>
          <w:u w:val="single" w:color="auto"/>
          <w:color w:val="auto"/>
        </w:rPr>
        <w:t>Vendor Terms</w:t>
      </w:r>
      <w:r>
        <w:rPr>
          <w:rFonts w:ascii="Arial" w:cs="Arial" w:eastAsia="Arial" w:hAnsi="Arial"/>
          <w:sz w:val="18"/>
          <w:szCs w:val="18"/>
          <w:color w:val="auto"/>
        </w:rPr>
        <w:t>”). Supplier and Amazon intend for all procurement related to [***] by Amazon business to be governed by the Agreement, rather than by the Vendor Terms. Therefore, notwithstanding anything to the contrary in the Vendor Terms, the terms of the Agreement will apply to all Purchase Orders and Work Orders issued in accordance with the Agreement by Amazon EU SARL or Amazon Fulfillment Poland.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signature below, the duly authorized representatives of the parties agree to the terms and conditions of this Amendment.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sz w:val="20"/>
                <w:szCs w:val="20"/>
                <w:color w:val="auto"/>
              </w:rPr>
            </w:pPr>
            <w:r>
              <w:rPr>
                <w:rFonts w:ascii="Arial" w:cs="Arial" w:eastAsia="Arial" w:hAnsi="Arial"/>
                <w:sz w:val="18"/>
                <w:szCs w:val="18"/>
                <w:color w:val="auto"/>
              </w:rPr>
              <w:t>SUPPLIER:</w:t>
            </w:r>
          </w:p>
        </w:tc>
        <w:tc>
          <w:tcPr>
            <w:tcW w:w="224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PURCHASER:</w:t>
            </w: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53"/>
        </w:trPr>
        <w:tc>
          <w:tcPr>
            <w:tcW w:w="4520" w:type="dxa"/>
            <w:vAlign w:val="bottom"/>
            <w:gridSpan w:val="3"/>
          </w:tcPr>
          <w:p>
            <w:pPr>
              <w:spacing w:after="0"/>
              <w:rPr>
                <w:sz w:val="20"/>
                <w:szCs w:val="20"/>
                <w:color w:val="auto"/>
              </w:rPr>
            </w:pPr>
            <w:r>
              <w:rPr>
                <w:rFonts w:ascii="Arial" w:cs="Arial" w:eastAsia="Arial" w:hAnsi="Arial"/>
                <w:sz w:val="18"/>
                <w:szCs w:val="18"/>
                <w:color w:val="auto"/>
              </w:rPr>
              <w:t>Kornit Digital Ltd.</w:t>
            </w:r>
          </w:p>
        </w:tc>
        <w:tc>
          <w:tcPr>
            <w:tcW w:w="224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Amazon.com Services Inc.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Guy Avidan</w:t>
            </w:r>
          </w:p>
        </w:tc>
        <w:tc>
          <w:tcPr>
            <w:tcW w:w="2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Miguel Roque</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Guy Avidan</w:t>
            </w:r>
          </w:p>
        </w:tc>
        <w:tc>
          <w:tcPr>
            <w:tcW w:w="224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Miguel Roque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spacing w:after="0"/>
              <w:rPr>
                <w:sz w:val="20"/>
                <w:szCs w:val="20"/>
                <w:color w:val="auto"/>
              </w:rPr>
            </w:pPr>
            <w:r>
              <w:rPr>
                <w:rFonts w:ascii="Arial" w:cs="Arial" w:eastAsia="Arial" w:hAnsi="Arial"/>
                <w:sz w:val="18"/>
                <w:szCs w:val="18"/>
                <w:color w:val="auto"/>
              </w:rPr>
              <w:t>CFO</w:t>
            </w:r>
          </w:p>
        </w:tc>
        <w:tc>
          <w:tcPr>
            <w:tcW w:w="22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spacing w:after="0"/>
              <w:rPr>
                <w:sz w:val="20"/>
                <w:szCs w:val="20"/>
                <w:color w:val="auto"/>
              </w:rPr>
            </w:pPr>
            <w:r>
              <w:rPr>
                <w:rFonts w:ascii="Arial" w:cs="Arial" w:eastAsia="Arial" w:hAnsi="Arial"/>
                <w:sz w:val="18"/>
                <w:szCs w:val="18"/>
                <w:color w:val="auto"/>
              </w:rPr>
              <w:t>Authorized Representative</w:t>
            </w: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rPr>
              <w:t>Date Signed: August 4, 2018</w:t>
            </w:r>
          </w:p>
        </w:tc>
        <w:tc>
          <w:tcPr>
            <w:tcW w:w="224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Date Signed: August 7,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240"/>
          </w:cols>
          <w:pgMar w:left="320" w:top="112"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4.16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SERVICES AGREEMENT</w:t>
      </w:r>
    </w:p>
    <w:p>
      <w:pPr>
        <w:spacing w:after="0" w:line="225" w:lineRule="exact"/>
        <w:rPr>
          <w:sz w:val="20"/>
          <w:szCs w:val="20"/>
          <w:color w:val="auto"/>
        </w:rPr>
      </w:pPr>
    </w:p>
    <w:p>
      <w:pPr>
        <w:ind w:right="520" w:firstLine="8"/>
        <w:spacing w:after="0" w:line="282" w:lineRule="auto"/>
        <w:tabs>
          <w:tab w:leader="none" w:pos="435"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identified information in this Manufacturing Services Agreement has been excluded because it is both (i) not material, and (ii) would be competitively harmful if publicly disclosed.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Manufacturing Services Agreement (“Agreement”) is entered into on February 26, 2019 (the “Effective Date”) by and between Kornit Digital Technologies Ltd. having its place of business at 12 Ha’Amal St., Afek Park, Rosh-Ha’Ayin 4809246, Israel (“Kornit”), and Sanmina-SCI Israel Medical Systems Ltd., a company incorporated under the laws of the state of Israel whose address is 5 Haroshet St. Ma’alot Tarshiha Israel (“Sanmina”). Kornit and Sanmina are referred to collectively as the “Parties”, individually as a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WHEREAS, Sanmina is in the business of providing manufacturing services that include the custom manufacture of digital printers;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Kornit is in the business of developing and/or manufacturing the Products (as defined below); and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Kornit desires to engage Sanmina to perform certain manufacturing services as further set forth in this Agreement and in applicable agreed upon specifications to be attached or incorporated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Kornit and Sanmina hereby agree as follows:</w:t>
      </w:r>
    </w:p>
    <w:p>
      <w:pPr>
        <w:spacing w:after="0" w:line="225"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jc w:val="both"/>
        <w:ind w:left="1420" w:right="20" w:hanging="444"/>
        <w:spacing w:after="0" w:line="277" w:lineRule="auto"/>
        <w:tabs>
          <w:tab w:leader="none" w:pos="1400" w:val="left"/>
        </w:tabs>
        <w:rPr>
          <w:sz w:val="20"/>
          <w:szCs w:val="20"/>
          <w:color w:val="auto"/>
        </w:rPr>
      </w:pPr>
      <w:r>
        <w:rPr>
          <w:rFonts w:ascii="Arial" w:cs="Arial" w:eastAsia="Arial" w:hAnsi="Arial"/>
          <w:sz w:val="18"/>
          <w:szCs w:val="18"/>
          <w:color w:val="auto"/>
        </w:rPr>
        <w:t>1.1</w:t>
        <w:tab/>
        <w:t>“Approved Vendor List” will mean the list of vendors approved by Kornit to supply the Components or services listed on the Bill of Materials.</w:t>
      </w:r>
    </w:p>
    <w:p>
      <w:pPr>
        <w:spacing w:after="0" w:line="170" w:lineRule="exact"/>
        <w:rPr>
          <w:sz w:val="20"/>
          <w:szCs w:val="20"/>
          <w:color w:val="auto"/>
        </w:rPr>
      </w:pPr>
    </w:p>
    <w:p>
      <w:pPr>
        <w:jc w:val="both"/>
        <w:ind w:left="1420" w:hanging="444"/>
        <w:spacing w:after="0" w:line="277" w:lineRule="auto"/>
        <w:tabs>
          <w:tab w:leader="none" w:pos="1400" w:val="left"/>
        </w:tabs>
        <w:rPr>
          <w:sz w:val="20"/>
          <w:szCs w:val="20"/>
          <w:color w:val="auto"/>
        </w:rPr>
      </w:pPr>
      <w:r>
        <w:rPr>
          <w:rFonts w:ascii="Arial" w:cs="Arial" w:eastAsia="Arial" w:hAnsi="Arial"/>
          <w:sz w:val="18"/>
          <w:szCs w:val="18"/>
          <w:color w:val="auto"/>
        </w:rPr>
        <w:t>1.2</w:t>
        <w:tab/>
        <w:t>“Bill of Materials” (BOM) will mean a list of Components required for the manufacture, assembly, testing and packaging of each Product based on the most current Specifications. The Parties will mutually agree on each BOM.</w:t>
      </w:r>
    </w:p>
    <w:p>
      <w:pPr>
        <w:spacing w:after="0" w:line="170" w:lineRule="exact"/>
        <w:rPr>
          <w:sz w:val="20"/>
          <w:szCs w:val="20"/>
          <w:color w:val="auto"/>
        </w:rPr>
      </w:pPr>
    </w:p>
    <w:p>
      <w:pPr>
        <w:jc w:val="both"/>
        <w:ind w:left="1420" w:hanging="444"/>
        <w:spacing w:after="0" w:line="263" w:lineRule="auto"/>
        <w:tabs>
          <w:tab w:leader="none" w:pos="1400" w:val="left"/>
        </w:tabs>
        <w:rPr>
          <w:sz w:val="20"/>
          <w:szCs w:val="20"/>
          <w:color w:val="auto"/>
        </w:rPr>
      </w:pPr>
      <w:r>
        <w:rPr>
          <w:rFonts w:ascii="Arial" w:cs="Arial" w:eastAsia="Arial" w:hAnsi="Arial"/>
          <w:sz w:val="18"/>
          <w:szCs w:val="18"/>
          <w:color w:val="auto"/>
        </w:rPr>
        <w:t>1.3</w:t>
        <w:tab/>
        <w:t>“Components” will mean the parts, materials, assemblies and supplies that are used for the manufacture, assembly, testing and packaging of each Product, as stipulated in the respective Bill of Materials; each of Kornit and Sanmina may supply Components as defined herein, if so indicated in the Bill of Materials.</w:t>
      </w:r>
    </w:p>
    <w:p>
      <w:pPr>
        <w:spacing w:after="0" w:line="184"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“Consigned Tooling and Equipment” shall have the meaning set forth in Section B.2 below.</w:t>
      </w:r>
    </w:p>
    <w:p>
      <w:pPr>
        <w:spacing w:after="0" w:line="225"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“Confidential Information” shall have the meaning set forth in Section 27.1 below.</w:t>
      </w:r>
    </w:p>
    <w:p>
      <w:pPr>
        <w:spacing w:after="0" w:line="225"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“Cost” will mean the agreed cost of Components represented on the BOM current at the time such Components are acquired.</w:t>
      </w:r>
    </w:p>
    <w:p>
      <w:pPr>
        <w:spacing w:after="0" w:line="225"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“Damages” shall have the meaning set forth in Section 20.1 below.</w:t>
      </w:r>
    </w:p>
    <w:p>
      <w:pPr>
        <w:spacing w:after="0" w:line="225" w:lineRule="exact"/>
        <w:rPr>
          <w:sz w:val="20"/>
          <w:szCs w:val="20"/>
          <w:color w:val="auto"/>
        </w:rPr>
      </w:pPr>
    </w:p>
    <w:p>
      <w:pPr>
        <w:jc w:val="both"/>
        <w:ind w:left="1420" w:hanging="444"/>
        <w:spacing w:after="0" w:line="277" w:lineRule="auto"/>
        <w:tabs>
          <w:tab w:leader="none" w:pos="1400" w:val="left"/>
        </w:tabs>
        <w:rPr>
          <w:sz w:val="20"/>
          <w:szCs w:val="20"/>
          <w:color w:val="auto"/>
        </w:rPr>
      </w:pPr>
      <w:r>
        <w:rPr>
          <w:rFonts w:ascii="Arial" w:cs="Arial" w:eastAsia="Arial" w:hAnsi="Arial"/>
          <w:sz w:val="18"/>
          <w:szCs w:val="18"/>
          <w:color w:val="auto"/>
        </w:rPr>
        <w:t>1.8</w:t>
        <w:tab/>
        <w:t>“Days” will mean calendar days, which unless otherwise specified, include Saturdays and Sundays. “Business Days” do not include Friday, Saturdays or Israeli recognized holidays.</w:t>
      </w:r>
    </w:p>
    <w:p>
      <w:pPr>
        <w:spacing w:after="0" w:line="170" w:lineRule="exact"/>
        <w:rPr>
          <w:sz w:val="20"/>
          <w:szCs w:val="20"/>
          <w:color w:val="auto"/>
        </w:rPr>
      </w:pPr>
    </w:p>
    <w:p>
      <w:pPr>
        <w:jc w:val="both"/>
        <w:ind w:left="1420" w:hanging="444"/>
        <w:spacing w:after="0" w:line="277" w:lineRule="auto"/>
        <w:tabs>
          <w:tab w:leader="none" w:pos="1400" w:val="left"/>
        </w:tabs>
        <w:rPr>
          <w:sz w:val="20"/>
          <w:szCs w:val="20"/>
          <w:color w:val="auto"/>
        </w:rPr>
      </w:pPr>
      <w:r>
        <w:rPr>
          <w:rFonts w:ascii="Arial" w:cs="Arial" w:eastAsia="Arial" w:hAnsi="Arial"/>
          <w:sz w:val="18"/>
          <w:szCs w:val="18"/>
          <w:color w:val="auto"/>
        </w:rPr>
        <w:t>1.9</w:t>
        <w:tab/>
        <w:t>“Delivery Date” will mean such date which shall be no longer than the Lead Time of the Products or as mutually agreed upon in writing between the Parties.</w:t>
      </w:r>
    </w:p>
    <w:p>
      <w:pPr>
        <w:spacing w:after="0" w:line="170" w:lineRule="exact"/>
        <w:rPr>
          <w:sz w:val="20"/>
          <w:szCs w:val="20"/>
          <w:color w:val="auto"/>
        </w:rPr>
      </w:pPr>
    </w:p>
    <w:p>
      <w:pPr>
        <w:jc w:val="both"/>
        <w:ind w:left="1420" w:right="20" w:hanging="444"/>
        <w:spacing w:after="0" w:line="277" w:lineRule="auto"/>
        <w:rPr>
          <w:sz w:val="20"/>
          <w:szCs w:val="20"/>
          <w:color w:val="auto"/>
        </w:rPr>
      </w:pPr>
      <w:r>
        <w:rPr>
          <w:rFonts w:ascii="Arial" w:cs="Arial" w:eastAsia="Arial" w:hAnsi="Arial"/>
          <w:sz w:val="18"/>
          <w:szCs w:val="18"/>
          <w:color w:val="auto"/>
        </w:rPr>
        <w:t>1.10 “Economic Order Inventory” will mean Components purchased in quantities above the required amount for Purchase Orders, as applicable, in order to achieve price targets for such Components.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“Engineering Change Order” (ECO) will mean the document that details a change in the Specifications and/or the Product.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  “Environmental Regulations” will mean any applicable hazardous substance content laws and regulations.</w:t>
      </w:r>
    </w:p>
    <w:p>
      <w:pPr>
        <w:spacing w:after="0" w:line="225" w:lineRule="exact"/>
        <w:rPr>
          <w:sz w:val="20"/>
          <w:szCs w:val="20"/>
          <w:color w:val="auto"/>
        </w:rPr>
      </w:pPr>
    </w:p>
    <w:p>
      <w:pPr>
        <w:jc w:val="both"/>
        <w:ind w:left="1420" w:right="20" w:hanging="444"/>
        <w:spacing w:after="0" w:line="277" w:lineRule="auto"/>
        <w:rPr>
          <w:sz w:val="20"/>
          <w:szCs w:val="20"/>
          <w:color w:val="auto"/>
        </w:rPr>
      </w:pPr>
      <w:r>
        <w:rPr>
          <w:rFonts w:ascii="Arial" w:cs="Arial" w:eastAsia="Arial" w:hAnsi="Arial"/>
          <w:sz w:val="18"/>
          <w:szCs w:val="18"/>
          <w:color w:val="auto"/>
        </w:rPr>
        <w:t>1.13 “Excess Inventory” will mean either of any Product, partially completed Product, Inventory or Special Inventory, or some or both, owned by Sanmina that have no demand for Products under the then-current Purchase Order(s) or forecast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3" w:name="page174"/>
    <w:bookmarkEnd w:id="173"/>
    <w:p>
      <w:pPr>
        <w:jc w:val="both"/>
        <w:ind w:left="1420" w:hanging="444"/>
        <w:spacing w:after="0" w:line="272" w:lineRule="auto"/>
        <w:rPr>
          <w:sz w:val="20"/>
          <w:szCs w:val="20"/>
          <w:color w:val="auto"/>
        </w:rPr>
      </w:pPr>
      <w:r>
        <w:rPr>
          <w:rFonts w:ascii="Arial" w:cs="Arial" w:eastAsia="Arial" w:hAnsi="Arial"/>
          <w:sz w:val="17"/>
          <w:szCs w:val="17"/>
          <w:color w:val="auto"/>
        </w:rPr>
        <w:t>1.14 “Intellectual Property Rights” will mean any and all intellectual property rights worldwide arising under statutory law, common law or by contract and whether or not perfected, including without limitation: (i) trade dress, trademark, and service mark rights; (ii) patents, patent applications and patent rights; (iii) rights associated with works or authorship including copyrights, copyright applications, copyright registrations, mask works rights, mask work applications, mask work registrations; (iv) rights relating to trade secrets and confidential information; (v) any rights analogous to those set forth in this section and any other proprietary rights relating to intellectual property; and (vi) divisional, continuations, renewals, reissues and extension of the foregoing (as and to the extent applicable) now existing, hereafter filed, used or acquired, and whether registered or unregistered.</w:t>
      </w:r>
    </w:p>
    <w:p>
      <w:pPr>
        <w:spacing w:after="0" w:line="177" w:lineRule="exact"/>
        <w:rPr>
          <w:sz w:val="20"/>
          <w:szCs w:val="20"/>
          <w:color w:val="auto"/>
        </w:rPr>
      </w:pPr>
    </w:p>
    <w:p>
      <w:pPr>
        <w:jc w:val="both"/>
        <w:ind w:left="1420" w:right="20" w:hanging="444"/>
        <w:spacing w:after="0" w:line="277" w:lineRule="auto"/>
        <w:rPr>
          <w:sz w:val="20"/>
          <w:szCs w:val="20"/>
          <w:color w:val="auto"/>
        </w:rPr>
      </w:pPr>
      <w:r>
        <w:rPr>
          <w:rFonts w:ascii="Arial" w:cs="Arial" w:eastAsia="Arial" w:hAnsi="Arial"/>
          <w:sz w:val="18"/>
          <w:szCs w:val="18"/>
          <w:color w:val="auto"/>
        </w:rPr>
        <w:t>1.15 “Inventory” will mean any Components that are procured by or on-order with Sanmina in accordance with the terms of this Agreement for use in the manufacture of Products, pursuant to a Purchase Order.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1.16  “Lead Time” shall have the meaning set forth in Section 10.l below.</w:t>
      </w:r>
    </w:p>
    <w:p>
      <w:pPr>
        <w:spacing w:after="0" w:line="225" w:lineRule="exact"/>
        <w:rPr>
          <w:sz w:val="20"/>
          <w:szCs w:val="20"/>
          <w:color w:val="auto"/>
        </w:rPr>
      </w:pPr>
    </w:p>
    <w:p>
      <w:pPr>
        <w:jc w:val="both"/>
        <w:ind w:left="1420" w:right="20" w:hanging="444"/>
        <w:spacing w:after="0" w:line="277" w:lineRule="auto"/>
        <w:rPr>
          <w:sz w:val="20"/>
          <w:szCs w:val="20"/>
          <w:color w:val="auto"/>
        </w:rPr>
      </w:pPr>
      <w:r>
        <w:rPr>
          <w:rFonts w:ascii="Arial" w:cs="Arial" w:eastAsia="Arial" w:hAnsi="Arial"/>
          <w:sz w:val="18"/>
          <w:szCs w:val="18"/>
          <w:color w:val="auto"/>
        </w:rPr>
        <w:t>1.17 “Minimum Order Quantity” will mean Components purchased in excess of requirements for Purchase Orders, as applicable, because of minimum lot sizes required by the vendor.</w:t>
      </w:r>
    </w:p>
    <w:p>
      <w:pPr>
        <w:spacing w:after="0" w:line="170" w:lineRule="exact"/>
        <w:rPr>
          <w:sz w:val="20"/>
          <w:szCs w:val="20"/>
          <w:color w:val="auto"/>
        </w:rPr>
      </w:pPr>
    </w:p>
    <w:p>
      <w:pPr>
        <w:jc w:val="both"/>
        <w:ind w:left="1420" w:hanging="444"/>
        <w:spacing w:after="0" w:line="263" w:lineRule="auto"/>
        <w:rPr>
          <w:sz w:val="20"/>
          <w:szCs w:val="20"/>
          <w:color w:val="auto"/>
        </w:rPr>
      </w:pPr>
      <w:r>
        <w:rPr>
          <w:rFonts w:ascii="Arial" w:cs="Arial" w:eastAsia="Arial" w:hAnsi="Arial"/>
          <w:sz w:val="18"/>
          <w:szCs w:val="18"/>
          <w:color w:val="auto"/>
        </w:rPr>
        <w:t>1.18 “Obsolete Inventory” will mean either of any Product, partially completed Product, Inventory or Special Inventory, or some or all that is any of the following: (a) removed from the BOM for a Product by an engineering change; or (b) no longer on an active BOM for any of Kornit’s Products.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1.19  “Overseas Services” shall have the meaning set forth in Section 3.3 below.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1.20  “Overseas Site” shall mean Sanmina affiliate’s site any site of a Sanmina affiliate worldwide, as mutually agreed between the Parties.</w:t>
      </w:r>
    </w:p>
    <w:p>
      <w:pPr>
        <w:spacing w:after="0" w:line="248" w:lineRule="exact"/>
        <w:rPr>
          <w:sz w:val="20"/>
          <w:szCs w:val="20"/>
          <w:color w:val="auto"/>
        </w:rPr>
      </w:pPr>
    </w:p>
    <w:p>
      <w:pPr>
        <w:jc w:val="both"/>
        <w:ind w:left="1420" w:hanging="444"/>
        <w:spacing w:after="0" w:line="277" w:lineRule="auto"/>
        <w:rPr>
          <w:sz w:val="20"/>
          <w:szCs w:val="20"/>
          <w:color w:val="auto"/>
        </w:rPr>
      </w:pPr>
      <w:r>
        <w:rPr>
          <w:rFonts w:ascii="Arial" w:cs="Arial" w:eastAsia="Arial" w:hAnsi="Arial"/>
          <w:sz w:val="18"/>
          <w:szCs w:val="18"/>
          <w:color w:val="auto"/>
        </w:rPr>
        <w:t>1.21 “Product(s)” will mean digital printing systems known as “Avalanche 1000R” and “Storm Hexa” or any other product as shall be mutually agreed by the Parties in writing.</w:t>
      </w:r>
    </w:p>
    <w:p>
      <w:pPr>
        <w:spacing w:after="0" w:line="170" w:lineRule="exact"/>
        <w:rPr>
          <w:sz w:val="20"/>
          <w:szCs w:val="20"/>
          <w:color w:val="auto"/>
        </w:rPr>
      </w:pPr>
    </w:p>
    <w:p>
      <w:pPr>
        <w:jc w:val="both"/>
        <w:ind w:left="1420" w:hanging="444"/>
        <w:spacing w:after="0" w:line="259" w:lineRule="auto"/>
        <w:rPr>
          <w:sz w:val="20"/>
          <w:szCs w:val="20"/>
          <w:color w:val="auto"/>
        </w:rPr>
      </w:pPr>
      <w:r>
        <w:rPr>
          <w:rFonts w:ascii="Arial" w:cs="Arial" w:eastAsia="Arial" w:hAnsi="Arial"/>
          <w:sz w:val="18"/>
          <w:szCs w:val="18"/>
          <w:color w:val="auto"/>
        </w:rPr>
        <w:t xml:space="preserve">1.22 “Product Specification” or “Specifications” will mean the written specifications provided by Kornit to Sanmina and accepted by Sanmina for the manufacture, assemble and testing of a Product including, without limitation, the current revision number, Approved Vendor List (AVL), Bill of Materials (BOM), manufacturing procedures, schematics, testing procedures, drawings and documentation, attached hereto as </w:t>
      </w:r>
      <w:r>
        <w:rPr>
          <w:rFonts w:ascii="Arial" w:cs="Arial" w:eastAsia="Arial" w:hAnsi="Arial"/>
          <w:sz w:val="18"/>
          <w:szCs w:val="18"/>
          <w:u w:val="single" w:color="auto"/>
          <w:color w:val="auto"/>
        </w:rPr>
        <w:t>Exhibit D.</w:t>
      </w:r>
    </w:p>
    <w:p>
      <w:pPr>
        <w:spacing w:after="0" w:line="187" w:lineRule="exact"/>
        <w:rPr>
          <w:sz w:val="20"/>
          <w:szCs w:val="20"/>
          <w:color w:val="auto"/>
        </w:rPr>
      </w:pPr>
    </w:p>
    <w:p>
      <w:pPr>
        <w:jc w:val="both"/>
        <w:ind w:left="1420" w:hanging="444"/>
        <w:spacing w:after="0" w:line="263" w:lineRule="auto"/>
        <w:rPr>
          <w:sz w:val="20"/>
          <w:szCs w:val="20"/>
          <w:color w:val="auto"/>
        </w:rPr>
      </w:pPr>
      <w:r>
        <w:rPr>
          <w:rFonts w:ascii="Arial" w:cs="Arial" w:eastAsia="Arial" w:hAnsi="Arial"/>
          <w:sz w:val="18"/>
          <w:szCs w:val="18"/>
          <w:color w:val="auto"/>
        </w:rPr>
        <w:t>1.23 “Purchase Order” will mean purchase orders for the Products issued by Kornit and accepted by Sanmina in accordance with the terms of this Agreement. The terms of this Agreement will control over printed terms on any Purchase Order, quotation, acknowledgement, confirmation or invoice.</w:t>
      </w:r>
    </w:p>
    <w:p>
      <w:pPr>
        <w:spacing w:after="0" w:line="184" w:lineRule="exact"/>
        <w:rPr>
          <w:sz w:val="20"/>
          <w:szCs w:val="20"/>
          <w:color w:val="auto"/>
        </w:rPr>
      </w:pPr>
    </w:p>
    <w:p>
      <w:pPr>
        <w:jc w:val="both"/>
        <w:ind w:left="1420" w:hanging="444"/>
        <w:spacing w:after="0" w:line="308" w:lineRule="auto"/>
        <w:rPr>
          <w:sz w:val="20"/>
          <w:szCs w:val="20"/>
          <w:color w:val="auto"/>
        </w:rPr>
      </w:pPr>
      <w:r>
        <w:rPr>
          <w:rFonts w:ascii="Arial" w:cs="Arial" w:eastAsia="Arial" w:hAnsi="Arial"/>
          <w:sz w:val="17"/>
          <w:szCs w:val="17"/>
          <w:color w:val="auto"/>
        </w:rPr>
        <w:t>1.24 “Special Inventory” will mean any mutually-agreed Minimum Order Quantity, Economic Order Inventory, safety stock and other Inventory acquired by Sanmina in excess of requirements for Purchase Orders to support flexibility or demand requirements.</w:t>
      </w:r>
    </w:p>
    <w:p>
      <w:pPr>
        <w:spacing w:after="0" w:line="146"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u w:val="single" w:color="auto"/>
          <w:color w:val="auto"/>
        </w:rPr>
        <w:t>Personnel</w:t>
      </w:r>
    </w:p>
    <w:p>
      <w:pPr>
        <w:spacing w:after="0" w:line="225" w:lineRule="exact"/>
        <w:rPr>
          <w:sz w:val="20"/>
          <w:szCs w:val="20"/>
          <w:color w:val="auto"/>
        </w:rPr>
      </w:pPr>
    </w:p>
    <w:p>
      <w:pPr>
        <w:jc w:val="both"/>
        <w:ind w:left="1420" w:hanging="444"/>
        <w:spacing w:after="0" w:line="275" w:lineRule="auto"/>
        <w:tabs>
          <w:tab w:leader="none" w:pos="1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Each Party will appoint a program manager as the program liaison with the other Party in connection with the initial coordination and implementation of the manufacture of the Products, which will also deal with ongoing support issues thereafter. The Parties agree to conduct periodic technical reviews and business reviews. The technical reviews will include, but will not be limited to, product performance, testing, project schedule and product costs. The business reviews will include, but will not be limited to, quality, delivery, flexibility, service and price. The program managers will coordinate these reviews.</w:t>
      </w:r>
    </w:p>
    <w:p>
      <w:pPr>
        <w:spacing w:after="0" w:line="176" w:lineRule="exact"/>
        <w:rPr>
          <w:sz w:val="20"/>
          <w:szCs w:val="20"/>
          <w:color w:val="auto"/>
        </w:rPr>
      </w:pPr>
    </w:p>
    <w:p>
      <w:pPr>
        <w:jc w:val="both"/>
        <w:ind w:left="1420" w:hanging="444"/>
        <w:spacing w:after="0" w:line="277" w:lineRule="auto"/>
        <w:tabs>
          <w:tab w:leader="none" w:pos="1400" w:val="left"/>
        </w:tabs>
        <w:rPr>
          <w:sz w:val="20"/>
          <w:szCs w:val="20"/>
          <w:color w:val="auto"/>
        </w:rPr>
      </w:pPr>
      <w:r>
        <w:rPr>
          <w:rFonts w:ascii="Arial" w:cs="Arial" w:eastAsia="Arial" w:hAnsi="Arial"/>
          <w:sz w:val="18"/>
          <w:szCs w:val="18"/>
          <w:color w:val="auto"/>
        </w:rPr>
        <w:t>2.2</w:t>
        <w:tab/>
        <w:t>Sanmina will provide a list of program team members representing the functions listed below. The list will include name, title, phone number and email address.</w:t>
      </w:r>
    </w:p>
    <w:p>
      <w:pPr>
        <w:spacing w:after="0" w:line="170" w:lineRule="exact"/>
        <w:rPr>
          <w:sz w:val="20"/>
          <w:szCs w:val="20"/>
          <w:color w:val="auto"/>
        </w:rPr>
      </w:pPr>
    </w:p>
    <w:p>
      <w:pPr>
        <w:jc w:val="both"/>
        <w:ind w:left="1420" w:hanging="444"/>
        <w:spacing w:after="0" w:line="263" w:lineRule="auto"/>
        <w:tabs>
          <w:tab w:leader="none" w:pos="1400" w:val="left"/>
        </w:tabs>
        <w:rPr>
          <w:sz w:val="20"/>
          <w:szCs w:val="20"/>
          <w:color w:val="auto"/>
        </w:rPr>
      </w:pPr>
      <w:r>
        <w:rPr>
          <w:rFonts w:ascii="Arial" w:cs="Arial" w:eastAsia="Arial" w:hAnsi="Arial"/>
          <w:sz w:val="18"/>
          <w:szCs w:val="18"/>
          <w:color w:val="auto"/>
        </w:rPr>
        <w:t>2.3</w:t>
        <w:tab/>
        <w:t>Each of Sanmina’s personnel that will be engaged in the performance of services hereunder will have the proper skills, training and professional background to perform such services. In addition, such personnel shall be bound by obligations of confidentiality consistent with Sanmina’s obligations under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ind w:left="340" w:hanging="332"/>
        <w:spacing w:after="0"/>
        <w:tabs>
          <w:tab w:leader="none" w:pos="340" w:val="left"/>
        </w:tabs>
        <w:numPr>
          <w:ilvl w:val="0"/>
          <w:numId w:val="136"/>
        </w:numPr>
        <w:rPr>
          <w:rFonts w:ascii="Arial" w:cs="Arial" w:eastAsia="Arial" w:hAnsi="Arial"/>
          <w:sz w:val="18"/>
          <w:szCs w:val="18"/>
          <w:b w:val="1"/>
          <w:bCs w:val="1"/>
          <w:color w:val="auto"/>
        </w:rPr>
      </w:pPr>
      <w:r>
        <w:rPr>
          <w:rFonts w:ascii="Arial" w:cs="Arial" w:eastAsia="Arial" w:hAnsi="Arial"/>
          <w:sz w:val="18"/>
          <w:szCs w:val="18"/>
          <w:u w:val="single" w:color="auto"/>
          <w:color w:val="auto"/>
        </w:rPr>
        <w:t>Manufacture of Products</w:t>
      </w:r>
    </w:p>
    <w:p>
      <w:pPr>
        <w:spacing w:after="0" w:line="225" w:lineRule="exact"/>
        <w:rPr>
          <w:sz w:val="20"/>
          <w:szCs w:val="20"/>
          <w:color w:val="auto"/>
        </w:rPr>
      </w:pPr>
    </w:p>
    <w:p>
      <w:pPr>
        <w:jc w:val="both"/>
        <w:ind w:left="1420" w:hanging="444"/>
        <w:spacing w:after="0" w:line="279" w:lineRule="auto"/>
        <w:tabs>
          <w:tab w:leader="none" w:pos="1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During the term of this Agreement, Sanmina will manufacture, assemble and test the Products in accordance with the Specifications and pursuant to the respective Purchase Orders that have been accepted by Sanmina. Sanmina will maintain manufacturing and test records in accordance with Sanmina’s records retention policy. Unless specifically agreed otherwise in writing between the Parties, in case of any conflict between the Specifications and this Agreement, the Specifications shall prevail.</w:t>
      </w:r>
    </w:p>
    <w:p>
      <w:pPr>
        <w:spacing w:after="0" w:line="171" w:lineRule="exact"/>
        <w:rPr>
          <w:sz w:val="20"/>
          <w:szCs w:val="20"/>
          <w:color w:val="auto"/>
        </w:rPr>
      </w:pPr>
    </w:p>
    <w:p>
      <w:pPr>
        <w:jc w:val="both"/>
        <w:ind w:left="1420" w:hanging="444"/>
        <w:spacing w:after="0" w:line="296" w:lineRule="auto"/>
        <w:tabs>
          <w:tab w:leader="none" w:pos="1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 xml:space="preserve">Kornit and Sanmina agree to work on a “full turnkey basis”. This means that Sanmina will purchase all Components pursuant to Purchase Orders and provide standard production equipment that is not Product-specific (e.g., production desks, lifting stages, storage equipment etc.), as necessary to fulfill such Purchase Orders. However, Kornit may supply certain tooling and equipment that are unique to Kornit Products and such tooling and equipment will be detailed in </w:t>
      </w:r>
      <w:r>
        <w:rPr>
          <w:rFonts w:ascii="Arial" w:cs="Arial" w:eastAsia="Arial" w:hAnsi="Arial"/>
          <w:sz w:val="16"/>
          <w:szCs w:val="16"/>
          <w:u w:val="single" w:color="auto"/>
          <w:color w:val="auto"/>
        </w:rPr>
        <w:t>Exhibit B</w:t>
      </w:r>
      <w:r>
        <w:rPr>
          <w:rFonts w:ascii="Arial" w:cs="Arial" w:eastAsia="Arial" w:hAnsi="Arial"/>
          <w:sz w:val="16"/>
          <w:szCs w:val="16"/>
          <w:color w:val="auto"/>
        </w:rPr>
        <w:t>. as may be amended by the parties from time to time (the “Consigned Tooling and Equipment”). Sanmina shall not be required to pay for such Consigned Tooling and Equipment.</w:t>
      </w:r>
    </w:p>
    <w:p>
      <w:pPr>
        <w:spacing w:after="0" w:line="161"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Sanmina will buy with firm Purchase Orders the Outside Plant Products (“OSP”) parts.</w:t>
      </w:r>
    </w:p>
    <w:p>
      <w:pPr>
        <w:spacing w:after="0" w:line="225" w:lineRule="exact"/>
        <w:rPr>
          <w:sz w:val="20"/>
          <w:szCs w:val="20"/>
          <w:color w:val="auto"/>
        </w:rPr>
      </w:pPr>
    </w:p>
    <w:p>
      <w:pPr>
        <w:jc w:val="both"/>
        <w:ind w:left="1420" w:hanging="444"/>
        <w:spacing w:after="0" w:line="263" w:lineRule="auto"/>
        <w:tabs>
          <w:tab w:leader="none" w:pos="1400" w:val="left"/>
        </w:tabs>
        <w:rPr>
          <w:sz w:val="20"/>
          <w:szCs w:val="20"/>
          <w:color w:val="auto"/>
        </w:rPr>
      </w:pPr>
      <w:r>
        <w:rPr>
          <w:rFonts w:ascii="Arial" w:cs="Arial" w:eastAsia="Arial" w:hAnsi="Arial"/>
          <w:sz w:val="18"/>
          <w:szCs w:val="18"/>
          <w:color w:val="auto"/>
        </w:rPr>
        <w:t>3.4</w:t>
        <w:tab/>
        <w:t>Kornit may request Sanmina to maintain a safety stock of Components and/or Products in order to increase flexibility in the manufacturing and ordering process. Kornit and Sanmina will agree upon a list of items for such safety stock and terms of handling or charges, that will be reviewed on a quarterly basis.</w:t>
      </w:r>
    </w:p>
    <w:p>
      <w:pPr>
        <w:spacing w:after="0" w:line="184" w:lineRule="exact"/>
        <w:rPr>
          <w:sz w:val="20"/>
          <w:szCs w:val="20"/>
          <w:color w:val="auto"/>
        </w:rPr>
      </w:pPr>
    </w:p>
    <w:p>
      <w:pPr>
        <w:jc w:val="both"/>
        <w:ind w:left="1420" w:hanging="444"/>
        <w:spacing w:after="0" w:line="293" w:lineRule="auto"/>
        <w:tabs>
          <w:tab w:leader="none" w:pos="1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Korn it may request at any time that certain type and quantity of Products (whether covered under an open Purchase Order or under a new purchase order issued by Kornit for that purpose) will be assembled and packed outside Israel, at an Overseas Site (the “Overseas Services”) and Sanmina shall accept such request subject to the provisions of Section 9.2 below. In order to provide the Overseas Services Sanmina will ship all required Components and will send sufficient number of personnel from Sanmina site in Ma’alot to the Overseas Site. Kornit shall be liable, subject to its prior written consent, for all costs associated with the performance of the Overseas Services, including without limitation, [***], all in accordance with Sanmina’s then current quotation for the Overseas Services.</w:t>
      </w:r>
    </w:p>
    <w:p>
      <w:pPr>
        <w:spacing w:after="0" w:line="164"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u w:val="single" w:color="auto"/>
          <w:color w:val="auto"/>
        </w:rPr>
        <w:t>Procurement of Components; Inventory Management</w:t>
      </w:r>
    </w:p>
    <w:p>
      <w:pPr>
        <w:spacing w:after="0" w:line="225" w:lineRule="exact"/>
        <w:rPr>
          <w:sz w:val="20"/>
          <w:szCs w:val="20"/>
          <w:color w:val="auto"/>
        </w:rPr>
      </w:pPr>
    </w:p>
    <w:p>
      <w:pPr>
        <w:jc w:val="both"/>
        <w:ind w:left="1420" w:hanging="444"/>
        <w:spacing w:after="0" w:line="283" w:lineRule="auto"/>
        <w:tabs>
          <w:tab w:leader="none" w:pos="1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Authorization to Procure Components. Each Purchase Order or Forecast, solely with respect to Long Lead-time Components (as detailed in Section 9) shall constitute an authorization for Sanmina to procure all Components required for the manufacture of the Products covered by such Purchase Orders, based on the applicable lead times of such Components and in accordance with Sanmina’s standard material ordering policies,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(“Policies”). Kornit hereby agrees to be financially responsible for all Components ordered in accordance with the Policies pursuant to any Purchased Order and any binding portion of the Forecasts provided by Kornit. In addition, subject to Kornit’s prior written approval, Sanmina will be entitled to procure Special Inventory required to support Kornit’s Purchase Orders. Notwithstanding the provisions of the Policies the following shall apply: (i) Sanmina shall make purchase commitments only based on Purchase Orders and not based on Forecasts, excluding as set forth in Section 9; (ii) the payment terms set forth in Section E(viii)b of the Policies shall not apply but rather the payment terms set forth in Section 7; and</w:t>
      </w:r>
    </w:p>
    <w:p>
      <w:pPr>
        <w:spacing w:after="0" w:line="6" w:lineRule="exact"/>
        <w:rPr>
          <w:sz w:val="20"/>
          <w:szCs w:val="20"/>
          <w:color w:val="auto"/>
        </w:rPr>
      </w:pPr>
    </w:p>
    <w:p>
      <w:pPr>
        <w:jc w:val="both"/>
        <w:ind w:left="1420" w:firstLine="5"/>
        <w:spacing w:after="0" w:line="270" w:lineRule="auto"/>
        <w:tabs>
          <w:tab w:leader="none" w:pos="173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Section F of the Policies shall be amended such that the end of the sentence will be deleted (“provided, however, that Sanmina shall not be obligated to attempt to return to Vendor Components which are, in the aggregate, worth less than [***]. To the extent Sanmina actually receives from a vendor of Components or services the benefit arising from said vendor’s warranty obligations related to its Components or services and to the extent such benefit is transferrable, Sanmina shall transfer such benefit to Kornit (without any actual liability for such vendor’s warranty obligations). In the event of a conflict between the provisions of Exhibit G and the provisions of this Agreement, the provisions of this Agreement will prevail.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jc w:val="both"/>
        <w:ind w:left="1420" w:hanging="444"/>
        <w:spacing w:after="0" w:line="270" w:lineRule="auto"/>
        <w:tabs>
          <w:tab w:leader="none" w:pos="1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Kornit Approved Vendors; AVL. Sanmina will procure Components only from Kornit Approved Vendor List and in case Sanmina is listed on the AVL as the approved vendor for a certain Component, then such Component will be supplied by Sanmina. Kornit will provide Sanmina with ail AVL for each BOM item of a Product to be manufactured. Once Kornit advises Sanmina of its selected vendors, Sanmina may not change to other vendors without Kornit’s advance written approval. In no event shall Sanmina change to a vendor that does not appear on the relevant AVL without Kornit’s express prior written consent (in Kornit’s sole discretion). Any changes to the AVL by Kornit should be coordinated sufficient time in advance with Sanmina so as to minimize any adverse impact on Sanmina ability to provide the services hereunder in an efficient and competitive manner. Unless otherwise agreed, such change may be effective only with respect to Purchase Orders issued and accepted after such change is introduced and shall not apply to Components ordered prior thereto in accordance with the terms hereof,</w:t>
      </w:r>
    </w:p>
    <w:p>
      <w:pPr>
        <w:spacing w:after="0" w:line="181" w:lineRule="exact"/>
        <w:rPr>
          <w:sz w:val="20"/>
          <w:szCs w:val="20"/>
          <w:color w:val="auto"/>
        </w:rPr>
      </w:pPr>
    </w:p>
    <w:p>
      <w:pPr>
        <w:jc w:val="both"/>
        <w:ind w:left="1420" w:hanging="444"/>
        <w:spacing w:after="0" w:line="263" w:lineRule="auto"/>
        <w:tabs>
          <w:tab w:leader="none" w:pos="1400" w:val="left"/>
        </w:tabs>
        <w:rPr>
          <w:sz w:val="20"/>
          <w:szCs w:val="20"/>
          <w:color w:val="auto"/>
        </w:rPr>
      </w:pPr>
      <w:r>
        <w:rPr>
          <w:rFonts w:ascii="Arial" w:cs="Arial" w:eastAsia="Arial" w:hAnsi="Arial"/>
          <w:sz w:val="18"/>
          <w:szCs w:val="18"/>
          <w:color w:val="auto"/>
        </w:rPr>
        <w:t>4.3</w:t>
        <w:tab/>
        <w:t>Inventory Management. Without derogating from the other provisions of this Agreement, Sanmina shall manage its Inventory on a first-in-first-out (FIFO) basis. Any Minimum Order Quantity will be pre-approved once in a quarter based on a specific list in writing by Kornit so that the parties can reduce dead stock.</w:t>
      </w:r>
    </w:p>
    <w:p>
      <w:pPr>
        <w:spacing w:after="0" w:line="184" w:lineRule="exact"/>
        <w:rPr>
          <w:sz w:val="20"/>
          <w:szCs w:val="20"/>
          <w:color w:val="auto"/>
        </w:rPr>
      </w:pPr>
    </w:p>
    <w:p>
      <w:pPr>
        <w:jc w:val="both"/>
        <w:ind w:left="1420" w:hanging="444"/>
        <w:spacing w:after="0" w:line="259" w:lineRule="auto"/>
        <w:tabs>
          <w:tab w:leader="none" w:pos="1400" w:val="left"/>
        </w:tabs>
        <w:rPr>
          <w:sz w:val="20"/>
          <w:szCs w:val="20"/>
          <w:color w:val="auto"/>
        </w:rPr>
      </w:pPr>
      <w:r>
        <w:rPr>
          <w:rFonts w:ascii="Arial" w:cs="Arial" w:eastAsia="Arial" w:hAnsi="Arial"/>
          <w:sz w:val="18"/>
          <w:szCs w:val="18"/>
          <w:color w:val="auto"/>
        </w:rPr>
        <w:t>4.4</w:t>
        <w:tab/>
        <w:t>Reports. Sanmina shall provide to Kornit, within seven (7) Business Days of Kornit’s request, copies of electronic or written reports on current Inventory, in a standard form available at Sanmina’s systems. In addition, after a Product is packed, Sanmina shall insert data to Kornit ERP system (the “Priority” system), including serial numbers for parts that Kornit will define, pictures according to the assembly procedure’s requirements and book machine.</w:t>
      </w:r>
    </w:p>
    <w:p>
      <w:pPr>
        <w:spacing w:after="0" w:line="187"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u w:val="single" w:color="auto"/>
          <w:color w:val="auto"/>
        </w:rPr>
        <w:t>Quality</w:t>
      </w:r>
    </w:p>
    <w:p>
      <w:pPr>
        <w:spacing w:after="0" w:line="225" w:lineRule="exact"/>
        <w:rPr>
          <w:sz w:val="20"/>
          <w:szCs w:val="20"/>
          <w:color w:val="auto"/>
        </w:rPr>
      </w:pPr>
    </w:p>
    <w:p>
      <w:pPr>
        <w:ind w:left="1420" w:right="20" w:hanging="444"/>
        <w:spacing w:after="0" w:line="277" w:lineRule="auto"/>
        <w:tabs>
          <w:tab w:leader="none" w:pos="1400" w:val="left"/>
        </w:tabs>
        <w:rPr>
          <w:sz w:val="20"/>
          <w:szCs w:val="20"/>
          <w:color w:val="auto"/>
        </w:rPr>
      </w:pPr>
      <w:r>
        <w:rPr>
          <w:rFonts w:ascii="Arial" w:cs="Arial" w:eastAsia="Arial" w:hAnsi="Arial"/>
          <w:sz w:val="18"/>
          <w:szCs w:val="18"/>
          <w:color w:val="auto"/>
        </w:rPr>
        <w:t>5.1</w:t>
        <w:tab/>
        <w:t xml:space="preserve">Kornit’s standard Quality Agreement is attached hereto as </w:t>
      </w:r>
      <w:r>
        <w:rPr>
          <w:rFonts w:ascii="Arial" w:cs="Arial" w:eastAsia="Arial" w:hAnsi="Arial"/>
          <w:sz w:val="18"/>
          <w:szCs w:val="18"/>
          <w:u w:val="single" w:color="auto"/>
          <w:color w:val="auto"/>
        </w:rPr>
        <w:t>Exhibit Cl</w:t>
      </w:r>
      <w:r>
        <w:rPr>
          <w:rFonts w:ascii="Arial" w:cs="Arial" w:eastAsia="Arial" w:hAnsi="Arial"/>
          <w:sz w:val="18"/>
          <w:szCs w:val="18"/>
          <w:color w:val="auto"/>
        </w:rPr>
        <w:t xml:space="preserve"> (the “Quality Agreement”). The Quality Agreement may only be amended by mutual consent of the Parties.</w:t>
      </w:r>
    </w:p>
    <w:p>
      <w:pPr>
        <w:spacing w:after="0" w:line="170" w:lineRule="exact"/>
        <w:rPr>
          <w:sz w:val="20"/>
          <w:szCs w:val="20"/>
          <w:color w:val="auto"/>
        </w:rPr>
      </w:pPr>
    </w:p>
    <w:p>
      <w:pPr>
        <w:ind w:left="1420" w:hanging="444"/>
        <w:spacing w:after="0" w:line="277" w:lineRule="auto"/>
        <w:tabs>
          <w:tab w:leader="none" w:pos="1400" w:val="left"/>
        </w:tabs>
        <w:rPr>
          <w:sz w:val="20"/>
          <w:szCs w:val="20"/>
          <w:color w:val="auto"/>
        </w:rPr>
      </w:pPr>
      <w:r>
        <w:rPr>
          <w:rFonts w:ascii="Arial" w:cs="Arial" w:eastAsia="Arial" w:hAnsi="Arial"/>
          <w:sz w:val="18"/>
          <w:szCs w:val="18"/>
          <w:color w:val="auto"/>
        </w:rPr>
        <w:t>5.2</w:t>
        <w:tab/>
        <w:t>Sanmina agrees that the manufacture, test and quality control of the Products under the terms of this Agreement will be in accordance with the standards specified by the Quality Agreement.</w:t>
      </w:r>
    </w:p>
    <w:p>
      <w:pPr>
        <w:spacing w:after="0" w:line="170"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u w:val="single" w:color="auto"/>
          <w:color w:val="auto"/>
        </w:rPr>
        <w:t>Safety</w:t>
      </w:r>
    </w:p>
    <w:p>
      <w:pPr>
        <w:spacing w:after="0" w:line="225" w:lineRule="exact"/>
        <w:rPr>
          <w:sz w:val="20"/>
          <w:szCs w:val="20"/>
          <w:color w:val="auto"/>
        </w:rPr>
      </w:pPr>
    </w:p>
    <w:p>
      <w:pPr>
        <w:ind w:left="1420" w:hanging="444"/>
        <w:spacing w:after="0" w:line="277" w:lineRule="auto"/>
        <w:tabs>
          <w:tab w:leader="none" w:pos="1400" w:val="left"/>
        </w:tabs>
        <w:rPr>
          <w:sz w:val="20"/>
          <w:szCs w:val="20"/>
          <w:color w:val="auto"/>
        </w:rPr>
      </w:pPr>
      <w:r>
        <w:rPr>
          <w:rFonts w:ascii="Arial" w:cs="Arial" w:eastAsia="Arial" w:hAnsi="Arial"/>
          <w:sz w:val="18"/>
          <w:szCs w:val="18"/>
          <w:color w:val="auto"/>
        </w:rPr>
        <w:t>6.1</w:t>
        <w:tab/>
        <w:t xml:space="preserve">Kornit’s standard Safety Agreement is attached hereto as </w:t>
      </w:r>
      <w:r>
        <w:rPr>
          <w:rFonts w:ascii="Arial" w:cs="Arial" w:eastAsia="Arial" w:hAnsi="Arial"/>
          <w:sz w:val="18"/>
          <w:szCs w:val="18"/>
          <w:u w:val="single" w:color="auto"/>
          <w:color w:val="auto"/>
        </w:rPr>
        <w:t>Exhibit C2</w:t>
      </w:r>
      <w:r>
        <w:rPr>
          <w:rFonts w:ascii="Arial" w:cs="Arial" w:eastAsia="Arial" w:hAnsi="Arial"/>
          <w:sz w:val="18"/>
          <w:szCs w:val="18"/>
          <w:color w:val="auto"/>
        </w:rPr>
        <w:t xml:space="preserve"> (the “Safety Agreement”). The Safety Agreement may only be amended by mutual consent of the Parties.</w:t>
      </w:r>
    </w:p>
    <w:p>
      <w:pPr>
        <w:spacing w:after="0" w:line="170" w:lineRule="exact"/>
        <w:rPr>
          <w:sz w:val="20"/>
          <w:szCs w:val="20"/>
          <w:color w:val="auto"/>
        </w:rPr>
      </w:pPr>
    </w:p>
    <w:p>
      <w:pPr>
        <w:ind w:left="1420" w:hanging="444"/>
        <w:spacing w:after="0" w:line="277" w:lineRule="auto"/>
        <w:tabs>
          <w:tab w:leader="none" w:pos="1400" w:val="left"/>
        </w:tabs>
        <w:rPr>
          <w:sz w:val="20"/>
          <w:szCs w:val="20"/>
          <w:color w:val="auto"/>
        </w:rPr>
      </w:pPr>
      <w:r>
        <w:rPr>
          <w:rFonts w:ascii="Arial" w:cs="Arial" w:eastAsia="Arial" w:hAnsi="Arial"/>
          <w:sz w:val="18"/>
          <w:szCs w:val="18"/>
          <w:color w:val="auto"/>
        </w:rPr>
        <w:t>6.2</w:t>
        <w:tab/>
        <w:t>Sanmina agrees that the manufacture, test and quality control of the Products under the terms of this Agreement will be in accordance with the standards specified by the Safety Agreement.</w:t>
      </w:r>
    </w:p>
    <w:p>
      <w:pPr>
        <w:spacing w:after="0" w:line="170"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b w:val="1"/>
          <w:bCs w:val="1"/>
          <w:color w:val="auto"/>
        </w:rPr>
      </w:pPr>
      <w:r>
        <w:rPr>
          <w:rFonts w:ascii="Arial" w:cs="Arial" w:eastAsia="Arial" w:hAnsi="Arial"/>
          <w:sz w:val="18"/>
          <w:szCs w:val="18"/>
          <w:u w:val="single" w:color="auto"/>
          <w:color w:val="auto"/>
        </w:rPr>
        <w:t>Price; Cost Reduction and Payment Terms</w:t>
      </w:r>
    </w:p>
    <w:p>
      <w:pPr>
        <w:spacing w:after="0" w:line="225" w:lineRule="exact"/>
        <w:rPr>
          <w:sz w:val="20"/>
          <w:szCs w:val="20"/>
          <w:color w:val="auto"/>
        </w:rPr>
      </w:pPr>
    </w:p>
    <w:p>
      <w:pPr>
        <w:jc w:val="both"/>
        <w:ind w:left="1420" w:hanging="444"/>
        <w:spacing w:after="0" w:line="263" w:lineRule="auto"/>
        <w:tabs>
          <w:tab w:leader="none" w:pos="1400" w:val="left"/>
        </w:tabs>
        <w:rPr>
          <w:sz w:val="20"/>
          <w:szCs w:val="20"/>
          <w:color w:val="auto"/>
        </w:rPr>
      </w:pPr>
      <w:r>
        <w:rPr>
          <w:rFonts w:ascii="Arial" w:cs="Arial" w:eastAsia="Arial" w:hAnsi="Arial"/>
          <w:sz w:val="18"/>
          <w:szCs w:val="18"/>
          <w:color w:val="auto"/>
        </w:rPr>
        <w:t>7.1</w:t>
        <w:tab/>
        <w:t>The initial Product Prices will be agreed upon between the Parties (the “Product Price List”). Prices are in U.S. Dollars, and payment of broker’s fees, duties, tariffs or other similar charges, (2) taxes (other than those based on the net income of Sanmina); and (3) setup, tooling or non-recurring expenses.</w:t>
      </w:r>
    </w:p>
    <w:p>
      <w:pPr>
        <w:spacing w:after="0" w:line="184"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Prices of systems will be EXW- Sanmina Ma’alot.</w:t>
      </w:r>
    </w:p>
    <w:p>
      <w:pPr>
        <w:spacing w:after="0" w:line="225"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Pricing is based on the following principles: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Material Overhead – [***] (Include Inbound Cost)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Labor assembly - [***] assembly per hour, Labor Test - [***] per hour Sales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General and Administration Expenses – [***]</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Profit – [***]</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Markup – [***]</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Cost Model for spare parts will be the same as above till beginning of 2019.</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Beginning of 2019 the parties will agree on specific Cost model for the spare parts based on cumulative experience.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left="300" w:hanging="444"/>
        <w:spacing w:after="0" w:line="271" w:lineRule="auto"/>
        <w:tabs>
          <w:tab w:leader="none" w:pos="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Sanmina agrees to use reasonable commercial efforts to reduce the cost of manufacturing Products by methods such as, but not limited to: on-going negotiations with suppliers during normal course of business, market price reduce, elimination of Components, obtaining alternate sources of Components and improved assembly or test methods. Sanmina will present to Kornit any proposal for cost reduction projects and will implement such projects only with the receipt of written approval of Kornit. To allow Sanmina to share in the benefit of cost reduction opportunities introduced by Sanmina, during the first year following the introduction of such cost reduction, [***] percent ([***]%) of the amount of Sanmina initiated cost reduction will be applied to reduce the price of the Products. Thereafter, [***] of such cost reduction will be applied to reduce the price of the Products purchased by Kornit (i.e. Kornit will pay the actually reduced cost only from the second year following the cost reduction).</w:t>
      </w:r>
    </w:p>
    <w:p>
      <w:pPr>
        <w:spacing w:after="0" w:line="178" w:lineRule="exact"/>
        <w:rPr>
          <w:sz w:val="20"/>
          <w:szCs w:val="20"/>
          <w:color w:val="auto"/>
        </w:rPr>
      </w:pPr>
    </w:p>
    <w:p>
      <w:pPr>
        <w:jc w:val="both"/>
        <w:ind w:left="300" w:hanging="444"/>
        <w:spacing w:after="0" w:line="263" w:lineRule="auto"/>
        <w:tabs>
          <w:tab w:leader="none" w:pos="280" w:val="left"/>
        </w:tabs>
        <w:rPr>
          <w:sz w:val="20"/>
          <w:szCs w:val="20"/>
          <w:color w:val="auto"/>
        </w:rPr>
      </w:pPr>
      <w:r>
        <w:rPr>
          <w:rFonts w:ascii="Arial" w:cs="Arial" w:eastAsia="Arial" w:hAnsi="Arial"/>
          <w:sz w:val="18"/>
          <w:szCs w:val="18"/>
          <w:color w:val="auto"/>
        </w:rPr>
        <w:t>7.5</w:t>
        <w:tab/>
        <w:t>Kornit shall pay all amounts due in U.S. Dollars within the end of the month plus 60 days from of the date of the invoice, which shall not be issued prior to shipment of the Product. Likewise, Sanmina shall pay all amounts due by it for OSP (or otherwise) in U.S Dollars within the end of the month plus 60 days from of the date of the invoice.</w:t>
      </w:r>
    </w:p>
    <w:p>
      <w:pPr>
        <w:spacing w:after="0" w:line="184" w:lineRule="exact"/>
        <w:rPr>
          <w:sz w:val="20"/>
          <w:szCs w:val="20"/>
          <w:color w:val="auto"/>
        </w:rPr>
      </w:pPr>
    </w:p>
    <w:p>
      <w:pPr>
        <w:jc w:val="both"/>
        <w:ind w:left="300" w:hanging="444"/>
        <w:spacing w:after="0" w:line="271" w:lineRule="auto"/>
        <w:tabs>
          <w:tab w:leader="none" w:pos="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To the extent Sanmina agrees to pay any import duties, including without limitation any customs, excise, purchase tax etc., and VAT applicable on the import of Components, Kornit will promptly reimburse Sanmina for such costs upon receipt of Sanmina’s invoice and supporting documentation for such payments. Sanmina will provide to Kornit the respective documentation evidencing every 6 months and will charge for such costs and will make commercially reasonable efforts to assist Kornit in eliminating, reducing and recovering such costs under relevant laws and regulations. If legally obligated, Sanmina will charge such costs as separately stated amounts on invoices in connection with the sale of Products to Kornit. For the avoidance of doubt, Sanmina is not responsible or liable in any manner for the classification or reclassification of Components or Products for import or export purposes and any risk associated therewith shall reside exclusively with Kornit.</w:t>
      </w:r>
    </w:p>
    <w:p>
      <w:pPr>
        <w:spacing w:after="0" w:line="178" w:lineRule="exact"/>
        <w:rPr>
          <w:sz w:val="20"/>
          <w:szCs w:val="20"/>
          <w:color w:val="auto"/>
        </w:rPr>
      </w:pPr>
    </w:p>
    <w:p>
      <w:pPr>
        <w:jc w:val="both"/>
        <w:ind w:left="300" w:hanging="444"/>
        <w:spacing w:after="0" w:line="279" w:lineRule="auto"/>
        <w:tabs>
          <w:tab w:leader="none" w:pos="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Customs - Sanmina undertakes to cooperate with Kornit in connection with any inspection made by the import tax custom authorities. Sanmina shall provide Kornit with all materials requested by Kornit in connection with import of Components and parts. In addition, Sanmina shall provide Kornit with separate invoices for the custom costs which it paid for the Components imported specifically for Kornit. The invoices shall include import declaration, quantity, HS code and import declaration date.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Kornit will be able to receive refunds for the duties and taxes for such imported Components and parts.</w:t>
      </w:r>
    </w:p>
    <w:p>
      <w:pPr>
        <w:spacing w:after="0" w:line="225" w:lineRule="exact"/>
        <w:rPr>
          <w:sz w:val="20"/>
          <w:szCs w:val="20"/>
          <w:color w:val="auto"/>
        </w:rPr>
      </w:pPr>
    </w:p>
    <w:p>
      <w:pPr>
        <w:jc w:val="both"/>
        <w:ind w:left="300" w:hanging="444"/>
        <w:spacing w:after="0" w:line="259" w:lineRule="auto"/>
        <w:tabs>
          <w:tab w:leader="none" w:pos="280" w:val="left"/>
        </w:tabs>
        <w:rPr>
          <w:sz w:val="20"/>
          <w:szCs w:val="20"/>
          <w:color w:val="auto"/>
        </w:rPr>
      </w:pPr>
      <w:r>
        <w:rPr>
          <w:rFonts w:ascii="Arial" w:cs="Arial" w:eastAsia="Arial" w:hAnsi="Arial"/>
          <w:sz w:val="18"/>
          <w:szCs w:val="18"/>
          <w:color w:val="auto"/>
        </w:rPr>
        <w:t>7.8</w:t>
        <w:tab/>
        <w:t>If Kornit fails to pay amounts due, Sanmina shall provide Kornit with a written notice to that effect, and allow it to cure such breach within a period of [***] ([***]) Business Days from the date of the notice (the “Cure Period”). If Kornit does not cure this breach within the Cure Period, Kornit shall pay [***] percent ([***]%) monthly interest on all late payments as of the first day of delay and until all outstanding amount is fully paid.</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7" w:name="page178"/>
    <w:bookmarkEnd w:id="177"/>
    <w:p>
      <w:pPr>
        <w:ind w:left="340" w:hanging="332"/>
        <w:spacing w:after="0"/>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u w:val="single" w:color="auto"/>
          <w:color w:val="auto"/>
        </w:rPr>
        <w:t>Consigned Tooling and Equipment</w:t>
      </w:r>
    </w:p>
    <w:p>
      <w:pPr>
        <w:spacing w:after="0" w:line="225"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Upon notice to Sanmina, Kornit shall supply the Consigned Tooling and Equipment to Sanmina. Consigned Tooling and Equipment will be delivered to Sanmina in sufficient time and in sufficient quantities, including normal attrition levels, to allow Sanmina to meet the respective Delivery Dates for the Products under all outstanding Purchase Orders. All Consigned Tooling and Equipment will be in good condition and working order. Kornit assumes complete liability for the quality of all Consigned Tooling and Equipment and Sanmina will not be responsible for any defects therein. Sanmina may, upon receipt of the Consigned Tooling and Equipment, perform inspections of the Consigned Tooling and Equipment, in accordance with its standard procedures and may notify Kornit in writing, not later than [***] ([***]) Business Days from the date of receipt of the Consigned Tooling and Equipment, of any defects found or of any discrepancy in quantities. Kornit shall be responsible for maintenance and repairs of the Consigned Tooling and Equipment. Sanmina shall be responsible for any physical damage caused to Consigned Tooling and Equipment by Sanmina’s malicious and/or grossly negligent behavior.</w:t>
      </w:r>
    </w:p>
    <w:p>
      <w:pPr>
        <w:spacing w:after="0" w:line="180" w:lineRule="exact"/>
        <w:rPr>
          <w:rFonts w:ascii="Arial" w:cs="Arial" w:eastAsia="Arial" w:hAnsi="Arial"/>
          <w:sz w:val="18"/>
          <w:szCs w:val="18"/>
          <w:b w:val="1"/>
          <w:bCs w:val="1"/>
          <w:color w:val="auto"/>
        </w:rPr>
      </w:pPr>
    </w:p>
    <w:p>
      <w:pPr>
        <w:ind w:left="340" w:hanging="332"/>
        <w:spacing w:after="0"/>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u w:val="single" w:color="auto"/>
          <w:color w:val="auto"/>
        </w:rPr>
        <w:t>Forecasts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Kornit will provide Sanmina a rolling forecast covering the period of current +6 (six) calendar months (the “Forecast”). The Forecast will specify the number of units of the Products Kornit anticipates purchasing during such six (6) month period. The Forecast will be binding only with respect to purchase of Long Lead-time Components. The Forecast will not be binding for any other purpose and will not be regarded by either Party as a commitment to order, purchase, deliver or meet any volume commitment specified therein. Sanmina shall make commercially reasonable efforts to purchase the Long Lead-time Components as latest as possible, according to their respective lead time Kornit may adjust the Forecast at its reasonable discretion at any time and according to the flexibility model.</w:t>
      </w:r>
    </w:p>
    <w:p>
      <w:pPr>
        <w:spacing w:after="0" w:line="192" w:lineRule="exact"/>
        <w:rPr>
          <w:rFonts w:ascii="Arial" w:cs="Arial" w:eastAsia="Arial" w:hAnsi="Arial"/>
          <w:sz w:val="18"/>
          <w:szCs w:val="18"/>
          <w:b w:val="1"/>
          <w:bCs w:val="1"/>
          <w:color w:val="auto"/>
        </w:rPr>
      </w:pPr>
    </w:p>
    <w:p>
      <w:pPr>
        <w:jc w:val="both"/>
        <w:ind w:left="980" w:hanging="324"/>
        <w:spacing w:after="0" w:line="273" w:lineRule="auto"/>
        <w:tabs>
          <w:tab w:leader="none" w:pos="980"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Initial Forecast</w:t>
      </w:r>
      <w:r>
        <w:rPr>
          <w:rFonts w:ascii="Arial" w:cs="Arial" w:eastAsia="Arial" w:hAnsi="Arial"/>
          <w:sz w:val="17"/>
          <w:szCs w:val="17"/>
          <w:color w:val="auto"/>
        </w:rPr>
        <w:t>. Customer shall provide Sanmina with an initial thirty (30) day firm Purchase Order (“Order”) and Forecast for Product requirements (in monthly buckets) for an additional six (6) months. The Order - and all subsequent Orders - shall be binding and may be rescheduled only in accordance with Section D, below. Sanmina shall make purchase commitments (including purchase commitments for Long Lead-time Components) to its Component suppliers (“Vendors”) based upon the Order and Forecast (only with respect to the Long Lead-time Components), and Customer shall be responsible for all such Components purchased in support of Customer’s then-current Forecast. For all other purposes, however, the Forecast shall be non-binding.</w:t>
      </w:r>
    </w:p>
    <w:p>
      <w:pPr>
        <w:spacing w:after="0" w:line="177"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Subsequent Forecasts</w:t>
      </w:r>
      <w:r>
        <w:rPr>
          <w:rFonts w:ascii="Arial" w:cs="Arial" w:eastAsia="Arial" w:hAnsi="Arial"/>
          <w:sz w:val="18"/>
          <w:szCs w:val="18"/>
          <w:color w:val="auto"/>
        </w:rPr>
        <w:t>. On the first business day of each calendar month after the initial Order and Forecast, the first Forecast month shall automatically become part of the Order, a new Forecast month shall be added, and a new firm Order issued, so that a rolling Order of thirty (30) days is always maintained.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ind w:left="324" w:hanging="324"/>
        <w:spacing w:after="0"/>
        <w:tabs>
          <w:tab w:leader="none" w:pos="3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Material Requirement Planning Process.</w:t>
      </w:r>
    </w:p>
    <w:p>
      <w:pPr>
        <w:spacing w:after="0" w:line="225" w:lineRule="exact"/>
        <w:rPr>
          <w:rFonts w:ascii="Arial" w:cs="Arial" w:eastAsia="Arial" w:hAnsi="Arial"/>
          <w:sz w:val="18"/>
          <w:szCs w:val="18"/>
          <w:color w:val="auto"/>
        </w:rPr>
      </w:pPr>
    </w:p>
    <w:p>
      <w:pPr>
        <w:jc w:val="both"/>
        <w:ind w:left="1624" w:hanging="328"/>
        <w:spacing w:after="0" w:line="301" w:lineRule="auto"/>
        <w:tabs>
          <w:tab w:leader="none" w:pos="162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Sanmina shall take the Order and Forecast and generate a Master Production Schedule (“MPS”) for a six-month period in accordance with the process described in this Section. The MPS shall define the master plan on which Sanmina shall base its procurement, internal capacity projections and commitments. Sanmina shall use Customer’s Order to generate the first two (2) months of the MPS and shall use Customer’s Forecast to generate the subsequent six (6) months of the MPS.</w:t>
      </w:r>
    </w:p>
    <w:p>
      <w:pPr>
        <w:spacing w:after="0" w:line="157" w:lineRule="exact"/>
        <w:rPr>
          <w:rFonts w:ascii="Arial" w:cs="Arial" w:eastAsia="Arial" w:hAnsi="Arial"/>
          <w:sz w:val="16"/>
          <w:szCs w:val="16"/>
          <w:color w:val="auto"/>
        </w:rPr>
      </w:pPr>
    </w:p>
    <w:p>
      <w:pPr>
        <w:jc w:val="both"/>
        <w:ind w:left="1624" w:hanging="328"/>
        <w:spacing w:after="0" w:line="255" w:lineRule="auto"/>
        <w:tabs>
          <w:tab w:leader="none" w:pos="162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Sanmina shall process the MPS through industry-standard software that will break down Customer’s Product requirements into Component requirements. When no Product testing (in-circuit or functional testing) is required by Customer, Sanmina will use commercially reasonable efforts to schedule delivery of all Components to Sanmina eleven working days before the Products are scheduled to ship to Customer; in the event Product testing is required, Sanmina will use commercially reasonable efforts to schedule delivery of all Components to Sanmina [***] working days before the Products are scheduled to ship to Customer.</w:t>
      </w:r>
    </w:p>
    <w:p>
      <w:pPr>
        <w:spacing w:after="0" w:line="192" w:lineRule="exact"/>
        <w:rPr>
          <w:rFonts w:ascii="Arial" w:cs="Arial" w:eastAsia="Arial" w:hAnsi="Arial"/>
          <w:sz w:val="18"/>
          <w:szCs w:val="18"/>
          <w:color w:val="auto"/>
        </w:rPr>
      </w:pPr>
    </w:p>
    <w:p>
      <w:pPr>
        <w:jc w:val="both"/>
        <w:ind w:left="1624" w:right="20" w:hanging="328"/>
        <w:spacing w:after="0" w:line="311" w:lineRule="auto"/>
        <w:tabs>
          <w:tab w:leader="none" w:pos="162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Sanmina will release purchase orders to Vendors prior to the anticipated date that the Components are needed by Sanmina. The date on which these orders are released will depend on the lead time determined between the Vendor and Sanmina and Sanmina’s manufacturing or materials planning systems, provided that any order will be made as late as possible.</w:t>
      </w:r>
    </w:p>
    <w:p>
      <w:pPr>
        <w:spacing w:after="0" w:line="148" w:lineRule="exact"/>
        <w:rPr>
          <w:rFonts w:ascii="Arial" w:cs="Arial" w:eastAsia="Arial" w:hAnsi="Arial"/>
          <w:sz w:val="16"/>
          <w:szCs w:val="16"/>
          <w:color w:val="auto"/>
        </w:rPr>
      </w:pPr>
    </w:p>
    <w:p>
      <w:pPr>
        <w:jc w:val="both"/>
        <w:ind w:left="1624" w:hanging="328"/>
        <w:spacing w:after="0" w:line="254" w:lineRule="auto"/>
        <w:tabs>
          <w:tab w:leader="none" w:pos="162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list of all Components with lead times greater than ninety days (“Long Lead-time Components”) shall be provided. Sanmina shall update the list of Long Lead-time Components every quarter and present an updated list of Long Lead-time Components to Kornit at the time Sanmina presents Kornit with the E&amp;O List described in Section E, below. Each revised Long Lead-time Item list shall be deemed an amendment to Exhibit B. In the event Sanmina fails to present an updated list of Long Lead-time Components, the parties shall continue to rely on the preceding list (as updated in writing by the parties). It is agreed that it is Sanmina’s responsibility to update Kornit with any extended lead time or changes in the standard lead time of BOM components.</w:t>
      </w:r>
    </w:p>
    <w:p>
      <w:pPr>
        <w:spacing w:after="0" w:line="194" w:lineRule="exact"/>
        <w:rPr>
          <w:rFonts w:ascii="Arial" w:cs="Arial" w:eastAsia="Arial" w:hAnsi="Arial"/>
          <w:sz w:val="18"/>
          <w:szCs w:val="18"/>
          <w:color w:val="auto"/>
        </w:rPr>
      </w:pPr>
    </w:p>
    <w:p>
      <w:pPr>
        <w:jc w:val="both"/>
        <w:ind w:left="1624" w:hanging="328"/>
        <w:spacing w:after="0" w:line="253" w:lineRule="auto"/>
        <w:tabs>
          <w:tab w:leader="none" w:pos="162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Kornit acknowledges that Sanmina will order Components in quantities sufficient to support up to six months of Kornit’s Forecast. For the avoidance of doubt, Kornit will be required to issue a Purchase Order only with respect to the Long Lead-time Components which were ordered by Sanmina. In determining the quantity of Components to order, Sanmina divides the Components into three classes, “Class A,” “Class B” and “Class C.” Class A Components are comprised of the approximately [***] percent ([***]%) of Components constituting approximately [***] percent ([***]%) of the Product’s total Component cost. Class C Components are comprised of the approximately [***] percent ([***]%) of Components constituting approximately [***] percent ([***]%) of the Product Cost. Class B Components are comprised of the remaining [***] percent ([***]%) of Components constituting approximately [***] percent ([***]%) of the Products cost. Sanmina will place orders with .its Vendors for approximately [***] worth of Class A Components, [***] worth of Class B Components and [***] worth of Class C Components. A summary of Sanmina’s purchase commitments is set forth in the table below.</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Expected Percentage of Total Value</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89"/>
              </w:rPr>
              <w:t>Periods Worth of Supply to be</w:t>
            </w:r>
          </w:p>
        </w:tc>
      </w:tr>
      <w:tr>
        <w:trPr>
          <w:trHeight w:val="241"/>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Part Class</w:t>
            </w:r>
          </w:p>
        </w:tc>
        <w:tc>
          <w:tcPr>
            <w:tcW w:w="3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Expected Percentage of Total Parts</w:t>
            </w:r>
          </w:p>
        </w:tc>
        <w:tc>
          <w:tcPr>
            <w:tcW w:w="3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(of Gross Requirements)</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3"/>
              </w:rPr>
              <w:t>Bought with Each Order</w:t>
            </w: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22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B</w:t>
            </w:r>
          </w:p>
        </w:tc>
        <w:tc>
          <w:tcPr>
            <w:tcW w:w="29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b w:val="1"/>
          <w:bCs w:val="1"/>
          <w:color w:val="auto"/>
        </w:rPr>
      </w:pPr>
      <w:r>
        <w:rPr>
          <w:rFonts w:ascii="Arial" w:cs="Arial" w:eastAsia="Arial" w:hAnsi="Arial"/>
          <w:sz w:val="18"/>
          <w:szCs w:val="18"/>
          <w:u w:val="single" w:color="auto"/>
          <w:color w:val="auto"/>
        </w:rPr>
        <w:t>Purchase Orders</w:t>
      </w:r>
    </w:p>
    <w:p>
      <w:pPr>
        <w:spacing w:after="0" w:line="225" w:lineRule="exact"/>
        <w:rPr>
          <w:sz w:val="20"/>
          <w:szCs w:val="20"/>
          <w:color w:val="auto"/>
        </w:rPr>
      </w:pPr>
    </w:p>
    <w:p>
      <w:pPr>
        <w:jc w:val="both"/>
        <w:ind w:left="1420" w:right="160" w:hanging="444"/>
        <w:spacing w:after="0" w:line="286" w:lineRule="auto"/>
        <w:rPr>
          <w:sz w:val="20"/>
          <w:szCs w:val="20"/>
          <w:color w:val="auto"/>
        </w:rPr>
      </w:pPr>
      <w:r>
        <w:rPr>
          <w:rFonts w:ascii="Arial" w:cs="Arial" w:eastAsia="Arial" w:hAnsi="Arial"/>
          <w:sz w:val="16"/>
          <w:szCs w:val="16"/>
          <w:color w:val="auto"/>
        </w:rPr>
        <w:t>10.1 During the term of this Agreement, Kornit may provide Sanmina with written Purchase Orders for the Products. As a matter of convenience and subject to the provisions of Section 9.3 below, Kornit may use its standard purchase order form for any orders provided for hereunder. Each Purchase Order shall be in the form of a written or electronic communication and shall contain the following information: (i) the part number of the Product; (ii) the quantity of the Product; (iii) the delivery date or shipping schedule;</w:t>
      </w:r>
    </w:p>
    <w:p>
      <w:pPr>
        <w:spacing w:after="0" w:line="1" w:lineRule="exact"/>
        <w:rPr>
          <w:sz w:val="20"/>
          <w:szCs w:val="20"/>
          <w:color w:val="auto"/>
        </w:rPr>
      </w:pPr>
    </w:p>
    <w:p>
      <w:pPr>
        <w:jc w:val="both"/>
        <w:ind w:left="1420" w:right="160" w:firstLine="5"/>
        <w:spacing w:after="0" w:line="255" w:lineRule="auto"/>
        <w:tabs>
          <w:tab w:leader="none" w:pos="175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location to which the Product is to be shipped; and (v) transportation instructions. Each Purchase Order shall contain a number for billing purposes, and may include other instructions and terms (provided that such terms do not conflict with this Agreement) as may be appropriate under the circumstances.</w:t>
      </w:r>
    </w:p>
    <w:p>
      <w:pPr>
        <w:spacing w:after="0" w:line="190" w:lineRule="exact"/>
        <w:rPr>
          <w:sz w:val="20"/>
          <w:szCs w:val="20"/>
          <w:color w:val="auto"/>
        </w:rPr>
      </w:pPr>
    </w:p>
    <w:p>
      <w:pPr>
        <w:jc w:val="both"/>
        <w:ind w:left="1420" w:right="160" w:hanging="444"/>
        <w:spacing w:after="0" w:line="273" w:lineRule="auto"/>
        <w:rPr>
          <w:sz w:val="20"/>
          <w:szCs w:val="20"/>
          <w:color w:val="auto"/>
        </w:rPr>
      </w:pPr>
      <w:r>
        <w:rPr>
          <w:rFonts w:ascii="Arial" w:cs="Arial" w:eastAsia="Arial" w:hAnsi="Arial"/>
          <w:sz w:val="17"/>
          <w:szCs w:val="17"/>
          <w:color w:val="auto"/>
        </w:rPr>
        <w:t>10.2 Sanmina shall accept purchase orders from Kornit that comply with the provisions of this Agreement, including without limitation, that the fees reflected in each such purchase order are consistent with the Parties’ then-current agreement with respect to the fees and that the delivery date requested thereunder is consistent with the Delivery Date. Sanmina shall notify Kornit of the acceptance or rejection of any purchase order (only to the extent that it does not comply with the foregoing conditions) within [***] Business Days of receipt of such purchase order. To the extent that Sanmina does not provide Kornit any notice of rejection within the above-mentioned time frame, the purchase order shall be deemed rejected</w:t>
      </w:r>
    </w:p>
    <w:p>
      <w:pPr>
        <w:spacing w:after="0" w:line="178" w:lineRule="exact"/>
        <w:rPr>
          <w:sz w:val="20"/>
          <w:szCs w:val="20"/>
          <w:color w:val="auto"/>
        </w:rPr>
      </w:pPr>
    </w:p>
    <w:p>
      <w:pPr>
        <w:jc w:val="both"/>
        <w:ind w:left="1420" w:right="160" w:hanging="444"/>
        <w:spacing w:after="0" w:line="257" w:lineRule="auto"/>
        <w:rPr>
          <w:sz w:val="20"/>
          <w:szCs w:val="20"/>
          <w:color w:val="auto"/>
        </w:rPr>
      </w:pPr>
      <w:r>
        <w:rPr>
          <w:rFonts w:ascii="Arial" w:cs="Arial" w:eastAsia="Arial" w:hAnsi="Arial"/>
          <w:sz w:val="18"/>
          <w:szCs w:val="18"/>
          <w:color w:val="auto"/>
        </w:rPr>
        <w:t>10.3 The terms and conditions of this Agreement will control over any terms contained in any quotation, purchase order issued by Kornit, written acceptance or acknowledgment by Sanmina, invoice or any other form instalment exchanged by the Parties that is not clearly an amendment to this Agreement signed by both Parties and no additional, contradictory, modified or deleted terms established by such instruments are intended to have any effect on the terms of this Agreement, even if such instrument is accepted by the other Party.</w:t>
      </w:r>
    </w:p>
    <w:p>
      <w:pPr>
        <w:spacing w:after="0" w:line="188"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u w:val="single" w:color="auto"/>
          <w:color w:val="auto"/>
        </w:rPr>
        <w:t>Lead Time</w:t>
      </w:r>
    </w:p>
    <w:p>
      <w:pPr>
        <w:spacing w:after="0" w:line="225" w:lineRule="exact"/>
        <w:rPr>
          <w:sz w:val="20"/>
          <w:szCs w:val="20"/>
          <w:color w:val="auto"/>
        </w:rPr>
      </w:pPr>
    </w:p>
    <w:p>
      <w:pPr>
        <w:jc w:val="both"/>
        <w:ind w:left="1420" w:hanging="444"/>
        <w:spacing w:after="0" w:line="259" w:lineRule="auto"/>
        <w:rPr>
          <w:sz w:val="20"/>
          <w:szCs w:val="20"/>
          <w:color w:val="auto"/>
        </w:rPr>
      </w:pPr>
      <w:r>
        <w:rPr>
          <w:rFonts w:ascii="Arial" w:cs="Arial" w:eastAsia="Arial" w:hAnsi="Arial"/>
          <w:sz w:val="18"/>
          <w:szCs w:val="18"/>
          <w:color w:val="auto"/>
        </w:rPr>
        <w:t>11.1 For new Products (which arc ordered by Kornit for the first time), the lead time for the first Purchase Order will be as set forth in Sanmina’s quotation and agreed to by Kornit. Following the initial Purchase Order, the lead time will be [***] ([***]) days, as long as the Purchase Order aggregate quantity and the delivery date is in accordance with the Forecast that Kornit provided (according to Section 9 above). Any change to this lead time is subject to Kornit’s prior written approval.</w:t>
      </w:r>
    </w:p>
    <w:p>
      <w:pPr>
        <w:spacing w:after="0" w:line="187" w:lineRule="exact"/>
        <w:rPr>
          <w:sz w:val="20"/>
          <w:szCs w:val="20"/>
          <w:color w:val="auto"/>
        </w:rPr>
      </w:pPr>
    </w:p>
    <w:p>
      <w:pPr>
        <w:jc w:val="both"/>
        <w:ind w:left="1420" w:hanging="444"/>
        <w:spacing w:after="0" w:line="263" w:lineRule="auto"/>
        <w:rPr>
          <w:sz w:val="20"/>
          <w:szCs w:val="20"/>
          <w:color w:val="auto"/>
        </w:rPr>
      </w:pPr>
      <w:r>
        <w:rPr>
          <w:rFonts w:ascii="Arial" w:cs="Arial" w:eastAsia="Arial" w:hAnsi="Arial"/>
          <w:sz w:val="18"/>
          <w:szCs w:val="18"/>
          <w:color w:val="auto"/>
        </w:rPr>
        <w:t>11.2 If circumstances arise that prevent Sanmina from timely delivery of the Products on the Delivery Date, Sanmina will notify Kornit, immediately after it becomes aware of such circumstances, of the nature of the problem, the methods taken to overcome the problem and the estimated time of delay.</w:t>
      </w:r>
    </w:p>
    <w:p>
      <w:pPr>
        <w:spacing w:after="0" w:line="184" w:lineRule="exact"/>
        <w:rPr>
          <w:sz w:val="20"/>
          <w:szCs w:val="20"/>
          <w:color w:val="auto"/>
        </w:rPr>
      </w:pPr>
    </w:p>
    <w:p>
      <w:pPr>
        <w:jc w:val="both"/>
        <w:ind w:left="1420" w:hanging="444"/>
        <w:spacing w:after="0" w:line="263" w:lineRule="auto"/>
        <w:rPr>
          <w:sz w:val="20"/>
          <w:szCs w:val="20"/>
          <w:color w:val="auto"/>
        </w:rPr>
      </w:pPr>
      <w:r>
        <w:rPr>
          <w:rFonts w:ascii="Arial" w:cs="Arial" w:eastAsia="Arial" w:hAnsi="Arial"/>
          <w:sz w:val="18"/>
          <w:szCs w:val="18"/>
          <w:color w:val="auto"/>
        </w:rPr>
        <w:t>11.3 Sanmina acknowledges that time is of the essence. In the event that Sanmina will be late with a delivery for more than [***] times during [***] ([***]) weeks in more than compare to the delivery dates committed by Sanmina in its order confirmation, such breach shall amount to a material breach of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left="1420" w:hanging="444"/>
        <w:spacing w:after="0" w:line="263" w:lineRule="auto"/>
        <w:rPr>
          <w:sz w:val="20"/>
          <w:szCs w:val="20"/>
          <w:color w:val="auto"/>
        </w:rPr>
      </w:pPr>
      <w:r>
        <w:rPr>
          <w:rFonts w:ascii="Arial" w:cs="Arial" w:eastAsia="Arial" w:hAnsi="Arial"/>
          <w:sz w:val="18"/>
          <w:szCs w:val="18"/>
          <w:color w:val="auto"/>
        </w:rPr>
        <w:t>11.4 The delay shall not include events which are (a) directly attributable to Kornit, (b) a force majeure event, or (c) due to Kornit’s cancellation or reschedule of Purchase Order pursuant to Section 12, (d) a rescheduled delivery date that was pre-approved in writing by Kornit for at least [***] working days prior to committed delivery date.</w:t>
      </w:r>
    </w:p>
    <w:p>
      <w:pPr>
        <w:spacing w:after="0" w:line="184" w:lineRule="exact"/>
        <w:rPr>
          <w:sz w:val="20"/>
          <w:szCs w:val="20"/>
          <w:color w:val="auto"/>
        </w:rPr>
      </w:pPr>
    </w:p>
    <w:p>
      <w:pPr>
        <w:ind w:left="980" w:right="7400" w:hanging="972"/>
        <w:spacing w:after="0" w:line="601" w:lineRule="auto"/>
        <w:tabs>
          <w:tab w:leader="none" w:pos="332" w:val="left"/>
        </w:tabs>
        <w:numPr>
          <w:ilvl w:val="0"/>
          <w:numId w:val="147"/>
        </w:numPr>
        <w:rPr>
          <w:rFonts w:ascii="Arial" w:cs="Arial" w:eastAsia="Arial" w:hAnsi="Arial"/>
          <w:sz w:val="15"/>
          <w:szCs w:val="15"/>
          <w:b w:val="1"/>
          <w:bCs w:val="1"/>
          <w:color w:val="auto"/>
        </w:rPr>
      </w:pPr>
      <w:r>
        <w:rPr>
          <w:rFonts w:ascii="Arial" w:cs="Arial" w:eastAsia="Arial" w:hAnsi="Arial"/>
          <w:sz w:val="15"/>
          <w:szCs w:val="15"/>
          <w:u w:val="single" w:color="auto"/>
          <w:color w:val="auto"/>
        </w:rPr>
        <w:t xml:space="preserve">Reschedule and Cancellation of Purchase Orders </w:t>
      </w:r>
      <w:r>
        <w:rPr>
          <w:rFonts w:ascii="Arial" w:cs="Arial" w:eastAsia="Arial" w:hAnsi="Arial"/>
          <w:sz w:val="15"/>
          <w:szCs w:val="15"/>
          <w:color w:val="auto"/>
        </w:rPr>
        <w:t xml:space="preserve">12.1 </w:t>
      </w:r>
      <w:r>
        <w:rPr>
          <w:rFonts w:ascii="Arial" w:cs="Arial" w:eastAsia="Arial" w:hAnsi="Arial"/>
          <w:sz w:val="15"/>
          <w:szCs w:val="15"/>
          <w:u w:val="single" w:color="auto"/>
          <w:color w:val="auto"/>
        </w:rPr>
        <w:t>Shipment Schedule Changes</w:t>
      </w:r>
    </w:p>
    <w:p>
      <w:pPr>
        <w:ind w:left="980"/>
        <w:spacing w:after="0" w:line="277" w:lineRule="auto"/>
        <w:rPr>
          <w:sz w:val="20"/>
          <w:szCs w:val="20"/>
          <w:color w:val="auto"/>
        </w:rPr>
      </w:pPr>
      <w:r>
        <w:rPr>
          <w:rFonts w:ascii="Arial" w:cs="Arial" w:eastAsia="Arial" w:hAnsi="Arial"/>
          <w:sz w:val="18"/>
          <w:szCs w:val="18"/>
          <w:color w:val="auto"/>
        </w:rPr>
        <w:t>For any Purchase Order Kornit may reschedule the quantity of Products and their shipment date as provided in the table below, without Sanmina’s prior written approval and at no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4"/>
          </w:tcPr>
          <w:p>
            <w:pPr>
              <w:ind w:left="980"/>
              <w:spacing w:after="0"/>
              <w:rPr>
                <w:sz w:val="20"/>
                <w:szCs w:val="20"/>
                <w:color w:val="auto"/>
              </w:rPr>
            </w:pPr>
            <w:r>
              <w:rPr>
                <w:rFonts w:ascii="Arial" w:cs="Arial" w:eastAsia="Arial" w:hAnsi="Arial"/>
                <w:sz w:val="18"/>
                <w:szCs w:val="18"/>
                <w:color w:val="auto"/>
              </w:rPr>
              <w:t>cost:</w:t>
            </w:r>
          </w:p>
        </w:tc>
        <w:tc>
          <w:tcPr>
            <w:tcW w:w="5500" w:type="dxa"/>
            <w:vAlign w:val="bottom"/>
          </w:tcPr>
          <w:p>
            <w:pPr>
              <w:spacing w:after="0"/>
              <w:rPr>
                <w:sz w:val="20"/>
                <w:szCs w:val="20"/>
                <w:color w:val="auto"/>
              </w:rPr>
            </w:pPr>
          </w:p>
        </w:tc>
      </w:tr>
      <w:tr>
        <w:trPr>
          <w:trHeight w:val="453"/>
        </w:trPr>
        <w:tc>
          <w:tcPr>
            <w:tcW w:w="5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Days Before Purchase Order Delivery Date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Reschedule Allowance</w:t>
            </w:r>
          </w:p>
        </w:tc>
      </w:tr>
      <w:tr>
        <w:trPr>
          <w:trHeight w:val="216"/>
        </w:trPr>
        <w:tc>
          <w:tcPr>
            <w:tcW w:w="56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77"/>
        </w:trPr>
        <w:tc>
          <w:tcPr>
            <w:tcW w:w="5740" w:type="dxa"/>
            <w:vAlign w:val="bottom"/>
            <w:gridSpan w:val="4"/>
          </w:tcPr>
          <w:p>
            <w:pPr>
              <w:ind w:left="980"/>
              <w:spacing w:after="0"/>
              <w:rPr>
                <w:sz w:val="20"/>
                <w:szCs w:val="20"/>
                <w:color w:val="auto"/>
              </w:rPr>
            </w:pPr>
            <w:r>
              <w:rPr>
                <w:rFonts w:ascii="Arial" w:cs="Arial" w:eastAsia="Arial" w:hAnsi="Arial"/>
                <w:sz w:val="18"/>
                <w:szCs w:val="18"/>
                <w:color w:val="auto"/>
              </w:rPr>
              <w:t>12.2  Cancellation</w:t>
            </w:r>
          </w:p>
        </w:tc>
        <w:tc>
          <w:tcPr>
            <w:tcW w:w="550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980"/>
        <w:spacing w:after="0" w:line="263" w:lineRule="auto"/>
        <w:tabs>
          <w:tab w:leader="none" w:pos="12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Kornit may cancel all or any portion of Product quantity of a Purchase Order, without Sanmina’s prior written approval by providing a written notice to Sanmina at least [***] prior to the Delivery Date, at no cost, except as set forth in sub-section (b) below. Any other cancellation of a Purchase Order shall be subject to Sanmina’ prior written approval.</w:t>
      </w:r>
    </w:p>
    <w:p>
      <w:pPr>
        <w:spacing w:after="0" w:line="183" w:lineRule="exact"/>
        <w:rPr>
          <w:rFonts w:ascii="Arial" w:cs="Arial" w:eastAsia="Arial" w:hAnsi="Arial"/>
          <w:sz w:val="18"/>
          <w:szCs w:val="18"/>
          <w:color w:val="auto"/>
        </w:rPr>
      </w:pPr>
    </w:p>
    <w:p>
      <w:pPr>
        <w:jc w:val="both"/>
        <w:ind w:firstLine="980"/>
        <w:spacing w:after="0" w:line="254" w:lineRule="auto"/>
        <w:tabs>
          <w:tab w:leader="none" w:pos="123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Upon cancellation of a Purchase Order (or any portion thereof) Kornit shall purchase from Sanmina any affected Products, Inventory and Special Inventory and pay Sanmina as follows: (i) the price listed in the then current Product Price List for all affected Products (or a pro-rata proportion thereof for any applicable partially completed Product); (ii) [***]% of the Cost + [***]% material overhead of all affected Inventory and Special Inventory in Sanmina’s possession and not returnable to the vendor or reasonably usable for other customers, whether in raw form or work in process, (iii) [***]% of the Cost + [***]% material overhead of all affected Inventory and Special Inventory on order and not cancelable, and (iv) any vendor cancellation charges incurred with respect to the affected Inventory and Special Inventory accepted for cancellation or return by the vendor as long as those were ordered within their standard lead time.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Quantity Increase</w:t>
      </w:r>
    </w:p>
    <w:p>
      <w:pPr>
        <w:spacing w:after="0" w:line="225" w:lineRule="exact"/>
        <w:rPr>
          <w:sz w:val="20"/>
          <w:szCs w:val="20"/>
          <w:color w:val="auto"/>
        </w:rPr>
      </w:pPr>
    </w:p>
    <w:p>
      <w:pPr>
        <w:ind w:firstLine="980"/>
        <w:spacing w:after="0" w:line="277" w:lineRule="auto"/>
        <w:tabs>
          <w:tab w:leader="none" w:pos="122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For any Purchase Order Kornit may request an increase in the quantity of Products ordered (the “Increase Request”). All Product quantity increases require Sanmina’s approval and are subject to Components availability from suppliers.</w:t>
      </w:r>
    </w:p>
    <w:p>
      <w:pPr>
        <w:spacing w:after="0" w:line="170" w:lineRule="exact"/>
        <w:rPr>
          <w:rFonts w:ascii="Arial" w:cs="Arial" w:eastAsia="Arial" w:hAnsi="Arial"/>
          <w:sz w:val="18"/>
          <w:szCs w:val="18"/>
          <w:color w:val="auto"/>
        </w:rPr>
      </w:pPr>
    </w:p>
    <w:p>
      <w:pPr>
        <w:jc w:val="both"/>
        <w:ind w:firstLine="980"/>
        <w:spacing w:after="0" w:line="259" w:lineRule="auto"/>
        <w:tabs>
          <w:tab w:leader="none" w:pos="123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Notwithstanding the foregoing, the following shall be considered as authorized Increase Requests (subject to Component availability): (i) an increase of up to one hundred percent (100%) of the Purchase Order quantities if the Increase Request has been issued by Kornit at least three (3) months prior to the Delivery Date, and (ii) an increase of up to two hundred percent (200%) of the Purchase Order quantities if the Increase Request has been issued by Kornit at least six (6) months prior to the Delivery Date.</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p>
    <w:p>
      <w:pPr>
        <w:spacing w:after="0" w:line="225" w:lineRule="exact"/>
        <w:rPr>
          <w:sz w:val="20"/>
          <w:szCs w:val="20"/>
          <w:color w:val="auto"/>
        </w:rPr>
      </w:pPr>
    </w:p>
    <w:p>
      <w:pPr>
        <w:jc w:val="both"/>
        <w:ind w:left="1420" w:right="20" w:hanging="444"/>
        <w:spacing w:after="0" w:line="259" w:lineRule="auto"/>
        <w:rPr>
          <w:sz w:val="20"/>
          <w:szCs w:val="20"/>
          <w:color w:val="auto"/>
        </w:rPr>
      </w:pPr>
      <w:r>
        <w:rPr>
          <w:rFonts w:ascii="Arial" w:cs="Arial" w:eastAsia="Arial" w:hAnsi="Arial"/>
          <w:sz w:val="18"/>
          <w:szCs w:val="18"/>
          <w:color w:val="auto"/>
        </w:rPr>
        <w:t>13.1 All deliveries of Products hereunder will be made EXW (Ex works, Incoterms 2010) Sanmina’s applicable manufacturing site (Ma’alot) for Products manufactured in Israel and the respective Overseas Site for Products manufactured outside Israel). AH deliveries of spare parts purchased from time to time by Kornit, will be made EX- Works Risk of loss and title shall pass to Kornit upon delivery by Sanmina of the Products to the stated delivery point in accordance with said Incoterm.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left="1420" w:hanging="444"/>
        <w:spacing w:after="0" w:line="263" w:lineRule="auto"/>
        <w:rPr>
          <w:sz w:val="20"/>
          <w:szCs w:val="20"/>
          <w:color w:val="auto"/>
        </w:rPr>
      </w:pPr>
      <w:r>
        <w:rPr>
          <w:rFonts w:ascii="Arial" w:cs="Arial" w:eastAsia="Arial" w:hAnsi="Arial"/>
          <w:sz w:val="18"/>
          <w:szCs w:val="18"/>
          <w:color w:val="auto"/>
        </w:rPr>
        <w:t>13.2 Upon Kornit request, Sanmina will use reasonable commercial efforts to assist Kornit in arranging any desired shipping and insurance coverage (in amounts that Kornit will determine). All costs of shipping, insurance, freight, customs, duties, taxes, insurance premiums and other expenses relating to such transportation and delivery, will be at Kornit’s expense.</w:t>
      </w:r>
    </w:p>
    <w:p>
      <w:pPr>
        <w:spacing w:after="0" w:line="184" w:lineRule="exact"/>
        <w:rPr>
          <w:sz w:val="20"/>
          <w:szCs w:val="20"/>
          <w:color w:val="auto"/>
        </w:rPr>
      </w:pPr>
    </w:p>
    <w:p>
      <w:pPr>
        <w:jc w:val="both"/>
        <w:ind w:left="1420" w:hanging="444"/>
        <w:spacing w:after="0" w:line="308" w:lineRule="auto"/>
        <w:rPr>
          <w:sz w:val="20"/>
          <w:szCs w:val="20"/>
          <w:color w:val="auto"/>
        </w:rPr>
      </w:pPr>
      <w:r>
        <w:rPr>
          <w:rFonts w:ascii="Arial" w:cs="Arial" w:eastAsia="Arial" w:hAnsi="Arial"/>
          <w:sz w:val="17"/>
          <w:szCs w:val="17"/>
          <w:color w:val="auto"/>
        </w:rPr>
        <w:t>13.3 The Products shall not be packed and delivered before Sanmina conducted the delivery procedure set forth in the Specifications and received Kornit’s approval. The Products shall be packed in accordance with the instructions set forth in the Specifications.</w:t>
      </w:r>
    </w:p>
    <w:p>
      <w:pPr>
        <w:spacing w:after="0" w:line="146" w:lineRule="exact"/>
        <w:rPr>
          <w:sz w:val="20"/>
          <w:szCs w:val="20"/>
          <w:color w:val="auto"/>
        </w:rPr>
      </w:pPr>
    </w:p>
    <w:p>
      <w:pPr>
        <w:ind w:left="340" w:hanging="332"/>
        <w:spacing w:after="0"/>
        <w:tabs>
          <w:tab w:leader="none" w:pos="340" w:val="left"/>
        </w:tabs>
        <w:numPr>
          <w:ilvl w:val="0"/>
          <w:numId w:val="151"/>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Acceptance</w:t>
      </w:r>
    </w:p>
    <w:p>
      <w:pPr>
        <w:spacing w:after="0" w:line="225" w:lineRule="exact"/>
        <w:rPr>
          <w:sz w:val="20"/>
          <w:szCs w:val="20"/>
          <w:color w:val="auto"/>
        </w:rPr>
      </w:pPr>
    </w:p>
    <w:p>
      <w:pPr>
        <w:jc w:val="both"/>
        <w:ind w:left="980"/>
        <w:spacing w:after="0" w:line="283" w:lineRule="auto"/>
        <w:rPr>
          <w:sz w:val="20"/>
          <w:szCs w:val="20"/>
          <w:color w:val="auto"/>
        </w:rPr>
      </w:pPr>
      <w:r>
        <w:rPr>
          <w:rFonts w:ascii="Arial" w:cs="Arial" w:eastAsia="Arial" w:hAnsi="Arial"/>
          <w:sz w:val="16"/>
          <w:szCs w:val="16"/>
          <w:color w:val="auto"/>
        </w:rPr>
        <w:t>Each Product must pass the factory acceptance test described as described in the Specifications (“Factory Acceptance Test” or “FAT”) before such Product may be shipped from Sanmina’s site. Sanmina shall be responsible for conducting the FAT and shall provide Kornit with written certification that each Product passed the applicable FAT and complies in all material respects with the applicable Specifications. Kornit may participate, at its expense, as it deems necessary, in any FAT, in which case FAT shall only be deemed to have passed if approved in writing by Kornit. Sanmina shall provide Kornit with reasonable facilities and assistance at no additional charge to participate in the FAT. The Products delivered by Sanmina may be inspected and tested by Kornit, using the same FAT test approved for use by Sanmina, within five (5) Business Days of receipt at the “ship to” location on the applicable Purchase Order. Notwithstanding any prior inspection conducted at Sanmina’ premises or by Sanmina (including the FAT), or payment made by Kornit, Kornit may reject any portion of any shipment of Products during said period if, according to the FAT as conducted by Kornit, the Products do not comply with the Specifications. Products not rejected during said period will be deemed accepted. If Kornit does not reject the tendered Products with such time period then the Products shall be</w:t>
      </w:r>
    </w:p>
    <w:p>
      <w:pPr>
        <w:spacing w:after="0" w:line="5" w:lineRule="exact"/>
        <w:rPr>
          <w:sz w:val="20"/>
          <w:szCs w:val="20"/>
          <w:color w:val="auto"/>
        </w:rPr>
      </w:pPr>
    </w:p>
    <w:p>
      <w:pPr>
        <w:jc w:val="both"/>
        <w:ind w:left="980"/>
        <w:spacing w:after="0" w:line="209" w:lineRule="auto"/>
        <w:rPr>
          <w:sz w:val="20"/>
          <w:szCs w:val="20"/>
          <w:color w:val="auto"/>
        </w:rPr>
      </w:pPr>
      <w:r>
        <w:rPr>
          <w:rFonts w:ascii="Arial" w:cs="Arial" w:eastAsia="Arial" w:hAnsi="Arial"/>
          <w:sz w:val="18"/>
          <w:szCs w:val="18"/>
          <w:color w:val="auto"/>
        </w:rPr>
        <w:t>“deemed” accepted. Any Products so returned to Sanmina will be repaired or replaced, at Sanmina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option and expense in accordance with the provisions of Section 18 below.</w:t>
      </w:r>
    </w:p>
    <w:p>
      <w:pPr>
        <w:spacing w:after="0" w:line="204"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8"/>
          <w:szCs w:val="18"/>
          <w:b w:val="1"/>
          <w:bCs w:val="1"/>
          <w:color w:val="auto"/>
        </w:rPr>
      </w:pPr>
      <w:r>
        <w:rPr>
          <w:rFonts w:ascii="Arial" w:cs="Arial" w:eastAsia="Arial" w:hAnsi="Arial"/>
          <w:sz w:val="18"/>
          <w:szCs w:val="18"/>
          <w:u w:val="single" w:color="auto"/>
          <w:color w:val="auto"/>
        </w:rPr>
        <w:t>Epidemic Failure</w:t>
      </w:r>
    </w:p>
    <w:p>
      <w:pPr>
        <w:spacing w:after="0" w:line="225" w:lineRule="exact"/>
        <w:rPr>
          <w:sz w:val="20"/>
          <w:szCs w:val="20"/>
          <w:color w:val="auto"/>
        </w:rPr>
      </w:pPr>
    </w:p>
    <w:p>
      <w:pPr>
        <w:jc w:val="both"/>
        <w:ind w:left="1420" w:hanging="444"/>
        <w:spacing w:after="0" w:line="291" w:lineRule="auto"/>
        <w:rPr>
          <w:sz w:val="20"/>
          <w:szCs w:val="20"/>
          <w:color w:val="auto"/>
        </w:rPr>
      </w:pPr>
      <w:r>
        <w:rPr>
          <w:rFonts w:ascii="Arial" w:cs="Arial" w:eastAsia="Arial" w:hAnsi="Arial"/>
          <w:sz w:val="16"/>
          <w:szCs w:val="16"/>
          <w:color w:val="auto"/>
        </w:rPr>
        <w:t>15.1 Sanmina warrants the Products to be delivered to Kornit pursuant to this Agreement against Epidemic Failure for a period of 1 year after its shipment. “Epidemic Failure” means the occurrence of the same failure, defect, or non-conformity in Sanmina workmanship the Products supplied by Sanmina with an order in [***] or more of the supply within any three-month period. If an Epidemic Failure occurs, all costs, including but not limited to, repair or replacement of the affected Products (at Sanmina’s option), parts, upgrades, labor, transportation and inventory replacement arising from an Epidemic Failure shall be borne by Sanmina, regardless of whether Kornit initiates a field stocking recall or customer-based recall or retrofit, including supply in distributor inventory and Kornit’s installed base. Sanmina, at its expense, will ensure that such supply, parts or upgrades have the highest shipping priority.</w:t>
      </w:r>
    </w:p>
    <w:p>
      <w:pPr>
        <w:spacing w:after="0" w:line="166" w:lineRule="exact"/>
        <w:rPr>
          <w:sz w:val="20"/>
          <w:szCs w:val="20"/>
          <w:color w:val="auto"/>
        </w:rPr>
      </w:pPr>
    </w:p>
    <w:p>
      <w:pPr>
        <w:jc w:val="both"/>
        <w:ind w:left="1420" w:hanging="444"/>
        <w:spacing w:after="0" w:line="286" w:lineRule="auto"/>
        <w:rPr>
          <w:sz w:val="20"/>
          <w:szCs w:val="20"/>
          <w:color w:val="auto"/>
        </w:rPr>
      </w:pPr>
      <w:r>
        <w:rPr>
          <w:rFonts w:ascii="Arial" w:cs="Arial" w:eastAsia="Arial" w:hAnsi="Arial"/>
          <w:sz w:val="17"/>
          <w:szCs w:val="17"/>
          <w:color w:val="auto"/>
        </w:rPr>
        <w:t>15.2 The foregoing warranties shall survive delivery and payment, and shall run in favor of Kornit, its customers, successors and assigns. No payment, inspection, verification, acceptance, test, delay, use, resale or failure to inspect, verify, test or discover any defect or other nonconformance shall relieve Sanmina of any of its obligations or impair any rights or remedies of Kornit.</w:t>
      </w:r>
    </w:p>
    <w:p>
      <w:pPr>
        <w:spacing w:after="0" w:line="165"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8"/>
          <w:szCs w:val="18"/>
          <w:b w:val="1"/>
          <w:bCs w:val="1"/>
          <w:color w:val="auto"/>
        </w:rPr>
      </w:pPr>
      <w:r>
        <w:rPr>
          <w:rFonts w:ascii="Arial" w:cs="Arial" w:eastAsia="Arial" w:hAnsi="Arial"/>
          <w:sz w:val="18"/>
          <w:szCs w:val="18"/>
          <w:u w:val="single" w:color="auto"/>
          <w:color w:val="auto"/>
        </w:rPr>
        <w:t>Inspection Rights: Reports</w:t>
      </w:r>
    </w:p>
    <w:p>
      <w:pPr>
        <w:spacing w:after="0" w:line="225" w:lineRule="exact"/>
        <w:rPr>
          <w:sz w:val="20"/>
          <w:szCs w:val="20"/>
          <w:color w:val="auto"/>
        </w:rPr>
      </w:pPr>
    </w:p>
    <w:p>
      <w:pPr>
        <w:jc w:val="both"/>
        <w:ind w:left="1420" w:hanging="444"/>
        <w:spacing w:after="0" w:line="286" w:lineRule="auto"/>
        <w:rPr>
          <w:sz w:val="20"/>
          <w:szCs w:val="20"/>
          <w:color w:val="auto"/>
        </w:rPr>
      </w:pPr>
      <w:r>
        <w:rPr>
          <w:rFonts w:ascii="Arial" w:cs="Arial" w:eastAsia="Arial" w:hAnsi="Arial"/>
          <w:sz w:val="17"/>
          <w:szCs w:val="17"/>
          <w:color w:val="auto"/>
        </w:rPr>
        <w:t>16.1 Upon request by Kornit, from time to time, and during normal business hours, subject to compliance with Sanmina’s confidentiality and security requirements, Sanmina will allow Kornit representatives to inspect the manufacturing and quality control, testing operations, compliance procedures and premises relating to the manufacture, assembly and testing of the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both"/>
        <w:ind w:left="1420" w:hanging="444"/>
        <w:spacing w:after="0" w:line="263" w:lineRule="auto"/>
        <w:rPr>
          <w:sz w:val="20"/>
          <w:szCs w:val="20"/>
          <w:color w:val="auto"/>
        </w:rPr>
      </w:pPr>
      <w:r>
        <w:rPr>
          <w:rFonts w:ascii="Arial" w:cs="Arial" w:eastAsia="Arial" w:hAnsi="Arial"/>
          <w:sz w:val="18"/>
          <w:szCs w:val="18"/>
          <w:color w:val="auto"/>
        </w:rPr>
        <w:t>16.2 Upon Kornit request Sanmina shall provide Kornit with standard reports and analysis of the yields of each of the quality tests performed to the Products and shall report any defect which was discovered during such tests in the Product or in the production process within a reasonable period from the time Sanmina becomes aware of such defect.</w:t>
      </w:r>
    </w:p>
    <w:p>
      <w:pPr>
        <w:spacing w:after="0" w:line="184" w:lineRule="exact"/>
        <w:rPr>
          <w:sz w:val="20"/>
          <w:szCs w:val="20"/>
          <w:color w:val="auto"/>
        </w:rPr>
      </w:pPr>
    </w:p>
    <w:p>
      <w:pPr>
        <w:jc w:val="both"/>
        <w:ind w:left="1420" w:right="20" w:hanging="444"/>
        <w:spacing w:after="0" w:line="277" w:lineRule="auto"/>
        <w:rPr>
          <w:sz w:val="20"/>
          <w:szCs w:val="20"/>
          <w:color w:val="auto"/>
        </w:rPr>
      </w:pPr>
      <w:r>
        <w:rPr>
          <w:rFonts w:ascii="Arial" w:cs="Arial" w:eastAsia="Arial" w:hAnsi="Arial"/>
          <w:sz w:val="18"/>
          <w:szCs w:val="18"/>
          <w:color w:val="auto"/>
        </w:rPr>
        <w:t>16.3 From time to time, Kornit may request reports as to the progress of the Product production in accordance with the then outstanding Purchase Order.</w:t>
      </w:r>
    </w:p>
    <w:p>
      <w:pPr>
        <w:spacing w:after="0" w:line="170"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u w:val="single" w:color="auto"/>
          <w:color w:val="auto"/>
        </w:rPr>
        <w:t>Engineering Change Order (ECOl</w:t>
      </w:r>
    </w:p>
    <w:p>
      <w:pPr>
        <w:spacing w:after="0" w:line="225" w:lineRule="exact"/>
        <w:rPr>
          <w:sz w:val="20"/>
          <w:szCs w:val="20"/>
          <w:color w:val="auto"/>
        </w:rPr>
      </w:pPr>
    </w:p>
    <w:p>
      <w:pPr>
        <w:jc w:val="both"/>
        <w:ind w:left="1420" w:hanging="444"/>
        <w:spacing w:after="0" w:line="311" w:lineRule="auto"/>
        <w:rPr>
          <w:sz w:val="20"/>
          <w:szCs w:val="20"/>
          <w:color w:val="auto"/>
        </w:rPr>
      </w:pPr>
      <w:r>
        <w:rPr>
          <w:rFonts w:ascii="Arial" w:cs="Arial" w:eastAsia="Arial" w:hAnsi="Arial"/>
          <w:sz w:val="16"/>
          <w:szCs w:val="16"/>
          <w:color w:val="auto"/>
        </w:rPr>
        <w:t>17.1 An Engineering Change Order (“ECO”) is required when the form, fit or function of the design of the Product and/or Specifications are affected. Kornit may request that Sanmina incorporate engineering changes into the Product or Specifications by providing a written description of the proposed engineering change sufficient to permit Sanmina to evaluate the feasibility and cost of the proposed change.</w:t>
      </w:r>
    </w:p>
    <w:p>
      <w:pPr>
        <w:spacing w:after="0" w:line="149" w:lineRule="exact"/>
        <w:rPr>
          <w:sz w:val="20"/>
          <w:szCs w:val="20"/>
          <w:color w:val="auto"/>
        </w:rPr>
      </w:pPr>
    </w:p>
    <w:p>
      <w:pPr>
        <w:jc w:val="both"/>
        <w:ind w:left="1420" w:hanging="444"/>
        <w:spacing w:after="0" w:line="259" w:lineRule="auto"/>
        <w:rPr>
          <w:sz w:val="20"/>
          <w:szCs w:val="20"/>
          <w:color w:val="auto"/>
        </w:rPr>
      </w:pPr>
      <w:r>
        <w:rPr>
          <w:rFonts w:ascii="Arial" w:cs="Arial" w:eastAsia="Arial" w:hAnsi="Arial"/>
          <w:sz w:val="18"/>
          <w:szCs w:val="18"/>
          <w:color w:val="auto"/>
        </w:rPr>
        <w:t>17.2 Sanmina will provide a written response in the form of an “Engineering Change Analysis” to Kornit if such changes affect the per/unit price and/or delivery of a Product, within ten (10) Business Days. The Engineering Change Analysis cost impact shell be written directly in Kornit ERP system (Priority) in addition to a formal ECO breakdown indicate the implication and the cost changes per line item (Scrap, Rework etc.).</w:t>
      </w:r>
    </w:p>
    <w:p>
      <w:pPr>
        <w:spacing w:after="0" w:line="187" w:lineRule="exact"/>
        <w:rPr>
          <w:sz w:val="20"/>
          <w:szCs w:val="20"/>
          <w:color w:val="auto"/>
        </w:rPr>
      </w:pPr>
    </w:p>
    <w:p>
      <w:pPr>
        <w:jc w:val="both"/>
        <w:ind w:left="1420" w:hanging="444"/>
        <w:spacing w:after="0" w:line="311" w:lineRule="auto"/>
        <w:rPr>
          <w:sz w:val="20"/>
          <w:szCs w:val="20"/>
          <w:color w:val="auto"/>
        </w:rPr>
      </w:pPr>
      <w:r>
        <w:rPr>
          <w:rFonts w:ascii="Arial" w:cs="Arial" w:eastAsia="Arial" w:hAnsi="Arial"/>
          <w:sz w:val="16"/>
          <w:szCs w:val="16"/>
          <w:color w:val="auto"/>
        </w:rPr>
        <w:t>17.3 Kornit will respond with a written acceptance or rejection of the Sanmina “Engineering Change Analysis” within three (3) Business Days. Sanmina will not implement the change to the design or Specifications of any Product or materials, equipment, manufacturing and quality assurance procedures, methods and techniques used to produce a Product, without Kornit’s prior written approval.</w:t>
      </w:r>
    </w:p>
    <w:p>
      <w:pPr>
        <w:spacing w:after="0" w:line="149" w:lineRule="exact"/>
        <w:rPr>
          <w:sz w:val="20"/>
          <w:szCs w:val="20"/>
          <w:color w:val="auto"/>
        </w:rPr>
      </w:pPr>
    </w:p>
    <w:p>
      <w:pPr>
        <w:jc w:val="both"/>
        <w:ind w:left="1420" w:hanging="444"/>
        <w:spacing w:after="0" w:line="277" w:lineRule="auto"/>
        <w:rPr>
          <w:sz w:val="20"/>
          <w:szCs w:val="20"/>
          <w:color w:val="auto"/>
        </w:rPr>
      </w:pPr>
      <w:r>
        <w:rPr>
          <w:rFonts w:ascii="Arial" w:cs="Arial" w:eastAsia="Arial" w:hAnsi="Arial"/>
          <w:sz w:val="18"/>
          <w:szCs w:val="18"/>
          <w:color w:val="auto"/>
        </w:rPr>
        <w:t>17.4 Sanmina will implement any ECO at the date mutually agreed between the Parties, provided that the Parties have agreed upon the changes to the Specifications and delivery schedule.</w:t>
      </w:r>
    </w:p>
    <w:p>
      <w:pPr>
        <w:spacing w:after="0" w:line="170" w:lineRule="exact"/>
        <w:rPr>
          <w:sz w:val="20"/>
          <w:szCs w:val="20"/>
          <w:color w:val="auto"/>
        </w:rPr>
      </w:pPr>
    </w:p>
    <w:p>
      <w:pPr>
        <w:jc w:val="both"/>
        <w:ind w:left="1420" w:hanging="444"/>
        <w:spacing w:after="0" w:line="263" w:lineRule="auto"/>
        <w:rPr>
          <w:sz w:val="20"/>
          <w:szCs w:val="20"/>
          <w:color w:val="auto"/>
        </w:rPr>
      </w:pPr>
      <w:r>
        <w:rPr>
          <w:rFonts w:ascii="Arial" w:cs="Arial" w:eastAsia="Arial" w:hAnsi="Arial"/>
          <w:sz w:val="18"/>
          <w:szCs w:val="18"/>
          <w:color w:val="auto"/>
        </w:rPr>
        <w:t>17.5 The cost of Inventory that becomes unusable because of an ECO and any other agreed implementation costs will be the responsibility of Kornit. Such responsibility shall be supported by documentation provided by Sanmina. The settlement between the Parties regarding such costs shall be made on a quarterly basis.</w:t>
      </w:r>
    </w:p>
    <w:p>
      <w:pPr>
        <w:spacing w:after="0" w:line="184" w:lineRule="exact"/>
        <w:rPr>
          <w:sz w:val="20"/>
          <w:szCs w:val="20"/>
          <w:color w:val="auto"/>
        </w:rPr>
      </w:pPr>
    </w:p>
    <w:p>
      <w:pPr>
        <w:jc w:val="both"/>
        <w:ind w:left="1420" w:right="20" w:hanging="444"/>
        <w:spacing w:after="0" w:line="277" w:lineRule="auto"/>
        <w:rPr>
          <w:sz w:val="20"/>
          <w:szCs w:val="20"/>
          <w:color w:val="auto"/>
        </w:rPr>
      </w:pPr>
      <w:r>
        <w:rPr>
          <w:rFonts w:ascii="Arial" w:cs="Arial" w:eastAsia="Arial" w:hAnsi="Arial"/>
          <w:sz w:val="18"/>
          <w:szCs w:val="18"/>
          <w:color w:val="auto"/>
        </w:rPr>
        <w:t>17.6 Kornit will issue a PO for the related costs plus material overhead ([***]%) of the ECO such as dead stock, SCRAP, within 25 Business Days of Kornit approval.</w:t>
      </w:r>
    </w:p>
    <w:p>
      <w:pPr>
        <w:spacing w:after="0" w:line="170"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u w:val="single" w:color="auto"/>
          <w:color w:val="auto"/>
        </w:rPr>
        <w:t>Kornit Property</w:t>
      </w:r>
    </w:p>
    <w:p>
      <w:pPr>
        <w:spacing w:after="0" w:line="225"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Any Consigned Tooling and Equipment supplied by Kornit or procured by Sanmina at Kornit expense (the “Kornit Property”) will remain the property of Kornit and will (i) be clearly marked or tagged as the Property of Kornit, (ii) be subject to inspection by Kornit at any time upon reasonable prior coordination, (iii) be used only for the performance of Sanmina’s services hereunder, (iv) will not be subject to any liens and encumbrances by Sanmina, and (vi) not be modified in any manner by Sanmina without the prior written approval of Kornit. The Kornit Property shall be maintained by Kornit in accordance with Kornit’s maintenance procedures including but not limited to periodic calibration. Kornit will retain all rights, title and interest in the Kornit Property and Sanmina agrees to treat the Kornit Property with the same degree of care as Sanmina uses with respect to its own valuable tooling and equipment, but no less care than reasonable care. Notwithstanding anything to the contrary under this Agreement or under applicable law, Sanmina shall not be responsible for any maintenance, repairs or replacements of the Kornit Property. Kornit will bear all risk of loss or damage to Kornit Property while it is in Sanmina’ premises and Sanmina shall not be responsible for any damage caused to or by the Kornit Property, other than to physical damage caused to Kornit Property by Sanmina malicious and/or negligent behavior. Upon Kornit’s request, Sanmina will deliver all Kornit Property to Kornit, at Kornit expense; Kornit will determine the manner and procedure for returning the Kornit Property, and will pay the corresponding freight costs. Sanmina’s production and warranty obligations which require the utilization of the returned Kornit Property will cease upon Sanmina’s fulfillment of Kornit’s request to return the Kornit Property.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ind w:left="340" w:hanging="332"/>
        <w:spacing w:after="0"/>
        <w:tabs>
          <w:tab w:leader="none" w:pos="340" w:val="left"/>
        </w:tabs>
        <w:numPr>
          <w:ilvl w:val="0"/>
          <w:numId w:val="156"/>
        </w:numPr>
        <w:rPr>
          <w:rFonts w:ascii="Arial" w:cs="Arial" w:eastAsia="Arial" w:hAnsi="Arial"/>
          <w:sz w:val="18"/>
          <w:szCs w:val="18"/>
          <w:b w:val="1"/>
          <w:bCs w:val="1"/>
          <w:color w:val="auto"/>
        </w:rPr>
      </w:pPr>
      <w:r>
        <w:rPr>
          <w:rFonts w:ascii="Arial" w:cs="Arial" w:eastAsia="Arial" w:hAnsi="Arial"/>
          <w:sz w:val="18"/>
          <w:szCs w:val="18"/>
          <w:u w:val="single" w:color="auto"/>
          <w:color w:val="auto"/>
        </w:rPr>
        <w:t>Warranties</w:t>
      </w:r>
    </w:p>
    <w:p>
      <w:pPr>
        <w:spacing w:after="0" w:line="225" w:lineRule="exact"/>
        <w:rPr>
          <w:sz w:val="20"/>
          <w:szCs w:val="20"/>
          <w:color w:val="auto"/>
        </w:rPr>
      </w:pPr>
    </w:p>
    <w:p>
      <w:pPr>
        <w:jc w:val="both"/>
        <w:ind w:left="1420" w:right="20" w:hanging="444"/>
        <w:spacing w:after="0" w:line="277" w:lineRule="auto"/>
        <w:rPr>
          <w:sz w:val="20"/>
          <w:szCs w:val="20"/>
          <w:color w:val="auto"/>
        </w:rPr>
      </w:pPr>
      <w:r>
        <w:rPr>
          <w:rFonts w:ascii="Arial" w:cs="Arial" w:eastAsia="Arial" w:hAnsi="Arial"/>
          <w:sz w:val="18"/>
          <w:szCs w:val="18"/>
          <w:color w:val="auto"/>
        </w:rPr>
        <w:t>19.1 Sanmina represents and warrants to Kornit that all work and service provided by Sanmina pursuant to this Agreement will be provided in a timely, professional and workmanlike manner.</w:t>
      </w:r>
    </w:p>
    <w:p>
      <w:pPr>
        <w:spacing w:after="0" w:line="170" w:lineRule="exact"/>
        <w:rPr>
          <w:sz w:val="20"/>
          <w:szCs w:val="20"/>
          <w:color w:val="auto"/>
        </w:rPr>
      </w:pPr>
    </w:p>
    <w:p>
      <w:pPr>
        <w:jc w:val="both"/>
        <w:ind w:left="1420" w:hanging="444"/>
        <w:spacing w:after="0" w:line="259" w:lineRule="auto"/>
        <w:rPr>
          <w:sz w:val="20"/>
          <w:szCs w:val="20"/>
          <w:color w:val="auto"/>
        </w:rPr>
      </w:pPr>
      <w:r>
        <w:rPr>
          <w:rFonts w:ascii="Arial" w:cs="Arial" w:eastAsia="Arial" w:hAnsi="Arial"/>
          <w:sz w:val="18"/>
          <w:szCs w:val="18"/>
          <w:color w:val="auto"/>
        </w:rPr>
        <w:t>19.2 Sanmina also represents and warrants to Kornit that all Products (i) will be manufactured in accordance with the then current Specifications and, in all material respects, with laws and regulations applicable to Sanmina’s manufacture of the Products; and (ii) will be free from defects in workmanship and conform with the Specifications for a period of [***] from the date of shipment (the “Warranty” and the “Warranty Period”, respectively).</w:t>
      </w:r>
    </w:p>
    <w:p>
      <w:pPr>
        <w:spacing w:after="0" w:line="187" w:lineRule="exact"/>
        <w:rPr>
          <w:sz w:val="20"/>
          <w:szCs w:val="20"/>
          <w:color w:val="auto"/>
        </w:rPr>
      </w:pPr>
    </w:p>
    <w:p>
      <w:pPr>
        <w:jc w:val="both"/>
        <w:ind w:left="1420" w:hanging="444"/>
        <w:spacing w:after="0" w:line="254" w:lineRule="auto"/>
        <w:rPr>
          <w:sz w:val="20"/>
          <w:szCs w:val="20"/>
          <w:color w:val="auto"/>
        </w:rPr>
      </w:pPr>
      <w:r>
        <w:rPr>
          <w:rFonts w:ascii="Arial" w:cs="Arial" w:eastAsia="Arial" w:hAnsi="Arial"/>
          <w:sz w:val="18"/>
          <w:szCs w:val="18"/>
          <w:color w:val="auto"/>
        </w:rPr>
        <w:t>19.3 Any Products that do not meet the Warranty will be repaired or replaced at Sanmina’ sole option and expense or, in the event that such Product cannot be repaired or replaced using commercially reasonable efforts during the time mentioned below, Sanmina will credit Kornit the purchase price paid by Kornit for such Product. Sanmina will repair or replace any defected Product covered by the Warranty as soon as reasonably commercially possible but not later than ten (10) Business Days of receipt by Sanmina of the returned Product; provided that the Products are returned within the Warranty Period. The foregoing set forth Sanmina’s sole obligation and Kornit’s sole remedy under the Warranty. Any repaired or replaced Product shall benefit from Sanmina’ limited Warranty, for the reminder of the term of the original Warranty Period, provided however that the warranty period shall not be less than three (3) months from the date of replacement or repair.</w:t>
      </w:r>
    </w:p>
    <w:p>
      <w:pPr>
        <w:spacing w:after="0" w:line="192" w:lineRule="exact"/>
        <w:rPr>
          <w:sz w:val="20"/>
          <w:szCs w:val="20"/>
          <w:color w:val="auto"/>
        </w:rPr>
      </w:pPr>
    </w:p>
    <w:p>
      <w:pPr>
        <w:jc w:val="both"/>
        <w:ind w:left="1420" w:hanging="444"/>
        <w:spacing w:after="0" w:line="257" w:lineRule="auto"/>
        <w:rPr>
          <w:sz w:val="20"/>
          <w:szCs w:val="20"/>
          <w:color w:val="auto"/>
        </w:rPr>
      </w:pPr>
      <w:r>
        <w:rPr>
          <w:rFonts w:ascii="Arial" w:cs="Arial" w:eastAsia="Arial" w:hAnsi="Arial"/>
          <w:sz w:val="18"/>
          <w:szCs w:val="18"/>
          <w:color w:val="auto"/>
        </w:rPr>
        <w:t>19.4 Notwithstanding anything else in this Agreement, this express limited Warranty will not apply to, and Sanmina makes no representations or warranties whatsoever with respect to any of: (i) Products that have been abused, damaged, altered or misused or mishandled (including improper storage or installation or improper handling in accordance with static sensitive electronic device handling requirements) by any person or entity after title passes to Kornit; (ii) improperly installation or maintenance, or (iii) repairs or alteration by anyone other than Sanmina.</w:t>
      </w:r>
    </w:p>
    <w:p>
      <w:pPr>
        <w:spacing w:after="0" w:line="188" w:lineRule="exact"/>
        <w:rPr>
          <w:sz w:val="20"/>
          <w:szCs w:val="20"/>
          <w:color w:val="auto"/>
        </w:rPr>
      </w:pPr>
    </w:p>
    <w:p>
      <w:pPr>
        <w:jc w:val="both"/>
        <w:ind w:left="1420" w:right="20" w:hanging="444"/>
        <w:spacing w:after="0" w:line="277" w:lineRule="auto"/>
        <w:rPr>
          <w:sz w:val="20"/>
          <w:szCs w:val="20"/>
          <w:color w:val="auto"/>
        </w:rPr>
      </w:pPr>
      <w:r>
        <w:rPr>
          <w:rFonts w:ascii="Arial" w:cs="Arial" w:eastAsia="Arial" w:hAnsi="Arial"/>
          <w:sz w:val="18"/>
          <w:szCs w:val="18"/>
          <w:color w:val="auto"/>
        </w:rPr>
        <w:t>19.5 Kornit shall return Products covered by this Warranty freight prepaid after completing a failure report and obtaining a return material authorization number from Sanmina to be displayed on the shipping container.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19.6  Sanmina further represents and warrants that upon delivery Kornit shall receive free, good and clear title to all Products.</w:t>
      </w:r>
    </w:p>
    <w:p>
      <w:pPr>
        <w:spacing w:after="0" w:line="225" w:lineRule="exact"/>
        <w:rPr>
          <w:sz w:val="20"/>
          <w:szCs w:val="20"/>
          <w:color w:val="auto"/>
        </w:rPr>
      </w:pPr>
    </w:p>
    <w:p>
      <w:pPr>
        <w:jc w:val="both"/>
        <w:ind w:left="1420" w:hanging="444"/>
        <w:spacing w:after="0" w:line="263" w:lineRule="auto"/>
        <w:rPr>
          <w:sz w:val="20"/>
          <w:szCs w:val="20"/>
          <w:color w:val="auto"/>
        </w:rPr>
      </w:pPr>
      <w:r>
        <w:rPr>
          <w:rFonts w:ascii="Arial" w:cs="Arial" w:eastAsia="Arial" w:hAnsi="Arial"/>
          <w:sz w:val="18"/>
          <w:szCs w:val="18"/>
          <w:color w:val="auto"/>
        </w:rPr>
        <w:t>19.7 Sanmina will not, without the express prior written approval of Kornit, make any change to the Specifications, manufacture a Product that is not in strict compliance with its Specifications, or include in any Product any materials that have not been expressly authorized by Kornit.</w:t>
      </w:r>
    </w:p>
    <w:p>
      <w:pPr>
        <w:spacing w:after="0" w:line="184" w:lineRule="exact"/>
        <w:rPr>
          <w:sz w:val="20"/>
          <w:szCs w:val="20"/>
          <w:color w:val="auto"/>
        </w:rPr>
      </w:pPr>
    </w:p>
    <w:p>
      <w:pPr>
        <w:jc w:val="both"/>
        <w:ind w:left="1420" w:hanging="444"/>
        <w:spacing w:after="0" w:line="277" w:lineRule="auto"/>
        <w:rPr>
          <w:sz w:val="20"/>
          <w:szCs w:val="20"/>
          <w:color w:val="auto"/>
        </w:rPr>
      </w:pPr>
      <w:r>
        <w:rPr>
          <w:rFonts w:ascii="Arial" w:cs="Arial" w:eastAsia="Arial" w:hAnsi="Arial"/>
          <w:sz w:val="18"/>
          <w:szCs w:val="18"/>
          <w:color w:val="auto"/>
        </w:rPr>
        <w:t>19.8 AH delivered Products will be adequately and correctly contained, packaged, marked and labeled in accordance with Kornit’s instructions as set forth in the Specifications.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both"/>
        <w:ind w:left="1420" w:hanging="444"/>
        <w:spacing w:after="0" w:line="286" w:lineRule="auto"/>
        <w:rPr>
          <w:sz w:val="20"/>
          <w:szCs w:val="20"/>
          <w:color w:val="auto"/>
        </w:rPr>
      </w:pPr>
      <w:r>
        <w:rPr>
          <w:rFonts w:ascii="Arial" w:cs="Arial" w:eastAsia="Arial" w:hAnsi="Arial"/>
          <w:sz w:val="16"/>
          <w:szCs w:val="16"/>
          <w:color w:val="auto"/>
        </w:rPr>
        <w:t>19.9 In order to enable use of the Products in total safety, Sanmina shall: (i) comply with all applicable law, including, but not limited to, Environmental Regulations, obtaining the applicable business permit, fire department permit and license from the Ministry of Environmental Protection, (ii) ensure that the Sanmina manufacturing processes used in the manufacture of the Products are compliant with the European Directive 2002/95/EC of 27 January 2003, also known as the RoHS Directive; (iii) with respect to compliance with the REACH Regulation (EC 1907/2006), Sanmina’s obligations shall be limited to those Components and consumables directly involved in Sanmina’s manufacturing process (e.g. cleaning solvent, solder paste used in the Sanmina manufacturing process, etc.), and those parts added to the AVL by Sanmina (e.g. PCB, enclosure, packaging material, etc. sourced by Sanmina as part of any mutually agreed localization programs). Should additional services be required by Kornit regarding RoHS and other environmental requirements then Sanmina shall provide a proposal to provide such additional services to Kornit at Sanmina’s then current rates; and (iv) take appropriate due diligence and continuous monitoring of Sanmina’s supply chain, in accordance with its Conflict Mineral Policy, as are reasonably necessary to avoid procurement or use of raw metals sourced from regions of the world known as “conflict regions”, including, without limitation, conflict materials that directly or indirectly finance or benefit armed groups in the Democratic Republic of the Congo or an adjoining country, as such terms are defined in Section 1502 of the US Dodd-Frank Wall Street Reform and Consumer Protection Act. Sanmina further agrees to fully support Kornit’s efforts to keep its supply chain free from such conflict metals and make its due diligence measures available to Kornit for review upon request.</w:t>
      </w:r>
    </w:p>
    <w:p>
      <w:pPr>
        <w:spacing w:after="0" w:line="167" w:lineRule="exact"/>
        <w:rPr>
          <w:sz w:val="20"/>
          <w:szCs w:val="20"/>
          <w:color w:val="auto"/>
        </w:rPr>
      </w:pPr>
    </w:p>
    <w:p>
      <w:pPr>
        <w:jc w:val="both"/>
        <w:ind w:left="1420" w:hanging="444"/>
        <w:spacing w:after="0" w:line="259" w:lineRule="auto"/>
        <w:rPr>
          <w:sz w:val="20"/>
          <w:szCs w:val="20"/>
          <w:color w:val="auto"/>
        </w:rPr>
      </w:pPr>
      <w:r>
        <w:rPr>
          <w:rFonts w:ascii="Arial" w:cs="Arial" w:eastAsia="Arial" w:hAnsi="Arial"/>
          <w:sz w:val="18"/>
          <w:szCs w:val="18"/>
          <w:color w:val="auto"/>
        </w:rPr>
        <w:t>19.10 Subject to Sanmina’s record retention policy, upon Kornit’s written request, Sanmina shall provide Kornit with supporting documents which may be with respect to the manufacture of the Products during the term of the Agreement and the costs of retrieving, copying and forwarding such requested records to Kornit shall be at Kornit’s expense. Sanmina shall retain a copy of all such documents for a period of [***] unless otherwise agreed in writing.</w:t>
      </w:r>
    </w:p>
    <w:p>
      <w:pPr>
        <w:spacing w:after="0" w:line="187" w:lineRule="exact"/>
        <w:rPr>
          <w:sz w:val="20"/>
          <w:szCs w:val="20"/>
          <w:color w:val="auto"/>
        </w:rPr>
      </w:pPr>
    </w:p>
    <w:p>
      <w:pPr>
        <w:jc w:val="both"/>
        <w:ind w:left="1420" w:hanging="444"/>
        <w:spacing w:after="0" w:line="286" w:lineRule="auto"/>
        <w:rPr>
          <w:sz w:val="20"/>
          <w:szCs w:val="20"/>
          <w:color w:val="auto"/>
        </w:rPr>
      </w:pPr>
      <w:r>
        <w:rPr>
          <w:rFonts w:ascii="Arial" w:cs="Arial" w:eastAsia="Arial" w:hAnsi="Arial"/>
          <w:sz w:val="17"/>
          <w:szCs w:val="17"/>
          <w:color w:val="auto"/>
        </w:rPr>
        <w:t>19.11 SANMINA MAKES NO OTHER WARRANTIES, EXPRESSED OR IMPLIED, WITH RESPECT TO THE PRODUCTS OR ANY SERVICES PROVIDED UNDER THIS AGREEMENT, AND DISCLAIMS ALL OTHER WARRANTIES INCLUDING THE WARRANTIES OF MERCHANTABILITY, TITLE OR FITNESS FOR A PARTICULAR PURPOSE OR NON-INFRINGEMENT.</w:t>
      </w:r>
    </w:p>
    <w:p>
      <w:pPr>
        <w:spacing w:after="0" w:line="165"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8"/>
          <w:szCs w:val="18"/>
          <w:b w:val="1"/>
          <w:bCs w:val="1"/>
          <w:color w:val="auto"/>
        </w:rPr>
      </w:pPr>
      <w:r>
        <w:rPr>
          <w:rFonts w:ascii="Arial" w:cs="Arial" w:eastAsia="Arial" w:hAnsi="Arial"/>
          <w:sz w:val="18"/>
          <w:szCs w:val="18"/>
          <w:u w:val="single" w:color="auto"/>
          <w:color w:val="auto"/>
        </w:rPr>
        <w:t>Intellectual Property Ownership and Licenses</w:t>
      </w:r>
    </w:p>
    <w:p>
      <w:pPr>
        <w:spacing w:after="0" w:line="225" w:lineRule="exact"/>
        <w:rPr>
          <w:sz w:val="20"/>
          <w:szCs w:val="20"/>
          <w:color w:val="auto"/>
        </w:rPr>
      </w:pPr>
    </w:p>
    <w:p>
      <w:pPr>
        <w:jc w:val="both"/>
        <w:ind w:left="1420" w:hanging="444"/>
        <w:spacing w:after="0" w:line="286" w:lineRule="auto"/>
        <w:rPr>
          <w:sz w:val="20"/>
          <w:szCs w:val="20"/>
          <w:color w:val="auto"/>
        </w:rPr>
      </w:pPr>
      <w:r>
        <w:rPr>
          <w:rFonts w:ascii="Arial" w:cs="Arial" w:eastAsia="Arial" w:hAnsi="Arial"/>
          <w:sz w:val="16"/>
          <w:szCs w:val="16"/>
          <w:color w:val="auto"/>
        </w:rPr>
        <w:t>20.1 As between the Parties, Kornit is and will remain the sole and exclusive owner of all title to and interest in the Kornit’s Intellectual Property Rights, Products, Kornit’s Confidential Information, Kornit Property, Specifications, software and all inventions, discoveries, designs, modifications, improvements, know how, derivative works, that are based on Kornit Property, Confidential Information, Specifications and software, and that are made, developed, conceived or reduced to practice by either Kornit or Sanmina, solely, jointly or on their behalf during the term of this Agreement (collectively referred to as “Inventions”). Kornit is and will remain the sole and exclusive owner of all title to and interest in the equipment and software provided by or on behalf of Kornit. Sanmina agrees not to remove or deface any portion of any legend provided on any software or documentation delivered to Sanmina under this Agreement. Sanmina hereby assigns any right it may have in the Invention to Kornit. Sanmina further agrees to do all things reasonably necessary to evidence and perfect Kornit’s interest therein, as reasonably requested by Kornit and at Kornit’s expense. In addition to the above, Sanmina will provide updated copies of all engineering drawings, specifications, design files, and any other design documents to Kornit on a quarterly basis. Sanmina represents and warrants that it shall not knowingly, directly or indirectly, through its affiliated companies, distributors, resellers or agents of any type or nature, use, implement, or disclose any of Kornit*s Inventions and Intellectual Property Rights to any third party unless Sanmina will obtain the proper license from Kornit.</w:t>
      </w:r>
    </w:p>
    <w:p>
      <w:pPr>
        <w:spacing w:after="0" w:line="174" w:lineRule="exact"/>
        <w:rPr>
          <w:sz w:val="20"/>
          <w:szCs w:val="20"/>
          <w:color w:val="auto"/>
        </w:rPr>
      </w:pPr>
    </w:p>
    <w:p>
      <w:pPr>
        <w:jc w:val="both"/>
        <w:ind w:left="1420" w:hanging="444"/>
        <w:spacing w:after="0" w:line="254"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Sanmina’s Background Property</w:t>
      </w:r>
      <w:r>
        <w:rPr>
          <w:rFonts w:ascii="Arial" w:cs="Arial" w:eastAsia="Arial" w:hAnsi="Arial"/>
          <w:sz w:val="18"/>
          <w:szCs w:val="18"/>
          <w:color w:val="auto"/>
        </w:rPr>
        <w:t>. Sanmina’s “Background Property” shall mean and include, without limitation, Sanmina’s know-how, design tools, methodologies, software, algorithms, or other means that may be used to (i) design, manufacture, assemble or test products, or (ii) design production means or the processes by which products are manufactured, assembled, or tested or any improvements or modifications thereto. Sanmina owns or has the right to use all of the Intellectual Property Rights in its Background Property. Kornit acknowledges and agrees that this Agreement shall not affect the ownership of, nor convey any licenses or rights under any of the Intellectual Property Rights in Sanmina’ Background Property, either expressly, impliedly or otherwise to Kornit or any other third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left="1420" w:hanging="444"/>
        <w:spacing w:after="0" w:line="259"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Third Party Technology; Essential IP</w:t>
      </w:r>
      <w:r>
        <w:rPr>
          <w:rFonts w:ascii="Arial" w:cs="Arial" w:eastAsia="Arial" w:hAnsi="Arial"/>
          <w:sz w:val="18"/>
          <w:szCs w:val="18"/>
          <w:color w:val="auto"/>
        </w:rPr>
        <w:t>. Kornit shall be responsible for obtaining any necessary license or other rights and for paying any royalties or license fees in connection with any third-party technology and any Intellectual Property Rights incorporated in the Product, and for providing adequate assurances to Sanmina, upon Sanmina’ request that Kornit has secured such rights or paid such royalties or fees.</w:t>
      </w:r>
    </w:p>
    <w:p>
      <w:pPr>
        <w:spacing w:after="0" w:line="187" w:lineRule="exact"/>
        <w:rPr>
          <w:sz w:val="20"/>
          <w:szCs w:val="20"/>
          <w:color w:val="auto"/>
        </w:rPr>
      </w:pPr>
    </w:p>
    <w:p>
      <w:pPr>
        <w:jc w:val="both"/>
        <w:ind w:left="1420" w:hanging="444"/>
        <w:spacing w:after="0" w:line="259"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Independent Work</w:t>
      </w:r>
      <w:r>
        <w:rPr>
          <w:rFonts w:ascii="Arial" w:cs="Arial" w:eastAsia="Arial" w:hAnsi="Arial"/>
          <w:sz w:val="18"/>
          <w:szCs w:val="18"/>
          <w:color w:val="auto"/>
        </w:rPr>
        <w:t>. This Agreement shall not affect the ownership of, nor convey any licenses to, any innovation, improvement, idea, method, technique or work of authorship, or any Intellectual Property Right therein, which is created during or subsequent to the term of this Agreement by a party outside the services provided under this Agreement without reference to, or other use of, the Confidential Information of the other party (an “Independent Work”).</w:t>
      </w:r>
    </w:p>
    <w:p>
      <w:pPr>
        <w:spacing w:after="0" w:line="187" w:lineRule="exact"/>
        <w:rPr>
          <w:sz w:val="20"/>
          <w:szCs w:val="20"/>
          <w:color w:val="auto"/>
        </w:rPr>
      </w:pPr>
    </w:p>
    <w:p>
      <w:pPr>
        <w:jc w:val="both"/>
        <w:ind w:left="1420" w:hanging="444"/>
        <w:spacing w:after="0" w:line="270" w:lineRule="auto"/>
        <w:rPr>
          <w:sz w:val="20"/>
          <w:szCs w:val="20"/>
          <w:color w:val="auto"/>
        </w:rPr>
      </w:pPr>
      <w:r>
        <w:rPr>
          <w:rFonts w:ascii="Arial" w:cs="Arial" w:eastAsia="Arial" w:hAnsi="Arial"/>
          <w:sz w:val="17"/>
          <w:szCs w:val="17"/>
          <w:color w:val="auto"/>
        </w:rPr>
        <w:t>20.5 Subject to the terms and conditions of this Agreement, Kornit grants Sanmina a nontransferable, nonexclusive, royalty-free, revocable license for the term of this Agreement, to use Kornit’s Intellectual Property Rights and Specifications solely for the purpose of manufacturing the Products and otherwise perform its obligations as expressly authorized hereunder. Subject to the terms and conditions of this Agreement, Kornit grants Sanmina a nontransferable, nonexclusive, royalty-free, revocable license to use the software provided by Kornit solely for the purpose of performing its obligations as expressly authorized hereunder. The software and accompanying documentation is licensed, not sold, and Sanmina acknowledges and agrees that any transaction documentation purporting to “sell” or “transfer” the software does not convey ownership of any intellectual property rights in such software or any copies thereof. Other than this license and except as otherwise specifically provided in this Agreement, Sanmina has no rights, expressed or implied, in Kornit’s Intellectual Property Rights, Products, Kornit Property and Specifications.</w:t>
      </w:r>
    </w:p>
    <w:p>
      <w:pPr>
        <w:spacing w:after="0" w:line="181" w:lineRule="exact"/>
        <w:rPr>
          <w:sz w:val="20"/>
          <w:szCs w:val="20"/>
          <w:color w:val="auto"/>
        </w:rPr>
      </w:pPr>
    </w:p>
    <w:p>
      <w:pPr>
        <w:jc w:val="both"/>
        <w:ind w:left="1420" w:hanging="444"/>
        <w:spacing w:after="0" w:line="277" w:lineRule="auto"/>
        <w:rPr>
          <w:sz w:val="20"/>
          <w:szCs w:val="20"/>
          <w:color w:val="auto"/>
        </w:rPr>
      </w:pPr>
      <w:r>
        <w:rPr>
          <w:rFonts w:ascii="Arial" w:cs="Arial" w:eastAsia="Arial" w:hAnsi="Arial"/>
          <w:sz w:val="18"/>
          <w:szCs w:val="18"/>
          <w:color w:val="auto"/>
        </w:rPr>
        <w:t>20.6 Except as otherwise specifically provided in this Agreement, each Party acknowledges and agrees that no licenses or rights under any of the Intellectual Property Rights of the other Party are given or intended to be given to such other Party.</w:t>
      </w:r>
    </w:p>
    <w:p>
      <w:pPr>
        <w:spacing w:after="0" w:line="170" w:lineRule="exact"/>
        <w:rPr>
          <w:sz w:val="20"/>
          <w:szCs w:val="20"/>
          <w:color w:val="auto"/>
        </w:rPr>
      </w:pPr>
    </w:p>
    <w:p>
      <w:pPr>
        <w:jc w:val="both"/>
        <w:ind w:left="1420" w:hanging="444"/>
        <w:spacing w:after="0" w:line="277" w:lineRule="auto"/>
        <w:rPr>
          <w:sz w:val="20"/>
          <w:szCs w:val="20"/>
          <w:color w:val="auto"/>
        </w:rPr>
      </w:pPr>
      <w:r>
        <w:rPr>
          <w:rFonts w:ascii="Arial" w:cs="Arial" w:eastAsia="Arial" w:hAnsi="Arial"/>
          <w:sz w:val="18"/>
          <w:szCs w:val="18"/>
          <w:color w:val="auto"/>
        </w:rPr>
        <w:t>20.7 Sanmina shall not be entitled for the Inventions to any monetary or other compensation over and above that set out expressly in this Agreement.</w:t>
      </w:r>
    </w:p>
    <w:p>
      <w:pPr>
        <w:spacing w:after="0" w:line="170"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and Limitation of Liability</w:t>
      </w:r>
    </w:p>
    <w:p>
      <w:pPr>
        <w:spacing w:after="0" w:line="225" w:lineRule="exact"/>
        <w:rPr>
          <w:sz w:val="20"/>
          <w:szCs w:val="20"/>
          <w:color w:val="auto"/>
        </w:rPr>
      </w:pPr>
    </w:p>
    <w:p>
      <w:pPr>
        <w:jc w:val="both"/>
        <w:ind w:left="1420" w:hanging="444"/>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Indemnification by Kornit</w:t>
      </w:r>
      <w:r>
        <w:rPr>
          <w:rFonts w:ascii="Arial" w:cs="Arial" w:eastAsia="Arial" w:hAnsi="Arial"/>
          <w:sz w:val="18"/>
          <w:szCs w:val="18"/>
          <w:color w:val="auto"/>
        </w:rPr>
        <w:t>. Kornit is responsible for the design of the Products. Accordingly, Kornit will defend, indemnify and hold harmless Sanmina and its affiliates and all officers, directors, employees, agents, successors and assigns (each a “Sanmina Indemnitee”), from and against all claims, actions, losses, expenses, damages or other liabilities, (including reasonable attorneys’ fees and legal costs) (collectively, the “Damages”) arising out of or in connection with a third party claim or action, whether the claim is based upon contract, tort or any other legal theory (i) based upon personal injury or death or injury to property to the extent any of the foregoing is caused by a defective design of the Product, by the negligent or willful acts or omissions of Kornit or its officers, employees, subcontractors or agents, and/or (ii) alleging that any Product or portion of a Product violates the Intellectual Property Rights of any third party, except to the extent that infringement occurs as a result of use by Kornit of Sanmina’s manufacturing processes.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left="1420" w:hanging="444"/>
        <w:spacing w:after="0" w:line="290"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Indemnification by Sanmina</w:t>
      </w:r>
      <w:r>
        <w:rPr>
          <w:rFonts w:ascii="Arial" w:cs="Arial" w:eastAsia="Arial" w:hAnsi="Arial"/>
          <w:sz w:val="16"/>
          <w:szCs w:val="16"/>
          <w:color w:val="auto"/>
        </w:rPr>
        <w:t>. Sanmina shall, at all times defend, indemnify, hold harmless, and defend Kornit and its affiliates, its officers, directors, employees, agents, successors and assigns (each, a “Kornit Indemnitee”), from and against all Damages arising out of or in connection with a third party claim or action, whether the claim is based upon contract, tort or any other legal theory, (i) based upon personal injury or death or injury to property to the extent any of the foregoing is caused by a defective Product, by the negligent or willful acts or omissions of Sanmina or its officers, employees, subcontractors or agents, and/or (ii) alleging that a process, workmanship and manufacturing methods that Sanmina elects to use to manufacture, assemble or test the Products infringes any Intellectual Property Right of any third party; in each case provided however that Sanmina shall not have any obligation to indemnify any Kornit Indemnitees if such claim arises solely due to Sanmina adherence to the Product Specifications.</w:t>
      </w:r>
    </w:p>
    <w:p>
      <w:pPr>
        <w:spacing w:after="0" w:line="165" w:lineRule="exact"/>
        <w:rPr>
          <w:sz w:val="20"/>
          <w:szCs w:val="20"/>
          <w:color w:val="auto"/>
        </w:rPr>
      </w:pPr>
    </w:p>
    <w:p>
      <w:pPr>
        <w:jc w:val="both"/>
        <w:ind w:left="1420" w:hanging="444"/>
        <w:spacing w:after="0" w:line="287"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Conditions.</w:t>
      </w:r>
      <w:r>
        <w:rPr>
          <w:rFonts w:ascii="Arial" w:cs="Arial" w:eastAsia="Arial" w:hAnsi="Arial"/>
          <w:sz w:val="16"/>
          <w:szCs w:val="16"/>
          <w:color w:val="auto"/>
        </w:rPr>
        <w:t xml:space="preserve"> A Party entitled to indemnification pursuant to this Section (the “Indemnitee”) shall promptly notify the other Party (the “Indemnitor”) in writing of any Claims covered by this indemnity. Promptly after receipt of such notice, the Indemnitor shall assume the defense of such Claim with counsel reasonably satisfactory to the Indemnitee. If the Indemnitor fails, within a reasonable time after receipt of such notice, to assume the defense with counsel reasonably satisfactory to the Indemnitee or, if in the reasonable judgment of the Indemnitee, a direct or indirect conflict of interest exists between the Parties with respect to the Claim, the Indemnitee shall have the right to undertake the defense, compromise and settlement of such Claim for the account and at the expense of the Indemnitor. Notwithstanding the foregoing, if the Indemnitee in its sole judgment so elects, the Indemnitee may also participate in the defense of such action by employing counsel at its expense, without waiving the Indemnitor’s obligation to indemnify and defend. The Indemnitor shall not compromise any Claim (or portions thereof) or consent to the entry of any judgment without an unconditional release of all liability of the Indemnitee as to each claimant or plaintiff. The Indemnitee shall provide the Indemnitor information, assistance and authority, at the Indemnitor’s expense, to enable the Indemnitor to defend the suit.</w:t>
      </w:r>
    </w:p>
    <w:p>
      <w:pPr>
        <w:spacing w:after="0" w:line="172" w:lineRule="exact"/>
        <w:rPr>
          <w:sz w:val="20"/>
          <w:szCs w:val="20"/>
          <w:color w:val="auto"/>
        </w:rPr>
      </w:pPr>
    </w:p>
    <w:p>
      <w:pPr>
        <w:jc w:val="both"/>
        <w:ind w:left="1420" w:hanging="444"/>
        <w:spacing w:after="0" w:line="252" w:lineRule="auto"/>
        <w:rPr>
          <w:sz w:val="20"/>
          <w:szCs w:val="20"/>
          <w:color w:val="auto"/>
        </w:rPr>
      </w:pPr>
      <w:r>
        <w:rPr>
          <w:rFonts w:ascii="Arial" w:cs="Arial" w:eastAsia="Arial" w:hAnsi="Arial"/>
          <w:sz w:val="18"/>
          <w:szCs w:val="18"/>
          <w:color w:val="auto"/>
        </w:rPr>
        <w:t>21.4 IN NO EVENT SHALL EITHER PARTY BE LIABLE TO THE OTHER FOR ANY INDIRECT, CONSEQUENTIAL, INCIDENTAL, PUNITIVE OR SPECIAL DAMAGES, OR ANY DAMAGES WHATSOEVER RESULTING FROM LOSS OF USE, DATA OR PROFITS, EVEN IF SUCH OTHER PARTY HAS BEEN ADVISED OF THE POSSIBILITY OF SUCH DAMAGES. IN NO EVENT SHALL EITHER PARTY’S LIABILITY FOR ALL CLAIMS ARISING OUT OF OR RELATING TO THIS AGREEMENT EXCEED THE LESSER OF EITHER [***] ($[***]) OR [***] PERCENT ([***]%) OF [***] (THE “CAP”). THESE LIMITATIONS SHALL APPLY NOTWITHSTANDING ANY FAILURE OF ESSENTIAL PURPOSE OF ANY LIMITED REMEDY. THE CAP SHALL NOT APPLY TO LIMIT (i) KORNIT’S OBLIGATIONS HEREUNDER FOR TERMINATION/CANCELLATION PAYMENTS, (ii) THERE SHALL BE NO LIMITATIONS UNDER THIS SECTION ON A PARTY’S INDEMNIFICATION OBLIGATIONS FOR BREACH OF INTELLECTUAL PROPERTY CLAIMS, OR FOR BREACH OF CONFIDENTIALITY OBLIGATIONS, (iii) DEATH OR BODY INJURY, AND/OR (V) GROSS NEGLIGENCE OR WILLFUL MISCONDUCT. THE LIMITATIONS SET FORTH IN THIS SECTION SHALL APPLY WHERE THE DAMAGES ARISE OUT OF OR RELATE TO THIS AGREEMENT.</w:t>
      </w:r>
    </w:p>
    <w:p>
      <w:pPr>
        <w:spacing w:after="0" w:line="200" w:lineRule="exact"/>
        <w:rPr>
          <w:sz w:val="20"/>
          <w:szCs w:val="20"/>
          <w:color w:val="auto"/>
        </w:rPr>
      </w:pPr>
    </w:p>
    <w:p>
      <w:pPr>
        <w:ind w:left="340" w:hanging="332"/>
        <w:spacing w:after="0"/>
        <w:tabs>
          <w:tab w:leader="none" w:pos="340" w:val="left"/>
        </w:tabs>
        <w:numPr>
          <w:ilvl w:val="0"/>
          <w:numId w:val="159"/>
        </w:numPr>
        <w:rPr>
          <w:rFonts w:ascii="Arial" w:cs="Arial" w:eastAsia="Arial" w:hAnsi="Arial"/>
          <w:sz w:val="18"/>
          <w:szCs w:val="18"/>
          <w:b w:val="1"/>
          <w:bCs w:val="1"/>
          <w:color w:val="auto"/>
        </w:rPr>
      </w:pPr>
      <w:r>
        <w:rPr>
          <w:rFonts w:ascii="Arial" w:cs="Arial" w:eastAsia="Arial" w:hAnsi="Arial"/>
          <w:sz w:val="18"/>
          <w:szCs w:val="18"/>
          <w:u w:val="single" w:color="auto"/>
          <w:color w:val="auto"/>
        </w:rPr>
        <w:t>Non-Solicitation</w:t>
      </w:r>
    </w:p>
    <w:p>
      <w:pPr>
        <w:spacing w:after="0" w:line="22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Each of the Parties hereby agrees that during the term of this Agreement and for a period of twelve (12) months following termination of this Agreement it will not, except with the other Party’s prior written approval, solicit, induce, recruit, hire or encourage any employee or consultant of the counter Party to leave such position, or attempt to do any of the foregoing, either for themselves or for any other person or entity.</w:t>
      </w:r>
    </w:p>
    <w:p>
      <w:pPr>
        <w:spacing w:after="0" w:line="165" w:lineRule="exact"/>
        <w:rPr>
          <w:rFonts w:ascii="Arial" w:cs="Arial" w:eastAsia="Arial" w:hAnsi="Arial"/>
          <w:sz w:val="18"/>
          <w:szCs w:val="18"/>
          <w:b w:val="1"/>
          <w:bCs w:val="1"/>
          <w:color w:val="auto"/>
        </w:rPr>
      </w:pPr>
    </w:p>
    <w:p>
      <w:pPr>
        <w:ind w:left="340" w:hanging="332"/>
        <w:spacing w:after="0"/>
        <w:tabs>
          <w:tab w:leader="none" w:pos="340" w:val="left"/>
        </w:tabs>
        <w:numPr>
          <w:ilvl w:val="0"/>
          <w:numId w:val="159"/>
        </w:numPr>
        <w:rPr>
          <w:rFonts w:ascii="Arial" w:cs="Arial" w:eastAsia="Arial" w:hAnsi="Arial"/>
          <w:sz w:val="18"/>
          <w:szCs w:val="18"/>
          <w:b w:val="1"/>
          <w:bCs w:val="1"/>
          <w:color w:val="auto"/>
        </w:rPr>
      </w:pPr>
      <w:r>
        <w:rPr>
          <w:rFonts w:ascii="Arial" w:cs="Arial" w:eastAsia="Arial" w:hAnsi="Arial"/>
          <w:sz w:val="18"/>
          <w:szCs w:val="18"/>
          <w:u w:val="single" w:color="auto"/>
          <w:color w:val="auto"/>
        </w:rPr>
        <w:t>Term</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Agreement will become effective on the Effective Date and will continue for a period of three (3) years (the “Initial Term”) unless terminated at an earlier date in accordance with the provisions herein set forth. This Agreement will automatically be renewed for additional twelve (12) months terms (each a “Renewal Term”), unless terminated by either Party upon one hundred and eighty (180) days written notice to the other Party prior to the end of the Initial Term or any Renewal Term thereafter.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left="340" w:hanging="332"/>
        <w:spacing w:after="0"/>
        <w:tabs>
          <w:tab w:leader="none" w:pos="340" w:val="left"/>
        </w:tabs>
        <w:numPr>
          <w:ilvl w:val="0"/>
          <w:numId w:val="160"/>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left="1420" w:hanging="444"/>
        <w:spacing w:after="0" w:line="277" w:lineRule="auto"/>
        <w:rPr>
          <w:sz w:val="20"/>
          <w:szCs w:val="20"/>
          <w:color w:val="auto"/>
        </w:rPr>
      </w:pPr>
      <w:r>
        <w:rPr>
          <w:rFonts w:ascii="Arial" w:cs="Arial" w:eastAsia="Arial" w:hAnsi="Arial"/>
          <w:sz w:val="18"/>
          <w:szCs w:val="18"/>
          <w:color w:val="auto"/>
        </w:rPr>
        <w:t>24.1 Either Party for cause may immediately terminate this Agreement by providing written notice to the other Party, upon the occurrence of any of the following events:</w:t>
      </w:r>
    </w:p>
    <w:p>
      <w:pPr>
        <w:spacing w:after="0" w:line="170" w:lineRule="exact"/>
        <w:rPr>
          <w:sz w:val="20"/>
          <w:szCs w:val="20"/>
          <w:color w:val="auto"/>
        </w:rPr>
      </w:pPr>
    </w:p>
    <w:p>
      <w:pPr>
        <w:jc w:val="both"/>
        <w:ind w:left="1740" w:hanging="315"/>
        <w:spacing w:after="0" w:line="301" w:lineRule="auto"/>
        <w:tabs>
          <w:tab w:leader="none" w:pos="17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the other party ceases to do business, or otherwise terminates its business operations and the foregoing is not cured within sixty (60) days from the date of the notice by the terminating Party, excluding any situation where all or substantially all of such other party’s assets, stock or business to which this Agreement relates are acquired by a third party (whether by sale, acquisition, merger, operation of law or otherwise) unless such third party is a competitor of the Party giving notice of termination; or</w:t>
      </w:r>
    </w:p>
    <w:p>
      <w:pPr>
        <w:spacing w:after="0" w:line="157" w:lineRule="exact"/>
        <w:rPr>
          <w:rFonts w:ascii="Arial" w:cs="Arial" w:eastAsia="Arial" w:hAnsi="Arial"/>
          <w:sz w:val="16"/>
          <w:szCs w:val="16"/>
          <w:color w:val="auto"/>
        </w:rPr>
      </w:pPr>
    </w:p>
    <w:p>
      <w:pPr>
        <w:jc w:val="both"/>
        <w:ind w:left="1740" w:hanging="315"/>
        <w:spacing w:after="0" w:line="257" w:lineRule="auto"/>
        <w:tabs>
          <w:tab w:leader="none" w:pos="1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the other becomes insolvent, makes an assignment for the benefit of creditors, files a petition in bankruptcy, permits a petition in bankruptcy to be filed against it, presents a petition or has a petition presented by a creditor for its winding up, or enters into any liquidation or call any meeting of its creditors, or admits in writing that it is unable to pay its debts as they mature, or if a receiver or examiner is appointed for a substantial part of its assets and the foregoing is not cured within sixty (60) days from the date of the notice by the terminating Party.</w:t>
      </w:r>
    </w:p>
    <w:p>
      <w:pPr>
        <w:spacing w:after="0" w:line="188" w:lineRule="exact"/>
        <w:rPr>
          <w:sz w:val="20"/>
          <w:szCs w:val="20"/>
          <w:color w:val="auto"/>
        </w:rPr>
      </w:pPr>
    </w:p>
    <w:p>
      <w:pPr>
        <w:ind w:left="1420" w:right="20" w:hanging="444"/>
        <w:spacing w:after="0" w:line="308" w:lineRule="auto"/>
        <w:rPr>
          <w:sz w:val="20"/>
          <w:szCs w:val="20"/>
          <w:color w:val="auto"/>
        </w:rPr>
      </w:pPr>
      <w:r>
        <w:rPr>
          <w:rFonts w:ascii="Arial" w:cs="Arial" w:eastAsia="Arial" w:hAnsi="Arial"/>
          <w:sz w:val="17"/>
          <w:szCs w:val="17"/>
          <w:color w:val="auto"/>
        </w:rPr>
        <w:t>24.2 Either Party shall be entitled to terminate this Agreement by written notice to the other Party, if such Party breaches any material provision of this Agreement and fails to cure such breach within thirty (30) Days of written notice describing the breach.</w:t>
      </w:r>
    </w:p>
    <w:p>
      <w:pPr>
        <w:spacing w:after="0" w:line="146" w:lineRule="exact"/>
        <w:rPr>
          <w:sz w:val="20"/>
          <w:szCs w:val="20"/>
          <w:color w:val="auto"/>
        </w:rPr>
      </w:pPr>
    </w:p>
    <w:p>
      <w:pPr>
        <w:ind w:left="1420" w:hanging="444"/>
        <w:spacing w:after="0" w:line="277" w:lineRule="auto"/>
        <w:rPr>
          <w:sz w:val="20"/>
          <w:szCs w:val="20"/>
          <w:color w:val="auto"/>
        </w:rPr>
      </w:pPr>
      <w:r>
        <w:rPr>
          <w:rFonts w:ascii="Arial" w:cs="Arial" w:eastAsia="Arial" w:hAnsi="Arial"/>
          <w:sz w:val="18"/>
          <w:szCs w:val="18"/>
          <w:color w:val="auto"/>
        </w:rPr>
        <w:t>24.3 Kornit may terminate this Agreement for convenience upon one hundred and eighty (180) Days written notice to Sanmina. Sanmina may terminate this Agreement for convenience upon three hundred sixty-five (365) Days written notice to Kornit.</w:t>
      </w:r>
    </w:p>
    <w:p>
      <w:pPr>
        <w:spacing w:after="0" w:line="170"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 of Termination</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Upon expiration of termination of this Agreement for any reason the following provisions shall apply:</w:t>
      </w:r>
    </w:p>
    <w:p>
      <w:pPr>
        <w:spacing w:after="0" w:line="225" w:lineRule="exact"/>
        <w:rPr>
          <w:sz w:val="20"/>
          <w:szCs w:val="20"/>
          <w:color w:val="auto"/>
        </w:rPr>
      </w:pPr>
    </w:p>
    <w:p>
      <w:pPr>
        <w:jc w:val="both"/>
        <w:ind w:left="1420" w:hanging="444"/>
        <w:spacing w:after="0" w:line="259" w:lineRule="auto"/>
        <w:rPr>
          <w:sz w:val="20"/>
          <w:szCs w:val="20"/>
          <w:color w:val="auto"/>
        </w:rPr>
      </w:pPr>
      <w:r>
        <w:rPr>
          <w:rFonts w:ascii="Arial" w:cs="Arial" w:eastAsia="Arial" w:hAnsi="Arial"/>
          <w:sz w:val="18"/>
          <w:szCs w:val="18"/>
          <w:color w:val="auto"/>
        </w:rPr>
        <w:t>25.1 Sanmina will stop all work on outstanding Purchase Orders and incur no further direct costs. Kornit will have the option (solely in case of termination by Kornit for convenience) to request that Sanmina complete work in process pursuant to any Purchase Orders open on the date of termination and, in such case, Sanmina shall complete such work-in-process in accordance with the terms of the respective Purchase Order.</w:t>
      </w:r>
    </w:p>
    <w:p>
      <w:pPr>
        <w:spacing w:after="0" w:line="187" w:lineRule="exact"/>
        <w:rPr>
          <w:sz w:val="20"/>
          <w:szCs w:val="20"/>
          <w:color w:val="auto"/>
        </w:rPr>
      </w:pPr>
    </w:p>
    <w:p>
      <w:pPr>
        <w:jc w:val="both"/>
        <w:ind w:left="1420" w:hanging="444"/>
        <w:spacing w:after="0" w:line="255" w:lineRule="auto"/>
        <w:rPr>
          <w:sz w:val="20"/>
          <w:szCs w:val="20"/>
          <w:color w:val="auto"/>
        </w:rPr>
      </w:pPr>
      <w:r>
        <w:rPr>
          <w:rFonts w:ascii="Arial" w:cs="Arial" w:eastAsia="Arial" w:hAnsi="Arial"/>
          <w:sz w:val="18"/>
          <w:szCs w:val="18"/>
          <w:color w:val="auto"/>
        </w:rPr>
        <w:t>25.2 All outstanding Purchase Orders shall be deemed cancelled and Kornit shall purchase all affected Products and Inventories and shall pay Sanmina such amounts and costs as set forth in Section 11.2(b) above. In addition, Kornit shall be responsible for all Excess and Obsolete Inventories in accordance with the provisions of Sections 12,2 and 17 above. All payments under this Section shall be due in accordance with the payments terms set forth in Section 7.4 above. For the avoidance of doubt, it is hereby clarified that expiration or termination of this Agreement for any reason shall not affect the amounts due under this Agreement by either Party that exist as of the date of expiration or 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left="1420" w:hanging="444"/>
        <w:spacing w:after="0" w:line="291" w:lineRule="auto"/>
        <w:rPr>
          <w:sz w:val="20"/>
          <w:szCs w:val="20"/>
          <w:color w:val="auto"/>
        </w:rPr>
      </w:pPr>
      <w:r>
        <w:rPr>
          <w:rFonts w:ascii="Arial" w:cs="Arial" w:eastAsia="Arial" w:hAnsi="Arial"/>
          <w:sz w:val="16"/>
          <w:szCs w:val="16"/>
          <w:color w:val="auto"/>
        </w:rPr>
        <w:t>25.3 Each Party will return to the other, freight collect, all materials that contain the other’s Confidential Information, including all manufacturing files of Kornit and all copies thereof and all documents or things containing any portion of any Confidential Information, or if the other Party gives written instructions to do so, destroy all such materials and copies thereof and all documents or things containing any portion of any Confidential Information, and provide the other a written certificate of destruction within thirty (30) days after such destruction. The foregoing obligation to return or destroy the other Party’s Confidential Information shall not be applicable to any copies retained for the purpose of back up, disaster recovery or business continuity and, in such event, the protections under this Agreement shall continue in effect with respect to such retained copies for so long as such retained copies may exist.</w:t>
      </w:r>
    </w:p>
    <w:p>
      <w:pPr>
        <w:spacing w:after="0" w:line="166" w:lineRule="exact"/>
        <w:rPr>
          <w:sz w:val="20"/>
          <w:szCs w:val="20"/>
          <w:color w:val="auto"/>
        </w:rPr>
      </w:pPr>
    </w:p>
    <w:p>
      <w:pPr>
        <w:jc w:val="both"/>
        <w:ind w:left="1420" w:hanging="444"/>
        <w:spacing w:after="0" w:line="263" w:lineRule="auto"/>
        <w:rPr>
          <w:sz w:val="20"/>
          <w:szCs w:val="20"/>
          <w:color w:val="auto"/>
        </w:rPr>
      </w:pPr>
      <w:r>
        <w:rPr>
          <w:rFonts w:ascii="Arial" w:cs="Arial" w:eastAsia="Arial" w:hAnsi="Arial"/>
          <w:sz w:val="18"/>
          <w:szCs w:val="18"/>
          <w:color w:val="auto"/>
        </w:rPr>
        <w:t>25.4 Sanmina shall use commercially reasonable efforts to cancel without charge any outstanding purchase order with third party suppliers relating to this Agreement, unless otherwise requested by Kornit. Sanmina will advise Kornit if any affected third-party suppliers reject such a cancellation without charge.</w:t>
      </w:r>
    </w:p>
    <w:p>
      <w:pPr>
        <w:spacing w:after="0" w:line="184" w:lineRule="exact"/>
        <w:rPr>
          <w:sz w:val="20"/>
          <w:szCs w:val="20"/>
          <w:color w:val="auto"/>
        </w:rPr>
      </w:pPr>
    </w:p>
    <w:p>
      <w:pPr>
        <w:jc w:val="both"/>
        <w:ind w:left="1420" w:hanging="444"/>
        <w:spacing w:after="0" w:line="272" w:lineRule="auto"/>
        <w:rPr>
          <w:sz w:val="20"/>
          <w:szCs w:val="20"/>
          <w:color w:val="auto"/>
        </w:rPr>
      </w:pPr>
      <w:r>
        <w:rPr>
          <w:rFonts w:ascii="Arial" w:cs="Arial" w:eastAsia="Arial" w:hAnsi="Arial"/>
          <w:sz w:val="17"/>
          <w:szCs w:val="17"/>
          <w:color w:val="auto"/>
        </w:rPr>
        <w:t>25.5 Except as otherwise provided in this Agreement, neither Party shall be liable to the other Party hereto for damages, losses, indemnity, compensation or expenses of any kind or character whatsoever on account of the expiration or termination of this Agreement in accordance with the terms hereof, whether such damages, losses, costs or expenses arise from loss of prospective sales, or expenses incurred or investments made in connection with the establishment, development or maintenance of a Party’s business, creation of goodwill, markets and customers for the Products or any other reason whatsoever. Notwithstanding anything to the contrary contained herein, expiration or termination of the Agreement shall not affect any claim, demand, liability or right of a Party arising pursuant to this Agreement prior to the expiration or termination hereof.</w:t>
      </w:r>
    </w:p>
    <w:p>
      <w:pPr>
        <w:spacing w:after="0" w:line="177" w:lineRule="exact"/>
        <w:rPr>
          <w:sz w:val="20"/>
          <w:szCs w:val="20"/>
          <w:color w:val="auto"/>
        </w:rPr>
      </w:pPr>
    </w:p>
    <w:p>
      <w:pPr>
        <w:jc w:val="both"/>
        <w:ind w:left="1420" w:hanging="444"/>
        <w:spacing w:after="0" w:line="277" w:lineRule="auto"/>
        <w:rPr>
          <w:sz w:val="20"/>
          <w:szCs w:val="20"/>
          <w:color w:val="auto"/>
        </w:rPr>
      </w:pPr>
      <w:r>
        <w:rPr>
          <w:rFonts w:ascii="Arial" w:cs="Arial" w:eastAsia="Arial" w:hAnsi="Arial"/>
          <w:sz w:val="18"/>
          <w:szCs w:val="18"/>
          <w:color w:val="auto"/>
        </w:rPr>
        <w:t>25.6 The obligations under sections 15, l8, l9, 20, 21, 22, 25, 28, 30, 33, 34, 35 and 36 will survive termination or expiration of the Agreement.</w:t>
      </w:r>
    </w:p>
    <w:p>
      <w:pPr>
        <w:spacing w:after="0" w:line="170" w:lineRule="exact"/>
        <w:rPr>
          <w:sz w:val="20"/>
          <w:szCs w:val="20"/>
          <w:color w:val="auto"/>
        </w:rPr>
      </w:pPr>
    </w:p>
    <w:p>
      <w:pPr>
        <w:ind w:left="340" w:hanging="332"/>
        <w:spacing w:after="0"/>
        <w:tabs>
          <w:tab w:leader="none" w:pos="340" w:val="left"/>
        </w:tabs>
        <w:numPr>
          <w:ilvl w:val="0"/>
          <w:numId w:val="163"/>
        </w:numPr>
        <w:rPr>
          <w:rFonts w:ascii="Arial" w:cs="Arial" w:eastAsia="Arial" w:hAnsi="Arial"/>
          <w:sz w:val="18"/>
          <w:szCs w:val="18"/>
          <w:b w:val="1"/>
          <w:bCs w:val="1"/>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163"/>
        </w:numPr>
        <w:rPr>
          <w:rFonts w:ascii="Arial" w:cs="Arial" w:eastAsia="Arial" w:hAnsi="Arial"/>
          <w:sz w:val="18"/>
          <w:szCs w:val="18"/>
          <w:b w:val="1"/>
          <w:bCs w:val="1"/>
          <w:color w:val="auto"/>
        </w:rPr>
      </w:pPr>
      <w:r>
        <w:rPr>
          <w:rFonts w:ascii="Arial" w:cs="Arial" w:eastAsia="Arial" w:hAnsi="Arial"/>
          <w:sz w:val="18"/>
          <w:szCs w:val="18"/>
          <w:u w:val="single" w:color="auto"/>
          <w:color w:val="auto"/>
        </w:rPr>
        <w:t>Relationship of Parties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Sanmina and its subcontractor(s) will be deemed to be independent contractors of Kornit, and this Agreement does not create a general agency, joint venture, partnership, employment relationship, or franchise between Sanmina and Kornit. Each Party assumes full responsibility for the actions and negligence of its employees, agents or other personnel assigned by it to perform work pursuant to this Agreement, regardless of their place of work, and will be solely responsible for payment of salary, including withholding of federal and state income taxes, social security, workers’ compensation and the like.</w:t>
      </w:r>
    </w:p>
    <w:p>
      <w:pPr>
        <w:spacing w:after="0" w:line="188"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8"/>
          <w:szCs w:val="18"/>
          <w:b w:val="1"/>
          <w:bCs w:val="1"/>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left="1420" w:hanging="444"/>
        <w:spacing w:after="0" w:line="268" w:lineRule="auto"/>
        <w:rPr>
          <w:sz w:val="20"/>
          <w:szCs w:val="20"/>
          <w:color w:val="auto"/>
        </w:rPr>
      </w:pPr>
      <w:r>
        <w:rPr>
          <w:rFonts w:ascii="Arial" w:cs="Arial" w:eastAsia="Arial" w:hAnsi="Arial"/>
          <w:sz w:val="17"/>
          <w:szCs w:val="17"/>
          <w:color w:val="auto"/>
        </w:rPr>
        <w:t>28.1 Definition. “Confidential Information” means: (i) the existence and terms of this Agreement except that the existence of this Agreement may be disclosed for purposes of enforcing the Agreement pursuant to Section 29 below; (ii) all information concerning the fees or costs for Products and Inventory; and (iii) all information, whether written or oral, and in any form (including, without limitation, engineering documents, research and development, manuals, reports, drawings, plans, flowcharts, software (in source or object code), program listings, data file printouts, printed circuit boards, processes, trade secrets, inventions, mask works, ideas, processes, formulas, source and object codes, data, programs, other works of authorship, knowhow, improvements, discoveries, developments, designs and techniques, information regarding plans for research and development, component part listings and prices, product information, marketing and selling plans, business plans, new product plans, budgets and unpublished financial statements, licenses, prices and costs, suppliers and customers, and information regarding the skills and compensation of employees or consultants of the) relating to a Party’s business or technology which is disclosed by a Party either directly or indirectly to the other Party. In particular, but without limitation, the Specifications and the Product components delivered to Sanmina by Kornit will be the Confidential Information of Kornit and the information related to Sanmina’s manufacturing processes, intellectual property, and subcontractors will be the Confidential Information of Sanmina.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both"/>
        <w:ind w:left="300" w:hanging="444"/>
        <w:spacing w:after="0" w:line="287" w:lineRule="auto"/>
        <w:rPr>
          <w:sz w:val="20"/>
          <w:szCs w:val="20"/>
          <w:color w:val="auto"/>
        </w:rPr>
      </w:pPr>
      <w:r>
        <w:rPr>
          <w:rFonts w:ascii="Arial" w:cs="Arial" w:eastAsia="Arial" w:hAnsi="Arial"/>
          <w:sz w:val="16"/>
          <w:szCs w:val="16"/>
          <w:color w:val="auto"/>
        </w:rPr>
        <w:t>28.2 Non-disclosure and Non-use. Each Party hereto (the “Receiving Party”) agrees not to use any Confidential Information of the other Party (the “Disclosing Party”) for any purpose, other than to perform its obligations hereunder, or disclose any Confidential Information of the other Party to any third party for any purpose. Each Party hereto shall use at least the same degree of care, but no less than reasonable care, to avoid disclosure or use of the Confidential Information of the other party as such Party employs with respect to its own Confidential Information of like importance. Without limitation of the foregoing, each Party agrees during the term of this Agreement and thereafter to hold such Confidential Information in strict confidence, not to disclose it to third parties or to use it in any way, commercially or otherwise, except as otherwise expressly authorized by this Agreement, and not to allow any unauthorized person access to such Confidential Information, either before or for a period of three (3) years after termination or expiration of this Agreement, without the prior written consent of the Disclosing Party. Each Party will limit the disclosure of the Confidential Information to employees with a need to know who: (i) have been advised of the confidential nature thereof and (ii) are parties to written agreements no less restrictive than this Section 28 as to the non-disclosure and nonuse of such Confidential Information.</w:t>
      </w:r>
    </w:p>
    <w:p>
      <w:pPr>
        <w:spacing w:after="0" w:line="172" w:lineRule="exact"/>
        <w:rPr>
          <w:sz w:val="20"/>
          <w:szCs w:val="20"/>
          <w:color w:val="auto"/>
        </w:rPr>
      </w:pPr>
    </w:p>
    <w:p>
      <w:pPr>
        <w:jc w:val="both"/>
        <w:ind w:left="300" w:hanging="444"/>
        <w:spacing w:after="0" w:line="277" w:lineRule="auto"/>
        <w:rPr>
          <w:sz w:val="20"/>
          <w:szCs w:val="20"/>
          <w:color w:val="auto"/>
        </w:rPr>
      </w:pPr>
      <w:r>
        <w:rPr>
          <w:rFonts w:ascii="Arial" w:cs="Arial" w:eastAsia="Arial" w:hAnsi="Arial"/>
          <w:sz w:val="18"/>
          <w:szCs w:val="18"/>
          <w:color w:val="auto"/>
        </w:rPr>
        <w:t>28.3 Exceptions. Notwithstanding anything in this Agreement to the contrary, Confidential Information need not be treated as such if it is or has become:</w:t>
      </w:r>
    </w:p>
    <w:p>
      <w:pPr>
        <w:spacing w:after="0" w:line="170" w:lineRule="exact"/>
        <w:rPr>
          <w:sz w:val="20"/>
          <w:szCs w:val="20"/>
          <w:color w:val="auto"/>
        </w:rPr>
      </w:pPr>
    </w:p>
    <w:p>
      <w:pPr>
        <w:ind w:left="620" w:hanging="315"/>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published or otherwise available to the public other than by a breach of this Agreement;</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rightfully received by the Receiving Party from a third party without confidential limitation;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approved in writing for public release by the Disclosing Party;</w:t>
      </w:r>
    </w:p>
    <w:p>
      <w:pPr>
        <w:spacing w:after="0" w:line="225"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known to the Receiving Party prior to its first receipt of such Confidential Information from the Disclosing Party, as properly documented by the Receiving Party’s files; or</w:t>
      </w:r>
    </w:p>
    <w:p>
      <w:pPr>
        <w:spacing w:after="0" w:line="170"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use of or reference to such Confidential Information, as properly documented by the Receiving Party’s files,</w:t>
      </w:r>
    </w:p>
    <w:p>
      <w:pPr>
        <w:spacing w:after="0" w:line="170" w:lineRule="exact"/>
        <w:rPr>
          <w:sz w:val="20"/>
          <w:szCs w:val="20"/>
          <w:color w:val="auto"/>
        </w:rPr>
      </w:pPr>
    </w:p>
    <w:p>
      <w:pPr>
        <w:jc w:val="both"/>
        <w:ind w:left="300" w:hanging="444"/>
        <w:spacing w:after="0" w:line="254" w:lineRule="auto"/>
        <w:rPr>
          <w:sz w:val="20"/>
          <w:szCs w:val="20"/>
          <w:color w:val="auto"/>
        </w:rPr>
      </w:pPr>
      <w:r>
        <w:rPr>
          <w:rFonts w:ascii="Arial" w:cs="Arial" w:eastAsia="Arial" w:hAnsi="Arial"/>
          <w:sz w:val="18"/>
          <w:szCs w:val="18"/>
          <w:color w:val="auto"/>
        </w:rPr>
        <w:t>28.4 Notwithstanding anything to the contrary herein, Receiving Party is free to make (and this Agreement does not restrict) disclosure of any Confidential Information to the extent legally required under mandatory applicable law in a judicial, legislative or administrative investigation or proceeding or otherwise; provided, however, that, to the extent permitted by law, Receiving Party provides to Disclosing Party prior written notice of the intended disclosure and permits Disclosing Party to intervene therein to protect its interests in the Confidential Information. In addition and notwithstanding anything in this Agreement to the contrary, Receiving Party may make any public disclosure to the extent legally required under the mandatory requirements of The NASDAQ Stock Market, the Securities Act of 1933, as amended, the Securities Exchange Act of 1934, as amended, or any other securities legislation (including any applicable stock exchange rules).</w:t>
      </w:r>
    </w:p>
    <w:p>
      <w:pPr>
        <w:spacing w:after="0" w:line="192" w:lineRule="exact"/>
        <w:rPr>
          <w:sz w:val="20"/>
          <w:szCs w:val="20"/>
          <w:color w:val="auto"/>
        </w:rPr>
      </w:pPr>
    </w:p>
    <w:p>
      <w:pPr>
        <w:jc w:val="both"/>
        <w:ind w:left="300" w:hanging="444"/>
        <w:spacing w:after="0" w:line="285" w:lineRule="auto"/>
        <w:rPr>
          <w:sz w:val="20"/>
          <w:szCs w:val="20"/>
          <w:color w:val="auto"/>
        </w:rPr>
      </w:pPr>
      <w:r>
        <w:rPr>
          <w:rFonts w:ascii="Arial" w:cs="Arial" w:eastAsia="Arial" w:hAnsi="Arial"/>
          <w:sz w:val="16"/>
          <w:szCs w:val="16"/>
          <w:color w:val="auto"/>
        </w:rPr>
        <w:t>28.5 Return of Confidential Information. Upon the termination or the expiration of this Agreement, each Party shall: (i) return to the other Party or destroy, as requested by the Disclosing Party, the original and all copies of any Confidential Information of the Disclosing Party and any summaries or analyses thereof or studies or notes thereon in the Receiving Party’s possession or control, with the exception of any copies required to be retained for back up, disaster recovery or business continuity and, in such event, such retained copies shall remain subject to the obligations and protections under this Section 28 for so long as such retained copies may exist; and</w:t>
      </w:r>
    </w:p>
    <w:p>
      <w:pPr>
        <w:spacing w:after="0" w:line="2" w:lineRule="exact"/>
        <w:rPr>
          <w:sz w:val="20"/>
          <w:szCs w:val="20"/>
          <w:color w:val="auto"/>
        </w:rPr>
      </w:pPr>
    </w:p>
    <w:p>
      <w:pPr>
        <w:jc w:val="both"/>
        <w:ind w:left="300" w:firstLine="5"/>
        <w:spacing w:after="0" w:line="302" w:lineRule="auto"/>
        <w:tabs>
          <w:tab w:leader="none" w:pos="5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at the Disclosing Party’s request, have one of the officers of the Receiving Party certify in writing that: (x) it shall not make any further use of such Confidential Information of the Disclosing Party; (y) it shall comply with the terms of this Section 28.5 regarding prohibited use of Confidential Information of the Disclosing Party; and (z) it has fully complied with the provisions of this Section 28.</w:t>
      </w:r>
    </w:p>
    <w:p>
      <w:pPr>
        <w:spacing w:after="0" w:line="36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0" w:name="page191"/>
    <w:bookmarkEnd w:id="190"/>
    <w:p>
      <w:pPr>
        <w:jc w:val="both"/>
        <w:ind w:left="1420" w:hanging="444"/>
        <w:spacing w:after="0" w:line="255" w:lineRule="auto"/>
        <w:rPr>
          <w:sz w:val="20"/>
          <w:szCs w:val="20"/>
          <w:color w:val="auto"/>
        </w:rPr>
      </w:pPr>
      <w:r>
        <w:rPr>
          <w:rFonts w:ascii="Arial" w:cs="Arial" w:eastAsia="Arial" w:hAnsi="Arial"/>
          <w:sz w:val="18"/>
          <w:szCs w:val="18"/>
          <w:color w:val="auto"/>
        </w:rPr>
        <w:t>28.6 Remedies. The Parties recognize and acknowledge that Confidential Information may have competitive value and be of a confidential nature and that irreparable damage might result to the Disclosing Party if such Confidential Information were improperly disclosed by a Receiving Party to a third party. Each Party agrees that monetary damages may be inadequate to compensate the other for breach of any provision of this Section 28, that any such breach or threatened breach may cause irreparable injury, and that, in addition to any other remedies available at law or in equity, the injured Party will be entitled to seek injunctive relief against the threatened breach or the continuation of any such breach.</w:t>
      </w:r>
    </w:p>
    <w:p>
      <w:pPr>
        <w:spacing w:after="0" w:line="192" w:lineRule="exact"/>
        <w:rPr>
          <w:sz w:val="20"/>
          <w:szCs w:val="20"/>
          <w:color w:val="auto"/>
        </w:rPr>
      </w:pPr>
    </w:p>
    <w:p>
      <w:pPr>
        <w:jc w:val="both"/>
        <w:ind w:left="1420" w:hanging="444"/>
        <w:spacing w:after="0" w:line="277" w:lineRule="auto"/>
        <w:rPr>
          <w:sz w:val="20"/>
          <w:szCs w:val="20"/>
          <w:color w:val="auto"/>
        </w:rPr>
      </w:pPr>
      <w:r>
        <w:rPr>
          <w:rFonts w:ascii="Arial" w:cs="Arial" w:eastAsia="Arial" w:hAnsi="Arial"/>
          <w:sz w:val="18"/>
          <w:szCs w:val="18"/>
          <w:color w:val="auto"/>
        </w:rPr>
        <w:t>28.7 Survival. The obligations of confidentiality and limitations of use, disclosure, and access set forth herein shall survive the termination of this Agreement for a period of three (3) years from the date of such termination.</w:t>
      </w:r>
    </w:p>
    <w:p>
      <w:pPr>
        <w:spacing w:after="0" w:line="170" w:lineRule="exact"/>
        <w:rPr>
          <w:sz w:val="20"/>
          <w:szCs w:val="20"/>
          <w:color w:val="auto"/>
        </w:rPr>
      </w:pPr>
    </w:p>
    <w:p>
      <w:pPr>
        <w:ind w:left="340" w:hanging="332"/>
        <w:spacing w:after="0"/>
        <w:tabs>
          <w:tab w:leader="none" w:pos="340" w:val="left"/>
        </w:tabs>
        <w:numPr>
          <w:ilvl w:val="0"/>
          <w:numId w:val="167"/>
        </w:numPr>
        <w:rPr>
          <w:rFonts w:ascii="Arial" w:cs="Arial" w:eastAsia="Arial" w:hAnsi="Arial"/>
          <w:sz w:val="18"/>
          <w:szCs w:val="18"/>
          <w:b w:val="1"/>
          <w:bCs w:val="1"/>
          <w:color w:val="auto"/>
        </w:rPr>
      </w:pPr>
      <w:r>
        <w:rPr>
          <w:rFonts w:ascii="Arial" w:cs="Arial" w:eastAsia="Arial" w:hAnsi="Arial"/>
          <w:sz w:val="18"/>
          <w:szCs w:val="18"/>
          <w:u w:val="single" w:color="auto"/>
          <w:color w:val="auto"/>
        </w:rPr>
        <w:t>Force Maieurc</w:t>
      </w:r>
    </w:p>
    <w:p>
      <w:pPr>
        <w:spacing w:after="0" w:line="225"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Neither Party will be liable or be deemed to be in default of this Agreement for delay in performance or nonperformance of any of obligations hereunder, in whole or in part (other than a payment obligation), if such performance is rendered impracticable by the occurrence of any contingency or condition beyond the control of non-performing Party, including without limitation war, sabotage, terrorism, embargo, riot or other civil commotion, failure or delay in transportation, labor dispute or strike (whether or not involving the non-performing Party’s employees), accident, acts of God, fire, explosion, flood, earthquake, or other casualty, shortage of labor, fuel, energy, raw materials, supply of components from any source, or machinery or technical failure. If a Party is not able to perform due to such force majeure event within ninety (90) days after such event, the other Party may terminate this Agreement.</w:t>
      </w:r>
    </w:p>
    <w:p>
      <w:pPr>
        <w:spacing w:after="0" w:line="194" w:lineRule="exact"/>
        <w:rPr>
          <w:rFonts w:ascii="Arial" w:cs="Arial" w:eastAsia="Arial" w:hAnsi="Arial"/>
          <w:sz w:val="18"/>
          <w:szCs w:val="18"/>
          <w:b w:val="1"/>
          <w:bCs w:val="1"/>
          <w:color w:val="auto"/>
        </w:rPr>
      </w:pPr>
    </w:p>
    <w:p>
      <w:pPr>
        <w:ind w:left="340" w:hanging="332"/>
        <w:spacing w:after="0"/>
        <w:tabs>
          <w:tab w:leader="none" w:pos="340" w:val="left"/>
        </w:tabs>
        <w:numPr>
          <w:ilvl w:val="0"/>
          <w:numId w:val="167"/>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 Disputes Resolutions</w:t>
      </w:r>
    </w:p>
    <w:p>
      <w:pPr>
        <w:spacing w:after="0" w:line="225"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laws of the State of Israel will govern this Agreement, excluding any conflicts of laws principles. The Parties hereby consent to the personal and exclusive jurisdiction and venue of the applicable courts of Tel Aviv. The provisions of the United Nations Conventions on Contracts for the International Sale of Goods shall not apply to this Agreement.</w:t>
      </w:r>
    </w:p>
    <w:p>
      <w:pPr>
        <w:spacing w:after="0" w:line="183" w:lineRule="exact"/>
        <w:rPr>
          <w:rFonts w:ascii="Arial" w:cs="Arial" w:eastAsia="Arial" w:hAnsi="Arial"/>
          <w:sz w:val="18"/>
          <w:szCs w:val="18"/>
          <w:b w:val="1"/>
          <w:bCs w:val="1"/>
          <w:color w:val="auto"/>
        </w:rPr>
      </w:pPr>
    </w:p>
    <w:p>
      <w:pPr>
        <w:ind w:left="340" w:hanging="332"/>
        <w:spacing w:after="0"/>
        <w:tabs>
          <w:tab w:leader="none" w:pos="340" w:val="left"/>
        </w:tabs>
        <w:numPr>
          <w:ilvl w:val="0"/>
          <w:numId w:val="167"/>
        </w:numPr>
        <w:rPr>
          <w:rFonts w:ascii="Arial" w:cs="Arial" w:eastAsia="Arial" w:hAnsi="Arial"/>
          <w:sz w:val="18"/>
          <w:szCs w:val="18"/>
          <w:b w:val="1"/>
          <w:bCs w:val="1"/>
          <w:color w:val="auto"/>
        </w:rPr>
      </w:pPr>
      <w:r>
        <w:rPr>
          <w:rFonts w:ascii="Arial" w:cs="Arial" w:eastAsia="Arial" w:hAnsi="Arial"/>
          <w:sz w:val="18"/>
          <w:szCs w:val="18"/>
          <w:u w:val="single" w:color="auto"/>
          <w:color w:val="auto"/>
        </w:rPr>
        <w:t>Subcontractors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Except to the subcontractors listed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or as otherwise expressly set forth in this Agreement, Sanmina shall not without the express prior written consent of Kornit engage any third party subcontractor or agent to perform any part of its obligations under this Agreement or for the manufacturing of the whole or part of any Product. To the extent that Sanmina is permitted by Kornit to subcontract Sanmina shall: (i) only subcontract to a subcontractor that first agrees in writing to be bound by confidentiality obligations that are at least as restrictive as those set forth herein with respect to Confidential Information; and (ii) remain liable and responsible for any act or omission of a subcontractor that would constitute a breach of this Agreement if said act or omission were performed by Sanmina.</w:t>
      </w:r>
    </w:p>
    <w:p>
      <w:pPr>
        <w:spacing w:after="0" w:line="192" w:lineRule="exact"/>
        <w:rPr>
          <w:rFonts w:ascii="Arial" w:cs="Arial" w:eastAsia="Arial" w:hAnsi="Arial"/>
          <w:sz w:val="18"/>
          <w:szCs w:val="18"/>
          <w:b w:val="1"/>
          <w:bCs w:val="1"/>
          <w:color w:val="auto"/>
        </w:rPr>
      </w:pPr>
    </w:p>
    <w:p>
      <w:pPr>
        <w:ind w:left="340" w:hanging="332"/>
        <w:spacing w:after="0"/>
        <w:tabs>
          <w:tab w:leader="none" w:pos="340" w:val="left"/>
        </w:tabs>
        <w:numPr>
          <w:ilvl w:val="0"/>
          <w:numId w:val="167"/>
        </w:numPr>
        <w:rPr>
          <w:rFonts w:ascii="Arial" w:cs="Arial" w:eastAsia="Arial" w:hAnsi="Arial"/>
          <w:sz w:val="18"/>
          <w:szCs w:val="18"/>
          <w:b w:val="1"/>
          <w:bCs w:val="1"/>
          <w:color w:val="auto"/>
        </w:rPr>
      </w:pPr>
      <w:r>
        <w:rPr>
          <w:rFonts w:ascii="Arial" w:cs="Arial" w:eastAsia="Arial" w:hAnsi="Arial"/>
          <w:sz w:val="18"/>
          <w:szCs w:val="18"/>
          <w:u w:val="single" w:color="auto"/>
          <w:color w:val="auto"/>
        </w:rPr>
        <w:t>Assignability</w:t>
      </w:r>
    </w:p>
    <w:p>
      <w:pPr>
        <w:spacing w:after="0" w:line="225" w:lineRule="exact"/>
        <w:rPr>
          <w:rFonts w:ascii="Arial" w:cs="Arial" w:eastAsia="Arial" w:hAnsi="Arial"/>
          <w:sz w:val="18"/>
          <w:szCs w:val="18"/>
          <w:b w:val="1"/>
          <w:bCs w:val="1"/>
          <w:color w:val="auto"/>
        </w:rPr>
      </w:pPr>
    </w:p>
    <w:p>
      <w:pPr>
        <w:jc w:val="both"/>
        <w:ind w:left="3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This Agreement shall be binding upon and inure to the benefit of the parties hereto and their respective successors, assigns and legal representatives. Neither party shall have the right to assign or otherwise transfer its rights or obligations under this Agreement except with the prior written consent of the other Party, not to be unreasonably withheld. Notwithstanding the aforementioned, each Party may assign this Agreement to any of its Affiliates or to a successor to all or substantially all of its business or assets relating to this Agreement whether by sale, merger, operation of law or otherwise; provided that the respective assignee agrees to be bound by all terms and conditions of this Agreement and further provided that such assignee is not a direct competitor of the other Party. “Affiliates” shall mean, with respect to any Party, any corporation, partnership, joint venture or other legal entity that a Party to this Agreement controls, is controlled by, or is under common control with, where “control” means the ownership of more than fifty percent (50%) of the voting equity in such entity or otherwise the ability to direct the management of such entity.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ind w:left="340" w:hanging="332"/>
        <w:spacing w:after="0"/>
        <w:tabs>
          <w:tab w:leader="none" w:pos="340" w:val="left"/>
        </w:tabs>
        <w:numPr>
          <w:ilvl w:val="0"/>
          <w:numId w:val="168"/>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w:t>
      </w:r>
    </w:p>
    <w:p>
      <w:pPr>
        <w:spacing w:after="0" w:line="22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notices required or permitted under this Agreement shall be in writing and shall be deemed received (a) when delivered personally; (b) the first Business Day after being sent by facsimile or email, evidenced by electronic confirmation; (c) five (5) Business Days after having been sent by registered or certified mail, return receipt requested, postage prepaid; or (d) two (2) Business Days after deposit with a commercial overnight carrier. All communications shall be sent to the addresses set forth above or to such other address as may be designated by a Party by giving written notice to the other Party pursuant to this Section.</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If to Kornit: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Kornit Digital Ltd.</w:t>
      </w:r>
    </w:p>
    <w:p>
      <w:pPr>
        <w:spacing w:after="0" w:line="23" w:lineRule="exact"/>
        <w:rPr>
          <w:rFonts w:ascii="Arial" w:cs="Arial" w:eastAsia="Arial" w:hAnsi="Arial"/>
          <w:sz w:val="18"/>
          <w:szCs w:val="18"/>
          <w:b w:val="1"/>
          <w:bCs w:val="1"/>
          <w:color w:val="auto"/>
        </w:rPr>
      </w:pPr>
    </w:p>
    <w:p>
      <w:pPr>
        <w:ind w:left="340" w:right="804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12 Ha’Amal St. Rosh Ha’Ayin Israel Attn: General Counsel and CFO Phone:</w:t>
      </w:r>
    </w:p>
    <w:p>
      <w:pPr>
        <w:spacing w:after="0" w:line="1" w:lineRule="exact"/>
        <w:rPr>
          <w:rFonts w:ascii="Arial" w:cs="Arial" w:eastAsia="Arial" w:hAnsi="Arial"/>
          <w:sz w:val="18"/>
          <w:szCs w:val="18"/>
          <w:b w:val="1"/>
          <w:bCs w:val="1"/>
          <w:color w:val="auto"/>
        </w:rPr>
      </w:pPr>
    </w:p>
    <w:p>
      <w:pPr>
        <w:ind w:left="340" w:right="83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039085801 Fax: 039080280 Email: legal@Kornit.com</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If to SANMINA:</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Sanmina-SCI Israel Medical Systems Ltd.</w:t>
      </w:r>
    </w:p>
    <w:p>
      <w:pPr>
        <w:spacing w:after="0" w:line="23" w:lineRule="exact"/>
        <w:rPr>
          <w:rFonts w:ascii="Arial" w:cs="Arial" w:eastAsia="Arial" w:hAnsi="Arial"/>
          <w:sz w:val="18"/>
          <w:szCs w:val="18"/>
          <w:b w:val="1"/>
          <w:bCs w:val="1"/>
          <w:color w:val="auto"/>
        </w:rPr>
      </w:pPr>
    </w:p>
    <w:p>
      <w:pPr>
        <w:ind w:left="340" w:right="924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5 Haroshet St. Ma’alot Tarshiha Israel</w:t>
      </w:r>
    </w:p>
    <w:p>
      <w:pPr>
        <w:spacing w:after="0" w:line="1" w:lineRule="exact"/>
        <w:rPr>
          <w:rFonts w:ascii="Arial" w:cs="Arial" w:eastAsia="Arial" w:hAnsi="Arial"/>
          <w:sz w:val="18"/>
          <w:szCs w:val="18"/>
          <w:b w:val="1"/>
          <w:bCs w:val="1"/>
          <w:color w:val="auto"/>
        </w:rPr>
      </w:pPr>
    </w:p>
    <w:p>
      <w:pPr>
        <w:ind w:left="340" w:right="77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Attnn: Oren Naveh, Business Unit Manager oren.naveh@sanmina.com</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8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80" w:type="dxa"/>
            <w:vAlign w:val="bottom"/>
            <w:gridSpan w:val="3"/>
          </w:tcPr>
          <w:p>
            <w:pPr>
              <w:spacing w:after="0"/>
              <w:rPr>
                <w:sz w:val="20"/>
                <w:szCs w:val="20"/>
                <w:color w:val="auto"/>
              </w:rPr>
            </w:pPr>
            <w:r>
              <w:rPr>
                <w:rFonts w:ascii="Arial" w:cs="Arial" w:eastAsia="Arial" w:hAnsi="Arial"/>
                <w:sz w:val="18"/>
                <w:szCs w:val="18"/>
                <w:color w:val="auto"/>
              </w:rPr>
              <w:t>SANMINA Corporation</w:t>
            </w:r>
          </w:p>
        </w:tc>
        <w:tc>
          <w:tcPr>
            <w:tcW w:w="3500" w:type="dxa"/>
            <w:vAlign w:val="bottom"/>
            <w:gridSpan w:val="3"/>
          </w:tcPr>
          <w:p>
            <w:pPr>
              <w:ind w:left="1760"/>
              <w:spacing w:after="0"/>
              <w:rPr>
                <w:sz w:val="20"/>
                <w:szCs w:val="20"/>
                <w:color w:val="auto"/>
              </w:rPr>
            </w:pPr>
            <w:r>
              <w:rPr>
                <w:rFonts w:ascii="Arial" w:cs="Arial" w:eastAsia="Arial" w:hAnsi="Arial"/>
                <w:sz w:val="18"/>
                <w:szCs w:val="18"/>
                <w:color w:val="auto"/>
                <w:w w:val="94"/>
              </w:rPr>
              <w:t>SANMINA Corporation</w:t>
            </w:r>
          </w:p>
        </w:tc>
      </w:tr>
      <w:tr>
        <w:trPr>
          <w:trHeight w:val="216"/>
        </w:trPr>
        <w:tc>
          <w:tcPr>
            <w:tcW w:w="3480" w:type="dxa"/>
            <w:vAlign w:val="bottom"/>
            <w:gridSpan w:val="3"/>
          </w:tcPr>
          <w:p>
            <w:pPr>
              <w:spacing w:after="0"/>
              <w:rPr>
                <w:sz w:val="20"/>
                <w:szCs w:val="20"/>
                <w:color w:val="auto"/>
              </w:rPr>
            </w:pPr>
            <w:r>
              <w:rPr>
                <w:rFonts w:ascii="Arial" w:cs="Arial" w:eastAsia="Arial" w:hAnsi="Arial"/>
                <w:sz w:val="18"/>
                <w:szCs w:val="18"/>
                <w:color w:val="auto"/>
              </w:rPr>
              <w:t>2700 N. First Street San</w:t>
            </w:r>
          </w:p>
        </w:tc>
        <w:tc>
          <w:tcPr>
            <w:tcW w:w="3500" w:type="dxa"/>
            <w:vAlign w:val="bottom"/>
            <w:gridSpan w:val="3"/>
          </w:tcPr>
          <w:p>
            <w:pPr>
              <w:ind w:left="1760"/>
              <w:spacing w:after="0"/>
              <w:rPr>
                <w:sz w:val="20"/>
                <w:szCs w:val="20"/>
                <w:color w:val="auto"/>
              </w:rPr>
            </w:pPr>
            <w:r>
              <w:rPr>
                <w:rFonts w:ascii="Arial" w:cs="Arial" w:eastAsia="Arial" w:hAnsi="Arial"/>
                <w:sz w:val="18"/>
                <w:szCs w:val="18"/>
                <w:color w:val="auto"/>
                <w:w w:val="89"/>
              </w:rPr>
              <w:t>2700 N. First Street San</w:t>
            </w:r>
          </w:p>
        </w:tc>
      </w:tr>
      <w:tr>
        <w:trPr>
          <w:trHeight w:val="216"/>
        </w:trPr>
        <w:tc>
          <w:tcPr>
            <w:tcW w:w="3480" w:type="dxa"/>
            <w:vAlign w:val="bottom"/>
            <w:gridSpan w:val="3"/>
          </w:tcPr>
          <w:p>
            <w:pPr>
              <w:spacing w:after="0"/>
              <w:rPr>
                <w:sz w:val="20"/>
                <w:szCs w:val="20"/>
                <w:color w:val="auto"/>
              </w:rPr>
            </w:pPr>
            <w:r>
              <w:rPr>
                <w:rFonts w:ascii="Arial" w:cs="Arial" w:eastAsia="Arial" w:hAnsi="Arial"/>
                <w:sz w:val="18"/>
                <w:szCs w:val="18"/>
                <w:color w:val="auto"/>
              </w:rPr>
              <w:t>Jose, California 95134</w:t>
            </w:r>
          </w:p>
        </w:tc>
        <w:tc>
          <w:tcPr>
            <w:tcW w:w="3500" w:type="dxa"/>
            <w:vAlign w:val="bottom"/>
            <w:gridSpan w:val="3"/>
          </w:tcPr>
          <w:p>
            <w:pPr>
              <w:ind w:left="1760"/>
              <w:spacing w:after="0"/>
              <w:rPr>
                <w:sz w:val="20"/>
                <w:szCs w:val="20"/>
                <w:color w:val="auto"/>
              </w:rPr>
            </w:pPr>
            <w:r>
              <w:rPr>
                <w:rFonts w:ascii="Arial" w:cs="Arial" w:eastAsia="Arial" w:hAnsi="Arial"/>
                <w:sz w:val="18"/>
                <w:szCs w:val="18"/>
                <w:color w:val="auto"/>
                <w:w w:val="96"/>
              </w:rPr>
              <w:t>Jose, California 95134</w:t>
            </w:r>
          </w:p>
        </w:tc>
      </w:tr>
      <w:tr>
        <w:trPr>
          <w:trHeight w:val="190"/>
        </w:trPr>
        <w:tc>
          <w:tcPr>
            <w:tcW w:w="3480" w:type="dxa"/>
            <w:vAlign w:val="bottom"/>
            <w:gridSpan w:val="3"/>
          </w:tcPr>
          <w:p>
            <w:pPr>
              <w:spacing w:after="0" w:line="190" w:lineRule="exact"/>
              <w:rPr>
                <w:sz w:val="20"/>
                <w:szCs w:val="20"/>
                <w:color w:val="auto"/>
              </w:rPr>
            </w:pPr>
            <w:r>
              <w:rPr>
                <w:rFonts w:ascii="Arial" w:cs="Arial" w:eastAsia="Arial" w:hAnsi="Arial"/>
                <w:sz w:val="18"/>
                <w:szCs w:val="18"/>
                <w:color w:val="auto"/>
              </w:rPr>
              <w:t>Attn: EVP. Sales</w:t>
            </w:r>
          </w:p>
        </w:tc>
        <w:tc>
          <w:tcPr>
            <w:tcW w:w="3500" w:type="dxa"/>
            <w:vAlign w:val="bottom"/>
            <w:gridSpan w:val="3"/>
          </w:tcPr>
          <w:p>
            <w:pPr>
              <w:ind w:left="1760"/>
              <w:spacing w:after="0" w:line="190" w:lineRule="exact"/>
              <w:rPr>
                <w:sz w:val="20"/>
                <w:szCs w:val="20"/>
                <w:color w:val="auto"/>
              </w:rPr>
            </w:pPr>
            <w:r>
              <w:rPr>
                <w:rFonts w:ascii="Arial" w:cs="Arial" w:eastAsia="Arial" w:hAnsi="Arial"/>
                <w:sz w:val="18"/>
                <w:szCs w:val="18"/>
                <w:color w:val="auto"/>
                <w:w w:val="92"/>
              </w:rPr>
              <w:t>Attn: Legal Department</w:t>
            </w:r>
          </w:p>
        </w:tc>
      </w:tr>
      <w:tr>
        <w:trPr>
          <w:trHeight w:val="20"/>
        </w:trPr>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3480" w:type="dxa"/>
            <w:vAlign w:val="bottom"/>
            <w:gridSpan w:val="3"/>
          </w:tcPr>
          <w:p>
            <w:pPr>
              <w:spacing w:after="0"/>
              <w:rPr>
                <w:sz w:val="20"/>
                <w:szCs w:val="20"/>
                <w:color w:val="auto"/>
              </w:rPr>
            </w:pPr>
            <w:r>
              <w:rPr>
                <w:rFonts w:ascii="Arial" w:cs="Arial" w:eastAsia="Arial" w:hAnsi="Arial"/>
                <w:sz w:val="18"/>
                <w:szCs w:val="18"/>
                <w:color w:val="auto"/>
              </w:rPr>
              <w:t>Phone: (408) 964-3500</w:t>
            </w:r>
          </w:p>
        </w:tc>
        <w:tc>
          <w:tcPr>
            <w:tcW w:w="3500" w:type="dxa"/>
            <w:vAlign w:val="bottom"/>
            <w:gridSpan w:val="3"/>
          </w:tcPr>
          <w:p>
            <w:pPr>
              <w:ind w:left="1760"/>
              <w:spacing w:after="0"/>
              <w:rPr>
                <w:sz w:val="20"/>
                <w:szCs w:val="20"/>
                <w:color w:val="auto"/>
              </w:rPr>
            </w:pPr>
            <w:r>
              <w:rPr>
                <w:rFonts w:ascii="Arial" w:cs="Arial" w:eastAsia="Arial" w:hAnsi="Arial"/>
                <w:sz w:val="18"/>
                <w:szCs w:val="18"/>
                <w:color w:val="auto"/>
                <w:w w:val="95"/>
              </w:rPr>
              <w:t>Phone: (408)964-3500</w:t>
            </w:r>
          </w:p>
        </w:tc>
      </w:tr>
      <w:tr>
        <w:trPr>
          <w:trHeight w:val="230"/>
        </w:trPr>
        <w:tc>
          <w:tcPr>
            <w:tcW w:w="3480" w:type="dxa"/>
            <w:vAlign w:val="bottom"/>
            <w:gridSpan w:val="3"/>
          </w:tcPr>
          <w:p>
            <w:pPr>
              <w:spacing w:after="0"/>
              <w:rPr>
                <w:sz w:val="20"/>
                <w:szCs w:val="20"/>
                <w:color w:val="auto"/>
              </w:rPr>
            </w:pPr>
            <w:r>
              <w:rPr>
                <w:rFonts w:ascii="Arial" w:cs="Arial" w:eastAsia="Arial" w:hAnsi="Arial"/>
                <w:sz w:val="18"/>
                <w:szCs w:val="18"/>
                <w:color w:val="auto"/>
              </w:rPr>
              <w:t>Fax: (408) 964-3636</w:t>
            </w:r>
          </w:p>
        </w:tc>
        <w:tc>
          <w:tcPr>
            <w:tcW w:w="3500" w:type="dxa"/>
            <w:vAlign w:val="bottom"/>
            <w:gridSpan w:val="3"/>
          </w:tcPr>
          <w:p>
            <w:pPr>
              <w:ind w:left="1760"/>
              <w:spacing w:after="0"/>
              <w:rPr>
                <w:sz w:val="20"/>
                <w:szCs w:val="20"/>
                <w:color w:val="auto"/>
              </w:rPr>
            </w:pPr>
            <w:r>
              <w:rPr>
                <w:rFonts w:ascii="Arial" w:cs="Arial" w:eastAsia="Arial" w:hAnsi="Arial"/>
                <w:sz w:val="18"/>
                <w:szCs w:val="18"/>
                <w:color w:val="auto"/>
              </w:rPr>
              <w:t>Fax: (408) 964-3636</w:t>
            </w:r>
          </w:p>
        </w:tc>
      </w:tr>
    </w:tbl>
    <w:p>
      <w:pPr>
        <w:spacing w:after="0" w:line="202"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u w:val="single" w:color="auto"/>
          <w:color w:val="auto"/>
        </w:rPr>
        <w:t>No Waiver</w:t>
      </w:r>
    </w:p>
    <w:p>
      <w:pPr>
        <w:spacing w:after="0" w:line="225"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No waiver of any term or condition of this Agreement will be valid or binding on either Party unless the same will have been mutually assented to in writing by an officer of both Parties. The failure of either Party to enforce at any time any of the provisions of the Agreement, or the failure to require at any time performance by the other Party of any of the provisions of this Agreement, will in no way be construed to be a present or future waiver of such provisions, nor in any way affect the validity of either Party to enforce each and every such provision thereafter.</w:t>
      </w:r>
    </w:p>
    <w:p>
      <w:pPr>
        <w:spacing w:after="0" w:line="171" w:lineRule="exact"/>
        <w:rPr>
          <w:rFonts w:ascii="Arial" w:cs="Arial" w:eastAsia="Arial" w:hAnsi="Arial"/>
          <w:sz w:val="18"/>
          <w:szCs w:val="18"/>
          <w:b w:val="1"/>
          <w:bCs w:val="1"/>
          <w:color w:val="auto"/>
        </w:rPr>
      </w:pPr>
    </w:p>
    <w:p>
      <w:pPr>
        <w:ind w:left="340" w:hanging="332"/>
        <w:spacing w:after="0"/>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u w:val="single" w:color="auto"/>
          <w:color w:val="auto"/>
        </w:rPr>
        <w:t>Severability</w:t>
      </w:r>
    </w:p>
    <w:p>
      <w:pPr>
        <w:spacing w:after="0" w:line="225"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the event that any provision of this Agreement is found to be entirely or partially invalid, illegal, or unenforceable, the validity, legality, and enforceability of any of the remaining provisions will not in any way be affected or impaired and a valid, legal, and enforceable provision of similar intent and economic impact will be substituted therefore.</w:t>
      </w:r>
    </w:p>
    <w:p>
      <w:pPr>
        <w:spacing w:after="0" w:line="183" w:lineRule="exact"/>
        <w:rPr>
          <w:rFonts w:ascii="Arial" w:cs="Arial" w:eastAsia="Arial" w:hAnsi="Arial"/>
          <w:sz w:val="18"/>
          <w:szCs w:val="18"/>
          <w:b w:val="1"/>
          <w:bCs w:val="1"/>
          <w:color w:val="auto"/>
        </w:rPr>
      </w:pPr>
    </w:p>
    <w:p>
      <w:pPr>
        <w:ind w:left="340" w:hanging="332"/>
        <w:spacing w:after="0"/>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u w:val="single" w:color="auto"/>
          <w:color w:val="auto"/>
        </w:rPr>
        <w:t>Entire Agreement</w:t>
      </w:r>
    </w:p>
    <w:p>
      <w:pPr>
        <w:spacing w:after="0" w:line="225"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This Agreement consists of the terms and conditions stated above, including the Exhibits, is the entire Agreement between the Parties. This Agreement supersedes all proposals, oral or written, all negotiations, conversations, or discussions between or among Parties relating to the subject matter of this Agreement and all past dealing or industry custom. Any term, condition or other provision in any Purchase Order, quotation, confirmation, document, or other oral or written communication that is in any way inconsistent or in conflict with or in addition to Agreement will be void and is hereby expressly rejected by Kornit and Sanmina, unless agreed upon in writing and signed for and on behalf of both Parties. In the event of any conflict between this Agreement and any other exhibit thereto, this Agreement shall control.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ind w:left="340" w:hanging="332"/>
        <w:spacing w:after="0"/>
        <w:tabs>
          <w:tab w:leader="none" w:pos="340" w:val="left"/>
        </w:tabs>
        <w:numPr>
          <w:ilvl w:val="0"/>
          <w:numId w:val="170"/>
        </w:numPr>
        <w:rPr>
          <w:rFonts w:ascii="Arial" w:cs="Arial" w:eastAsia="Arial" w:hAnsi="Arial"/>
          <w:sz w:val="18"/>
          <w:szCs w:val="18"/>
          <w:b w:val="1"/>
          <w:bCs w:val="1"/>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ind w:left="1420" w:hanging="444"/>
        <w:spacing w:after="0" w:line="254" w:lineRule="auto"/>
        <w:rPr>
          <w:sz w:val="20"/>
          <w:szCs w:val="20"/>
          <w:color w:val="auto"/>
        </w:rPr>
      </w:pPr>
      <w:r>
        <w:rPr>
          <w:rFonts w:ascii="Arial" w:cs="Arial" w:eastAsia="Arial" w:hAnsi="Arial"/>
          <w:sz w:val="18"/>
          <w:szCs w:val="18"/>
          <w:color w:val="auto"/>
        </w:rPr>
        <w:t>37.1 Without derogating from Sanmina’s liability pursuant to this Agreement and/or in accordance to any applicable law, Sanmina undertakes to procure and maintain, at its expense, with a duly authorized and reputable insurance Company having an S&amp;P and/or A.M. Best rating of not less than A-, or equivalent, throughout the entire period of application of this Agreement, and regarding policies that are “claims made” for a period during which Sanmina is held liable (whether by law or under this Agreement), all the necessary and customary insurances, including but without derogating from the above insurances as set out in the form of certificate of insurance attached as Exhibit F constituting an integral part of this Agreement (hereinafter: the “Certificate of Insurance”), and as set out below (hereinafter: “Sanmina’s insurances”):</w:t>
      </w:r>
    </w:p>
    <w:p>
      <w:pPr>
        <w:spacing w:after="0" w:line="195" w:lineRule="exact"/>
        <w:rPr>
          <w:sz w:val="20"/>
          <w:szCs w:val="20"/>
          <w:color w:val="auto"/>
        </w:rPr>
      </w:pPr>
    </w:p>
    <w:p>
      <w:pPr>
        <w:ind w:left="1740" w:hanging="315"/>
        <w:spacing w:after="0" w:line="277" w:lineRule="auto"/>
        <w:tabs>
          <w:tab w:leader="none" w:pos="17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Risks Heavy Equipment Insurance for heavy equipment used by Sanmina and/or any one on its behalf in connection with the Agreement.</w:t>
      </w:r>
    </w:p>
    <w:p>
      <w:pPr>
        <w:spacing w:after="0" w:line="170" w:lineRule="exact"/>
        <w:rPr>
          <w:rFonts w:ascii="Arial" w:cs="Arial" w:eastAsia="Arial" w:hAnsi="Arial"/>
          <w:sz w:val="18"/>
          <w:szCs w:val="18"/>
          <w:color w:val="auto"/>
        </w:rPr>
      </w:pPr>
    </w:p>
    <w:p>
      <w:pPr>
        <w:jc w:val="both"/>
        <w:ind w:left="1740" w:hanging="315"/>
        <w:spacing w:after="0" w:line="263" w:lineRule="auto"/>
        <w:tabs>
          <w:tab w:leader="none" w:pos="17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Compulsory Insurance, Liability Insurance as a result of Use of Vehicles and Motor Comprehensive Insurance as required by law for bodily injury as a result of use of a vehicle that Sanmina and/or any one on its behalf owns or uses in connection with the Agreement.</w:t>
      </w:r>
    </w:p>
    <w:p>
      <w:pPr>
        <w:spacing w:after="0" w:line="183" w:lineRule="exact"/>
        <w:rPr>
          <w:rFonts w:ascii="Arial" w:cs="Arial" w:eastAsia="Arial" w:hAnsi="Arial"/>
          <w:sz w:val="18"/>
          <w:szCs w:val="18"/>
          <w:color w:val="auto"/>
        </w:rPr>
      </w:pPr>
    </w:p>
    <w:p>
      <w:pPr>
        <w:jc w:val="both"/>
        <w:ind w:left="1740" w:hanging="315"/>
        <w:spacing w:after="0" w:line="311" w:lineRule="auto"/>
        <w:tabs>
          <w:tab w:leader="none" w:pos="17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Insurances stated in section (a) and (b) above shall include a waiver of the right of subrogation against Kornit and/or its subsidiaries, parent Companies, affiliated Companies and/or anyone on their behalf and shall name Kornit and/or its subsidiaries, parent Companies, affiliated Companies and/or anyone on their behalf and/or acting in their name as additional Insureds.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37.2  Sanmina alone is responsible for payment of the premiums and the deductibles stated in Sanmina’s insurances.</w:t>
      </w:r>
    </w:p>
    <w:p>
      <w:pPr>
        <w:spacing w:after="0" w:line="225" w:lineRule="exact"/>
        <w:rPr>
          <w:sz w:val="20"/>
          <w:szCs w:val="20"/>
          <w:color w:val="auto"/>
        </w:rPr>
      </w:pPr>
    </w:p>
    <w:p>
      <w:pPr>
        <w:jc w:val="both"/>
        <w:ind w:left="1420" w:hanging="444"/>
        <w:spacing w:after="0" w:line="286" w:lineRule="auto"/>
        <w:rPr>
          <w:sz w:val="20"/>
          <w:szCs w:val="20"/>
          <w:color w:val="auto"/>
        </w:rPr>
      </w:pPr>
      <w:r>
        <w:rPr>
          <w:rFonts w:ascii="Arial" w:cs="Arial" w:eastAsia="Arial" w:hAnsi="Arial"/>
          <w:sz w:val="17"/>
          <w:szCs w:val="17"/>
          <w:color w:val="auto"/>
        </w:rPr>
        <w:t>37.3 If any of Sanmina’s insurances are on claims-made basis, the policies shall apply retroactively from the date of commencement of the Agreement, even if this date is prior to the inception date of the policy. The policies shall be subject to an Extended Discovery Period of damages and claims for an additional period of [***], following the expiry date of the Policy.</w:t>
      </w:r>
    </w:p>
    <w:p>
      <w:pPr>
        <w:spacing w:after="0" w:line="165" w:lineRule="exact"/>
        <w:rPr>
          <w:sz w:val="20"/>
          <w:szCs w:val="20"/>
          <w:color w:val="auto"/>
        </w:rPr>
      </w:pPr>
    </w:p>
    <w:p>
      <w:pPr>
        <w:jc w:val="both"/>
        <w:ind w:left="1420" w:hanging="444"/>
        <w:spacing w:after="0" w:line="342" w:lineRule="auto"/>
        <w:rPr>
          <w:sz w:val="20"/>
          <w:szCs w:val="20"/>
          <w:color w:val="auto"/>
        </w:rPr>
      </w:pPr>
      <w:r>
        <w:rPr>
          <w:rFonts w:ascii="Arial" w:cs="Arial" w:eastAsia="Arial" w:hAnsi="Arial"/>
          <w:sz w:val="16"/>
          <w:szCs w:val="16"/>
          <w:color w:val="auto"/>
        </w:rPr>
        <w:t>37.4 Determination of the limits of liability as detailed above and/or in the Insurance Certificate is construed to be a minimum requirement imposed upon Sanmina, which does not derogate from its liability according to this Agreement and/or any applicable law.</w:t>
      </w:r>
    </w:p>
    <w:p>
      <w:pPr>
        <w:spacing w:after="0" w:line="124" w:lineRule="exact"/>
        <w:rPr>
          <w:sz w:val="20"/>
          <w:szCs w:val="20"/>
          <w:color w:val="auto"/>
        </w:rPr>
      </w:pPr>
    </w:p>
    <w:p>
      <w:pPr>
        <w:jc w:val="both"/>
        <w:ind w:left="1420" w:hanging="444"/>
        <w:spacing w:after="0" w:line="275" w:lineRule="auto"/>
        <w:rPr>
          <w:sz w:val="20"/>
          <w:szCs w:val="20"/>
          <w:color w:val="auto"/>
        </w:rPr>
      </w:pPr>
      <w:r>
        <w:rPr>
          <w:rFonts w:ascii="Arial" w:cs="Arial" w:eastAsia="Arial" w:hAnsi="Arial"/>
          <w:sz w:val="17"/>
          <w:szCs w:val="17"/>
          <w:color w:val="auto"/>
        </w:rPr>
        <w:t>37.5 Sanmina may obtain and maintain any supplementary and/or additional insurance policies at its own expense. Any such additional and/or supplementary insurance cover as aforementioned, shall include a waiver of the right of subrogation against Kornit and/or its subsidiaries, parent Companies, affiliated Companies and/or anyone on their behalf. Any supplementary and/or additional Liability Insurance shall be extended to indemnify Kornit and/or any of the abovementioned parties for their liability for acts and/or omissions of Sanmina and/or anyone on its behalf, subject to a cross liability clause.</w:t>
      </w:r>
    </w:p>
    <w:p>
      <w:pPr>
        <w:spacing w:after="0" w:line="176" w:lineRule="exact"/>
        <w:rPr>
          <w:sz w:val="20"/>
          <w:szCs w:val="20"/>
          <w:color w:val="auto"/>
        </w:rPr>
      </w:pPr>
    </w:p>
    <w:p>
      <w:pPr>
        <w:jc w:val="both"/>
        <w:ind w:left="1420" w:hanging="444"/>
        <w:spacing w:after="0" w:line="271" w:lineRule="auto"/>
        <w:rPr>
          <w:sz w:val="20"/>
          <w:szCs w:val="20"/>
          <w:color w:val="auto"/>
        </w:rPr>
      </w:pPr>
      <w:r>
        <w:rPr>
          <w:rFonts w:ascii="Arial" w:cs="Arial" w:eastAsia="Arial" w:hAnsi="Arial"/>
          <w:sz w:val="17"/>
          <w:szCs w:val="17"/>
          <w:color w:val="auto"/>
        </w:rPr>
        <w:t>37.6 Sanmina shall deliver to Kornit, not later than 15 days before the commencement date of this Agreement, the Insurance Certificate attached as Annex X to this Agreement, duly signed by its Insurer. Prior to the expiry date of the Sanmina’s Insurances, Sanmina shall deliver the duly signed Insurance Certificate in respect of the updated Insurance period, and continue to do so for the duration of the entire Agreement period (and for any additional period as mentioned in clause 37.1 above). Kornit shall be entitled to prevent Sanmina from continuing to provide the Services and/or perform the Orders in the event that the aforesaid certificate is not issued on time. It is agreed that Sanmina shall be estopped from making any claim against Kornit and/or its subsidiaries, parent Companies, affiliated Companies and/or anyone on their behalf due to not being able to commence and/or continue provision of the Services and/or performance of the Orders prior to issue of the certificate, as aforesaid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left="1420" w:hanging="444"/>
        <w:spacing w:after="0" w:line="257" w:lineRule="auto"/>
        <w:rPr>
          <w:sz w:val="20"/>
          <w:szCs w:val="20"/>
          <w:color w:val="auto"/>
        </w:rPr>
      </w:pPr>
      <w:r>
        <w:rPr>
          <w:rFonts w:ascii="Arial" w:cs="Arial" w:eastAsia="Arial" w:hAnsi="Arial"/>
          <w:sz w:val="18"/>
          <w:szCs w:val="18"/>
          <w:color w:val="auto"/>
        </w:rPr>
        <w:t>37.7 Sanmina shall not have any allegation and/or demand and/or claim against Kornit and/or its subsidiaries, parent Companies, affiliated Companies and/or anyone on their behalf, in respect of any damage to any property (including but not limited to the Product and/or the buildings used for manufacturing of the Product) owned and/or in the responsibility of and/or used by Sanmina and/or any one on its behalf or acting in its name including Consequential Loss. The foregoing shall not apply in favor of any person who caused the damage maliciously.</w:t>
      </w:r>
    </w:p>
    <w:p>
      <w:pPr>
        <w:spacing w:after="0" w:line="188" w:lineRule="exact"/>
        <w:rPr>
          <w:sz w:val="20"/>
          <w:szCs w:val="20"/>
          <w:color w:val="auto"/>
        </w:rPr>
      </w:pPr>
    </w:p>
    <w:p>
      <w:pPr>
        <w:jc w:val="both"/>
        <w:ind w:left="1420" w:hanging="444"/>
        <w:spacing w:after="0" w:line="255" w:lineRule="auto"/>
        <w:rPr>
          <w:sz w:val="20"/>
          <w:szCs w:val="20"/>
          <w:color w:val="auto"/>
        </w:rPr>
      </w:pPr>
      <w:r>
        <w:rPr>
          <w:rFonts w:ascii="Arial" w:cs="Arial" w:eastAsia="Arial" w:hAnsi="Arial"/>
          <w:sz w:val="18"/>
          <w:szCs w:val="18"/>
          <w:color w:val="auto"/>
        </w:rPr>
        <w:t>37.8 Without derogating from Sanmina’s liability pursuant to this Agreement and/or in accordance to any applicable law, Sanmina undertakes that when entering into any agreement with subcontractors as part of and/or in connection with the Agreement, Sanmina shall be responsible to include a clause in the contractual agreements according to which the subcontractors undertake to arrange and maintain the same insurance policies that Sanmina is obligated to effect and maintain according to this Agreement, with all of the conditions as detailed in this Agreement including Exhibit F and this for the entire Agreement period with Sanmina or for any additional period as defined in section 37.1.</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37.9  Sanmina undertakes to give notice, to Kornit promptly, in writing, of the occurrence of any event and/or damage and/or loss.</w:t>
      </w:r>
    </w:p>
    <w:p>
      <w:pPr>
        <w:spacing w:after="0" w:line="237"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8"/>
          <w:szCs w:val="18"/>
          <w:b w:val="1"/>
          <w:bCs w:val="1"/>
          <w:color w:val="auto"/>
        </w:rPr>
      </w:pPr>
      <w:r>
        <w:rPr>
          <w:rFonts w:ascii="Arial" w:cs="Arial" w:eastAsia="Arial" w:hAnsi="Arial"/>
          <w:sz w:val="18"/>
          <w:szCs w:val="18"/>
          <w:u w:val="single" w:color="auto"/>
          <w:color w:val="auto"/>
        </w:rPr>
        <w:t>Use of Sanmina or Kornit Name is Prohibited</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Neither Party may use the other Party’s name or identity or any other Confidential Information in any advertising, promotion or other public announcement (other than to the extent legally required under the mandatory requirements of The NASDAQ Stock Market, the Securities Act of 1933, as amended, the Securities Exchange Act of 1934, as amended, or any other securities legislation (including any applicable stock exchange rules) without the prior express written consent of the other Party.</w:t>
      </w:r>
    </w:p>
    <w:p>
      <w:pPr>
        <w:spacing w:after="0" w:line="186" w:lineRule="exact"/>
        <w:rPr>
          <w:rFonts w:ascii="Arial" w:cs="Arial" w:eastAsia="Arial" w:hAnsi="Arial"/>
          <w:sz w:val="18"/>
          <w:szCs w:val="18"/>
          <w:b w:val="1"/>
          <w:bCs w:val="1"/>
          <w:color w:val="auto"/>
        </w:rPr>
      </w:pPr>
    </w:p>
    <w:p>
      <w:pPr>
        <w:ind w:left="340" w:hanging="332"/>
        <w:spacing w:after="0"/>
        <w:tabs>
          <w:tab w:leader="none" w:pos="340" w:val="left"/>
        </w:tabs>
        <w:numPr>
          <w:ilvl w:val="0"/>
          <w:numId w:val="172"/>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Counterparts and Exchange of Signatures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This Agreement may be executed in counterparts. The Parties agree that electronically transmitted and reproduced signatures (including faxed pages, scanned copies of signatures and email acknowledgements) constitute acceptable exchange of authentic consent to the terms and conditions of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Kornit Digital Technologies Ltd.:</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Sanmina-SCI Israel Medical Systems Ltd.</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Signed:  /s/ Guy Avidan</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Signed:</w:t>
            </w:r>
          </w:p>
        </w:tc>
      </w:tr>
      <w:tr>
        <w:trPr>
          <w:trHeight w:val="27"/>
        </w:trPr>
        <w:tc>
          <w:tcPr>
            <w:tcW w:w="680" w:type="dxa"/>
            <w:vAlign w:val="bottom"/>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4800" w:type="dxa"/>
            <w:vAlign w:val="bottom"/>
            <w:shd w:val="clear" w:color="auto" w:fill="000000"/>
          </w:tcPr>
          <w:p>
            <w:pPr>
              <w:spacing w:after="0"/>
              <w:rPr>
                <w:sz w:val="2"/>
                <w:szCs w:val="2"/>
                <w:color w:val="auto"/>
              </w:rPr>
            </w:pP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color w:val="auto"/>
              </w:rPr>
              <w:t>Print Name: Guy Avidan</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Print Name:</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Title: CFO</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rPr>
              <w:t>Signed:  /s/ Ilan Givon</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Signed:  /s/ Nir Marko</w:t>
            </w:r>
          </w:p>
        </w:tc>
      </w:tr>
      <w:tr>
        <w:trPr>
          <w:trHeight w:val="34"/>
        </w:trPr>
        <w:tc>
          <w:tcPr>
            <w:tcW w:w="680" w:type="dxa"/>
            <w:vAlign w:val="bottom"/>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4800" w:type="dxa"/>
            <w:vAlign w:val="bottom"/>
            <w:shd w:val="clear" w:color="auto" w:fill="000000"/>
          </w:tcPr>
          <w:p>
            <w:pPr>
              <w:spacing w:after="0"/>
              <w:rPr>
                <w:sz w:val="2"/>
                <w:szCs w:val="2"/>
                <w:color w:val="auto"/>
              </w:rPr>
            </w:pPr>
          </w:p>
        </w:tc>
      </w:tr>
      <w:tr>
        <w:trPr>
          <w:trHeight w:val="419"/>
        </w:trPr>
        <w:tc>
          <w:tcPr>
            <w:tcW w:w="5520" w:type="dxa"/>
            <w:vAlign w:val="bottom"/>
            <w:gridSpan w:val="2"/>
          </w:tcPr>
          <w:p>
            <w:pPr>
              <w:spacing w:after="0"/>
              <w:rPr>
                <w:sz w:val="20"/>
                <w:szCs w:val="20"/>
                <w:color w:val="auto"/>
              </w:rPr>
            </w:pPr>
            <w:r>
              <w:rPr>
                <w:rFonts w:ascii="Arial" w:cs="Arial" w:eastAsia="Arial" w:hAnsi="Arial"/>
                <w:sz w:val="18"/>
                <w:szCs w:val="18"/>
                <w:color w:val="auto"/>
              </w:rPr>
              <w:t>Print Name: Ilan Givon</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Print Name: Nir Marko</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Title: VP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 VP</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Operation</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Business Development</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CONSIGNED TOOLING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7"/>
          <w:szCs w:val="17"/>
          <w:u w:val="single" w:color="auto"/>
          <w:color w:val="auto"/>
        </w:rPr>
        <w:t>EXHIBIT C1 - QUALITY AGREEMENT</w:t>
      </w:r>
    </w:p>
    <w:p>
      <w:pPr>
        <w:sectPr>
          <w:pgSz w:w="11900" w:h="16838" w:orient="portrait"/>
          <w:cols w:equalWidth="0" w:num="1">
            <w:col w:w="9019"/>
          </w:cols>
          <w:pgMar w:left="1440" w:top="908"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kornit’s Supplier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Quality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198" w:name="page199"/>
    <w:bookmarkEnd w:id="198"/>
    <w:p>
      <w:pPr>
        <w:spacing w:after="0"/>
        <w:rPr>
          <w:sz w:val="20"/>
          <w:szCs w:val="20"/>
          <w:color w:val="auto"/>
        </w:rPr>
      </w:pPr>
      <w:r>
        <w:rPr>
          <w:rFonts w:ascii="Arial" w:cs="Arial" w:eastAsia="Arial" w:hAnsi="Arial"/>
          <w:sz w:val="22"/>
          <w:szCs w:val="22"/>
          <w:u w:val="single" w:color="auto"/>
          <w:color w:val="auto"/>
        </w:rPr>
        <w:t xml:space="preserve">EXHIBIT </w:t>
      </w:r>
      <w:r>
        <w:rPr>
          <w:rFonts w:ascii="Arial" w:cs="Arial" w:eastAsia="Arial" w:hAnsi="Arial"/>
          <w:sz w:val="22"/>
          <w:szCs w:val="22"/>
          <w:i w:val="1"/>
          <w:iCs w:val="1"/>
          <w:u w:val="single" w:color="auto"/>
          <w:color w:val="auto"/>
        </w:rPr>
        <w:t>C2 -</w:t>
      </w:r>
      <w:r>
        <w:rPr>
          <w:rFonts w:ascii="Arial" w:cs="Arial" w:eastAsia="Arial" w:hAnsi="Arial"/>
          <w:sz w:val="22"/>
          <w:szCs w:val="22"/>
          <w:u w:val="single" w:color="auto"/>
          <w:color w:val="auto"/>
        </w:rPr>
        <w:t xml:space="preserve"> SAFETY AGREEMENT</w:t>
      </w:r>
    </w:p>
    <w:p>
      <w:pPr>
        <w:spacing w:after="0" w:line="240" w:lineRule="exact"/>
        <w:rPr>
          <w:sz w:val="20"/>
          <w:szCs w:val="20"/>
          <w:color w:val="auto"/>
        </w:rPr>
      </w:pPr>
    </w:p>
    <w:p>
      <w:pPr>
        <w:ind w:left="340" w:hanging="332"/>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25" w:lineRule="exact"/>
        <w:rPr>
          <w:rFonts w:ascii="Arial" w:cs="Arial" w:eastAsia="Arial" w:hAnsi="Arial"/>
          <w:sz w:val="18"/>
          <w:szCs w:val="18"/>
          <w:color w:val="auto"/>
        </w:rPr>
      </w:pPr>
    </w:p>
    <w:p>
      <w:pPr>
        <w:ind w:left="340" w:right="6520"/>
        <w:spacing w:after="0" w:line="277" w:lineRule="auto"/>
        <w:rPr>
          <w:rFonts w:ascii="Arial" w:cs="Arial" w:eastAsia="Arial" w:hAnsi="Arial"/>
          <w:sz w:val="18"/>
          <w:szCs w:val="18"/>
          <w:color w:val="auto"/>
        </w:rPr>
      </w:pPr>
      <w:r>
        <w:rPr>
          <w:rFonts w:ascii="Arial" w:cs="Arial" w:eastAsia="Arial" w:hAnsi="Arial"/>
          <w:sz w:val="18"/>
          <w:szCs w:val="18"/>
          <w:color w:val="auto"/>
        </w:rPr>
        <w:t>Sanmina-SCI Israel Medical Systems Ltd. (the “Contractor”) Kornit Digital Technologies Ltd. (“Kornit”)</w:t>
      </w:r>
    </w:p>
    <w:p>
      <w:pPr>
        <w:spacing w:after="0" w:line="170" w:lineRule="exact"/>
        <w:rPr>
          <w:rFonts w:ascii="Arial" w:cs="Arial" w:eastAsia="Arial" w:hAnsi="Arial"/>
          <w:sz w:val="18"/>
          <w:szCs w:val="18"/>
          <w:color w:val="auto"/>
        </w:rPr>
      </w:pPr>
    </w:p>
    <w:p>
      <w:pPr>
        <w:ind w:left="340" w:right="20"/>
        <w:spacing w:after="0" w:line="308" w:lineRule="auto"/>
        <w:rPr>
          <w:rFonts w:ascii="Arial" w:cs="Arial" w:eastAsia="Arial" w:hAnsi="Arial"/>
          <w:sz w:val="18"/>
          <w:szCs w:val="18"/>
          <w:color w:val="auto"/>
        </w:rPr>
      </w:pPr>
      <w:r>
        <w:rPr>
          <w:rFonts w:ascii="Arial" w:cs="Arial" w:eastAsia="Arial" w:hAnsi="Arial"/>
          <w:sz w:val="17"/>
          <w:szCs w:val="17"/>
          <w:color w:val="auto"/>
        </w:rPr>
        <w:t>Contractor shall hold all approvals and licenses required by law, including business approval which will include approval from the fire department and the Israeli Ministiy of Environmental Protection and the Safety Administration at the Ministry of Labor, Social Affairs and Social Services.</w:t>
      </w:r>
    </w:p>
    <w:p>
      <w:pPr>
        <w:spacing w:after="0" w:line="146" w:lineRule="exact"/>
        <w:rPr>
          <w:rFonts w:ascii="Arial" w:cs="Arial" w:eastAsia="Arial" w:hAnsi="Arial"/>
          <w:sz w:val="18"/>
          <w:szCs w:val="18"/>
          <w:color w:val="auto"/>
        </w:rPr>
      </w:pPr>
    </w:p>
    <w:p>
      <w:pPr>
        <w:ind w:left="340" w:hanging="332"/>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Safety</w:t>
      </w:r>
    </w:p>
    <w:p>
      <w:pPr>
        <w:spacing w:after="0" w:line="225" w:lineRule="exact"/>
        <w:rPr>
          <w:rFonts w:ascii="Arial" w:cs="Arial" w:eastAsia="Arial" w:hAnsi="Arial"/>
          <w:sz w:val="18"/>
          <w:szCs w:val="18"/>
          <w:color w:val="auto"/>
        </w:rPr>
      </w:pPr>
    </w:p>
    <w:p>
      <w:pPr>
        <w:ind w:left="660" w:hanging="324"/>
        <w:spacing w:after="0" w:line="275" w:lineRule="auto"/>
        <w:rPr>
          <w:rFonts w:ascii="Arial" w:cs="Arial" w:eastAsia="Arial" w:hAnsi="Arial"/>
          <w:sz w:val="18"/>
          <w:szCs w:val="18"/>
          <w:color w:val="auto"/>
        </w:rPr>
      </w:pPr>
      <w:r>
        <w:rPr>
          <w:rFonts w:ascii="Arial" w:cs="Arial" w:eastAsia="Arial" w:hAnsi="Arial"/>
          <w:sz w:val="17"/>
          <w:szCs w:val="17"/>
          <w:color w:val="auto"/>
        </w:rPr>
        <w:t>2.1 Contractor represents and warrants that it is familiar with all safety and environmental requirements applicable to it according to law which are relevant for the conduct of his services and that it will abide by such requirements. The Contractor also represents and warrants that it is familiar with Kornit’s safety requirements and that it will abide by them. The Contractor undertakes to conduct its seivices in strict compliance with all applicable safety and environmental requirement and shall make sure its employees abide by such requirements as well. Kornit shall not be required to supervise the Contractor’s or its employees’ compliance with such requirements.</w:t>
      </w:r>
    </w:p>
    <w:p>
      <w:pPr>
        <w:spacing w:after="0" w:line="176" w:lineRule="exact"/>
        <w:rPr>
          <w:rFonts w:ascii="Arial" w:cs="Arial" w:eastAsia="Arial" w:hAnsi="Arial"/>
          <w:sz w:val="18"/>
          <w:szCs w:val="18"/>
          <w:color w:val="auto"/>
        </w:rPr>
      </w:pPr>
    </w:p>
    <w:p>
      <w:pPr>
        <w:ind w:left="660" w:hanging="324"/>
        <w:spacing w:after="0" w:line="263" w:lineRule="auto"/>
        <w:rPr>
          <w:rFonts w:ascii="Arial" w:cs="Arial" w:eastAsia="Arial" w:hAnsi="Arial"/>
          <w:sz w:val="18"/>
          <w:szCs w:val="18"/>
          <w:color w:val="auto"/>
        </w:rPr>
      </w:pPr>
      <w:r>
        <w:rPr>
          <w:rFonts w:ascii="Arial" w:cs="Arial" w:eastAsia="Arial" w:hAnsi="Arial"/>
          <w:sz w:val="18"/>
          <w:szCs w:val="18"/>
          <w:color w:val="auto"/>
        </w:rPr>
        <w:t>2.2 The Contractor take, at its expense, all safety measurements which are required by law, such as: fencing, signs, guard, safety accessories, lightning, etc. The Contractor shall be responsible for all damages caused due to any breach of safety requirements required by law and/or safety rudiments provided by Kornit.</w:t>
      </w:r>
    </w:p>
    <w:p>
      <w:pPr>
        <w:spacing w:after="0" w:line="183" w:lineRule="exact"/>
        <w:rPr>
          <w:rFonts w:ascii="Arial" w:cs="Arial" w:eastAsia="Arial" w:hAnsi="Arial"/>
          <w:sz w:val="18"/>
          <w:szCs w:val="18"/>
          <w:color w:val="auto"/>
        </w:rPr>
      </w:pPr>
    </w:p>
    <w:p>
      <w:pPr>
        <w:ind w:left="660" w:hanging="324"/>
        <w:spacing w:after="0" w:line="311" w:lineRule="auto"/>
        <w:rPr>
          <w:rFonts w:ascii="Arial" w:cs="Arial" w:eastAsia="Arial" w:hAnsi="Arial"/>
          <w:sz w:val="18"/>
          <w:szCs w:val="18"/>
          <w:color w:val="auto"/>
        </w:rPr>
      </w:pPr>
      <w:r>
        <w:rPr>
          <w:rFonts w:ascii="Arial" w:cs="Arial" w:eastAsia="Arial" w:hAnsi="Arial"/>
          <w:sz w:val="16"/>
          <w:szCs w:val="16"/>
          <w:color w:val="auto"/>
        </w:rPr>
        <w:t>2.3 In the event that the Contractor shall conduct some of its sendees at Kornit’s premises, the Contractor shall ensure that such services will not interfere with other work which is being conducted by Kornit or its contractors and shall not disrupt such work. The Contractor shall ensure that its personnel shall keep all of Kornit’s safety procedures at such premises and that they shall pass all necessary safety training required by Kornit.</w:t>
      </w:r>
    </w:p>
    <w:p>
      <w:pPr>
        <w:spacing w:after="0" w:line="148" w:lineRule="exact"/>
        <w:rPr>
          <w:rFonts w:ascii="Arial" w:cs="Arial" w:eastAsia="Arial" w:hAnsi="Arial"/>
          <w:sz w:val="18"/>
          <w:szCs w:val="18"/>
          <w:color w:val="auto"/>
        </w:rPr>
      </w:pPr>
    </w:p>
    <w:p>
      <w:pPr>
        <w:ind w:left="660" w:hanging="324"/>
        <w:spacing w:after="0" w:line="277" w:lineRule="auto"/>
        <w:rPr>
          <w:rFonts w:ascii="Arial" w:cs="Arial" w:eastAsia="Arial" w:hAnsi="Arial"/>
          <w:sz w:val="18"/>
          <w:szCs w:val="18"/>
          <w:color w:val="auto"/>
        </w:rPr>
      </w:pPr>
      <w:r>
        <w:rPr>
          <w:rFonts w:ascii="Arial" w:cs="Arial" w:eastAsia="Arial" w:hAnsi="Arial"/>
          <w:sz w:val="18"/>
          <w:szCs w:val="18"/>
          <w:color w:val="auto"/>
        </w:rPr>
        <w:t>2.4 Each person employed by the Contractor shall be required to read and sign a safety training form with respect to the specific product he/she is supposed to assemble, which will be provided by Kornit, and provide Kornit with such signed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Work Accident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 The Contractor shall immediately report Kornit of any work accident occurred during the provision of its services to Kornit.</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3.2 The Contractor shall be responsible for any and all damages caused to its employees or service providers due to a work accident.</w:t>
      </w:r>
    </w:p>
    <w:p>
      <w:pPr>
        <w:spacing w:after="0" w:line="225" w:lineRule="exact"/>
        <w:rPr>
          <w:rFonts w:ascii="Arial" w:cs="Arial" w:eastAsia="Arial" w:hAnsi="Arial"/>
          <w:sz w:val="18"/>
          <w:szCs w:val="18"/>
          <w:color w:val="auto"/>
        </w:rPr>
      </w:pPr>
    </w:p>
    <w:p>
      <w:pPr>
        <w:ind w:left="660" w:hanging="324"/>
        <w:spacing w:after="0" w:line="277" w:lineRule="auto"/>
        <w:rPr>
          <w:rFonts w:ascii="Arial" w:cs="Arial" w:eastAsia="Arial" w:hAnsi="Arial"/>
          <w:sz w:val="18"/>
          <w:szCs w:val="18"/>
          <w:color w:val="auto"/>
        </w:rPr>
      </w:pPr>
      <w:r>
        <w:rPr>
          <w:rFonts w:ascii="Arial" w:cs="Arial" w:eastAsia="Arial" w:hAnsi="Arial"/>
          <w:sz w:val="18"/>
          <w:szCs w:val="18"/>
          <w:color w:val="auto"/>
        </w:rPr>
        <w:t>3.3 Any recess in the work due to a work accident shall not derogate from Contractor’s obligation to provide the services, in accordance with the agreed upon time schedule.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D - PRODUCT SPECIFICATIONS</w:t>
      </w:r>
    </w:p>
    <w:p>
      <w:pPr>
        <w:sectPr>
          <w:pgSz w:w="11900" w:h="16838" w:orient="portrait"/>
          <w:cols w:equalWidth="0" w:num="1">
            <w:col w:w="9019"/>
          </w:cols>
          <w:pgMar w:left="1440" w:top="908"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Add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200" w:name="page201"/>
    <w:bookmarkEnd w:id="200"/>
    <w:p>
      <w:pPr>
        <w:jc w:val="right"/>
        <w:ind w:right="2559"/>
        <w:spacing w:after="0"/>
        <w:rPr>
          <w:sz w:val="20"/>
          <w:szCs w:val="20"/>
          <w:color w:val="auto"/>
        </w:rPr>
      </w:pPr>
      <w:r>
        <w:rPr>
          <w:rFonts w:ascii="Arial" w:cs="Arial" w:eastAsia="Arial" w:hAnsi="Arial"/>
          <w:sz w:val="18"/>
          <w:szCs w:val="18"/>
          <w:u w:val="single" w:color="auto"/>
          <w:color w:val="auto"/>
        </w:rPr>
        <w:t>EXHIBIT E – AUTHORIZED SUBCONTRACTORS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u w:val="single" w:color="auto"/>
          <w:color w:val="auto"/>
        </w:rPr>
        <w:t>EXHIBIT F - CERTIFICATE OF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Kornit Digital Ltd. and/or its Parent Companies and/or its subsidiaries and/or affiliated companies 12 Ha’Amal St., Afek Park, Rosh-Ha’Ayin 4809246, Israel (Hereinafter jointly and severally: “Kornit”)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 SANMINA’s Insurance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hereby confirm that we have arranged the insurance policies detailed hereunder in the name of ________________ </w:t>
      </w:r>
      <w:r>
        <w:rPr>
          <w:rFonts w:ascii="Arial" w:cs="Arial" w:eastAsia="Arial" w:hAnsi="Arial"/>
          <w:sz w:val="16"/>
          <w:szCs w:val="16"/>
          <w:u w:val="single" w:color="auto"/>
          <w:color w:val="auto"/>
        </w:rPr>
        <w:t>L</w:t>
      </w:r>
      <w:r>
        <w:rPr>
          <w:rFonts w:ascii="Arial" w:cs="Arial" w:eastAsia="Arial" w:hAnsi="Arial"/>
          <w:sz w:val="16"/>
          <w:szCs w:val="16"/>
          <w:color w:val="auto"/>
        </w:rPr>
        <w:t>td, (hereinafter: “SANMINA”) in</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connection with manufacturing of digital printers known as “Avalanche 1000R” and “Storm Hexa” or any other product and/or associated services in connection to the agreement between Kornit and SANMINA (hereinafter: “the Services” and “the Product”) for the period commencing on</w:t>
      </w:r>
    </w:p>
    <w:p>
      <w:pPr>
        <w:spacing w:after="0"/>
        <w:rPr>
          <w:sz w:val="20"/>
          <w:szCs w:val="20"/>
          <w:color w:val="auto"/>
        </w:rPr>
      </w:pPr>
      <w:r>
        <w:rPr>
          <w:rFonts w:ascii="Arial" w:cs="Arial" w:eastAsia="Arial" w:hAnsi="Arial"/>
          <w:sz w:val="18"/>
          <w:szCs w:val="18"/>
          <w:color w:val="auto"/>
        </w:rPr>
        <w:t>__________________ and expiring on ________ ________ ________ 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(hereinafter: “Period of Insurance”):</w:t>
      </w:r>
    </w:p>
    <w:p>
      <w:pPr>
        <w:spacing w:after="0" w:line="211" w:lineRule="exact"/>
        <w:rPr>
          <w:sz w:val="20"/>
          <w:szCs w:val="20"/>
          <w:color w:val="auto"/>
        </w:rPr>
      </w:pPr>
    </w:p>
    <w:p>
      <w:pPr>
        <w:jc w:val="both"/>
        <w:ind w:left="340" w:hanging="332"/>
        <w:spacing w:after="0" w:line="291" w:lineRule="auto"/>
        <w:tabs>
          <w:tab w:leader="none" w:pos="3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Property insurance - “Ail Risks”/“Fire Extended” Insurance for any property (including but not limited to the Product and/or buildings used for development, production, and manufacturing of the Product) and/or equipment owned and/or that is in the possession of and/or under the responsibility and/or custody and/or care and/or control of SANMINA and/or that is in use in connection to the Agreement, to its full value and at full reinstatement value against all customary risks covered by an “All risks”/“Fire Extended” Policy, including but not limited to: fire, smoke, lightning, explosion, earthquake, storm, tempest, water damage and burst pipes, impact, injury from a vehicle, injury from aircraft, strikes, disturbances, malicious damage, burglary. Kornit is named as the sole beneficiary in respect of any indemnification for any loss and/or damage to any and all of its properly including the product. Any Indemnifications shall be paid to Kornit and/or to any party which Kornit shall order in writing.</w:t>
      </w:r>
    </w:p>
    <w:p>
      <w:pPr>
        <w:spacing w:after="0" w:line="166"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Employers’ Liability Insurance - covering SANMINA’s legal liability towards all individuals employed by it respect of death and/or bodily injury and/or mental illness to any employee as a consequence of an accident or illness during and/or due to the provision of the Services, with a limit of liability of $[***] per injured party, per occurrence and in the aggregate period of insurance. The insurance is not subject to any restriction regarding work hours, work at heights or depths, contractors, subcontractors and their employees, the employment of youth. The insurance is extended to include Kornit and/or its employees and/or managers as additional insureds in the event that they are construed to be the employer of any of the SANMINA’s employees.</w:t>
      </w:r>
    </w:p>
    <w:p>
      <w:pPr>
        <w:spacing w:after="0" w:line="192"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Third Party Liability Insurance - covering SANMINA’s legal liability in respect of injury and/or loss and/or damage caused to the body and/or property of any individual and/or any entity including Kornit and/or any party acting on its behalf, in connection with and/or in the framework of the provision of the Services, with a limit of liability of $[***] per occurrence and in the aggregate period of insurance. The insurance is not subject to any restriction in respect of liability arising from fire, panic, explosion, lifting installation, loading and unloading, poisoning, any harmful material in food or beverages, riots and strikes, liability in respect of and towards contractors, subcontractors and their employees as well as claims by the National Insurance Institute. Kornit’s property shall be considered as third party. The insurance is extended to include Korn it and/or its employees and/or managers as additional insureds in respect of their liability for errors and/or omissions of SANMINA and/or anyone acting on its behalf, subject to a cross liability clause.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left="340" w:hanging="332"/>
        <w:spacing w:after="0" w:line="253"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Professional Indemnity Insurance - covering SANMINA’s legal liability in respect of a professional error and/or omission and or breach of professional duty and/or error whose origin is in negligence, error, fault or omission of SANMINA and/or any party acting on its behalf and/or for it and/or as its delegate, which occurs during and/or due to and/or in the course of and/or in the framework of the provision of the Services, with a limit of liability of $[***] per occurrence and in the aggregate period of insurance. The insurance as aforementioned is extended to include Kornit and/or its employees and/or managers as additional insureds, in respect of their liability for errors and/or omissions of SANMINA and/or anyone on its behalf and/or in its name, subject to a cross liability clause. The insurance is free of any exclusion or limitation regarding: loss of documents, loss of use, delay and/or postponement in the performance of the Services, planning and supervision, violation of intellectual property rights, violation of the Duty of Confidentiality, libel and slander, financial/consequential loss. The insurance is extended to cover the liability of SANMINA in respect of dishonesty of employees and breach of authority.</w:t>
      </w:r>
    </w:p>
    <w:p>
      <w:pPr>
        <w:spacing w:after="0" w:line="196"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Products Liability Insurance - covering SANMINA’s legal liability in respect of bodily injury and/or property damage due to and/or in connection to a product manufactured, installed, assembled, marketed, packed, labeled, supplied or handled in any other way by SANMINA and/or anyone on its behalf including the Product (hereinafter: “The Products”) with a limit of liability of $[***] per claim and in the aggregate for the period of insurance. The insurance will be extended to cover products recall in the sum of $[***]. The insurance as aforementioned is extended to include Kornit and/or its employees and/or managers as additional insureds, in respect of their liability in connection to the product, subject to a cross liability clause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General conditions: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insurance policies specified above in sections 4 and 5, shall be applicable retroactively from the date on which SANMINA commences providing any services in connection with the Agreement, even if such activity commenced before the Agreement was signed, but not before_____________ . In the event that any of the said insurance policies is cancelled or is not renewed, it is agreed that the policies include an extended discovery period of 12 months after the date of expiry of the insurance periods.</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insurance Policies above contain an explicit clause in pursuance of which we waive the right of subrogation against Kornit and/or anyone acting on its behalf. Such waiver shall not apply in favor of any person who caused the damage maliciously.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SANMINA alone is responsible for payment of the premiums and the deductibles stated in the insurance policies detailed above.</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aforementioned insurance policies contain an express clause according to which these insurance policies are primary to any other insurance arranged by Kornit and/or any party acting on its behalf and that we waive any demand and/or allegation regarding contribution by the insurance policies of Kornit and/or any party acting on its behalf.</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hereby confirm that noncompliance with the duties imposed upon the insured in good faith in the aforementioned insurance policies, and/or a breach of any of the policy terms and/or conditions shall not prejudice the rights of Kornit to receive indemnity.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SANMINA’s insurance policies include a worldwide territorial limits and jurisdiction cover (including U.S.A and Canada).</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It is hereby expressly agreed that the wordings of SANMINA’s insurance policies, other than the Professional liability Insurance, will not be inferior to the policy wordings known as BIT subject to the alterations detailed above (The policies shall not include any exclusion in respect of Insured’s conduct deviating from a reasonable Insured’s conduct, including gross negligence and/or recklessness and/or carelessness and/or breach of duty of care).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original policies’ conditions and exclusions, insofar as they have not been altered expressly by that stated in this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Insurer’s signature and stamp</w:t>
      </w:r>
      <w:r>
        <w:rPr>
          <w:sz w:val="20"/>
          <w:szCs w:val="20"/>
          <w:color w:val="auto"/>
        </w:rPr>
        <w:tab/>
      </w:r>
      <w:r>
        <w:rPr>
          <w:rFonts w:ascii="Arial" w:cs="Arial" w:eastAsia="Arial" w:hAnsi="Arial"/>
          <w:sz w:val="16"/>
          <w:szCs w:val="16"/>
          <w:color w:val="auto"/>
        </w:rPr>
        <w:t>Name and position of signatory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u w:val="single" w:color="auto"/>
          <w:color w:val="auto"/>
        </w:rPr>
        <w:t>EXHIBIT G - SANMINA MATERIAL ORDERING POLICIES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Initial Forecast</w:t>
      </w:r>
      <w:r>
        <w:rPr>
          <w:rFonts w:ascii="Arial" w:cs="Arial" w:eastAsia="Arial" w:hAnsi="Arial"/>
          <w:sz w:val="18"/>
          <w:szCs w:val="18"/>
          <w:color w:val="auto"/>
        </w:rPr>
        <w:t>. Customer shall provide Sanmina with an initial sixty (60) day firm purchase order (“Order”) and forecast for Product requirements (in monthly buckets) for an additional six (6) months (“Forecast”). The Order - and all subsequent Orders - shall be binding and may be rescheduled only in accordance with Section D, below. Sanmina shall make purchase commitments based on their quoted lead times, “Just In Time” and “Late as Possible” best practices (including purchase commitments for Long Lead-time Components) to its Component suppliers (“Vendors”) based upon the Order and Forecast, and Customer shall be responsible for all such Components purchased in support of Customer’s then-current Forecast. For all other purposes, however, the Forecast shall be non-binding.</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Subsequent Forecasts</w:t>
      </w:r>
      <w:r>
        <w:rPr>
          <w:rFonts w:ascii="Arial" w:cs="Arial" w:eastAsia="Arial" w:hAnsi="Arial"/>
          <w:sz w:val="18"/>
          <w:szCs w:val="18"/>
          <w:color w:val="auto"/>
        </w:rPr>
        <w:t>. On the first business day of each calendar month after the initial Order and Forecast, the first Forecast month shall automatically become part of the Order, a new Forecast month shall be added, and a new firm Order issued, so that a rolling Order of sixty (60) days is always maintained.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Material Requirement Planning Process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59" w:lineRule="auto"/>
        <w:tabs>
          <w:tab w:leader="none" w:pos="2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Sanmina shall take the Order and Forecast and generate a Master Production Schedule (“MPS”) for a twelve-month period in accordance with the process described in this Section. The MPS shall define the master plan on which Sanmina shall base its procurement, internal capacity projections and commitments. Sanmina shall use Customer’s Order to generate the first two (60) days of the MPS and shall use Customer’s Forecast to generate the subsequent six (6) months of the MPS.</w:t>
      </w:r>
    </w:p>
    <w:p>
      <w:pPr>
        <w:spacing w:after="0" w:line="186" w:lineRule="exact"/>
        <w:rPr>
          <w:rFonts w:ascii="Arial" w:cs="Arial" w:eastAsia="Arial" w:hAnsi="Arial"/>
          <w:sz w:val="18"/>
          <w:szCs w:val="18"/>
          <w:color w:val="auto"/>
        </w:rPr>
      </w:pPr>
    </w:p>
    <w:p>
      <w:pPr>
        <w:jc w:val="both"/>
        <w:ind w:firstLine="8"/>
        <w:spacing w:after="0" w:line="257" w:lineRule="auto"/>
        <w:tabs>
          <w:tab w:leader="none" w:pos="23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Sanmina shall process the MPS through industry-standard software that will break down Customer’s Product requirements into Component requirements, When no Product testing (in-circuit or functional testing) is required by Customer, Sanmina will use commercially reasonable efforts to schedule delivery of all Components to Sanmina eleven working days before the Products are scheduled to ship to Customer; in the event Product testing is required, Sanmina will use commercially reasonable efforts to schedule delivery of all Components to Sanmina sixteen working days before the Products are scheduled to ship to Customer.</w:t>
      </w:r>
    </w:p>
    <w:p>
      <w:pPr>
        <w:spacing w:after="0" w:line="187" w:lineRule="exact"/>
        <w:rPr>
          <w:rFonts w:ascii="Arial" w:cs="Arial" w:eastAsia="Arial" w:hAnsi="Arial"/>
          <w:sz w:val="18"/>
          <w:szCs w:val="18"/>
          <w:color w:val="auto"/>
        </w:rPr>
      </w:pPr>
    </w:p>
    <w:p>
      <w:pPr>
        <w:jc w:val="both"/>
        <w:ind w:firstLine="8"/>
        <w:spacing w:after="0" w:line="342" w:lineRule="auto"/>
        <w:tabs>
          <w:tab w:leader="none" w:pos="19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Sanmina will release purchase orders to Vendors prior to the anticipated date that the Components are needed by Sanmina. The date on which these orders are released will depend on the lead time determined between the Vendor and Sanmina and Sanmina’s manufacturing or materials planning systems.</w:t>
      </w:r>
    </w:p>
    <w:p>
      <w:pPr>
        <w:spacing w:after="0" w:line="123" w:lineRule="exact"/>
        <w:rPr>
          <w:rFonts w:ascii="Arial" w:cs="Arial" w:eastAsia="Arial" w:hAnsi="Arial"/>
          <w:sz w:val="16"/>
          <w:szCs w:val="16"/>
          <w:color w:val="auto"/>
        </w:rPr>
      </w:pPr>
    </w:p>
    <w:p>
      <w:pPr>
        <w:jc w:val="both"/>
        <w:ind w:firstLine="8"/>
        <w:spacing w:after="0" w:line="279" w:lineRule="auto"/>
        <w:tabs>
          <w:tab w:leader="none" w:pos="19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list of all Components with lead times greater than ninety days (“Long Lead-time Components”) shall be provided. Sanmina shall update the list of Long Lead-time Components every quarter and present an updated list of Long Lead-time Components to Customer at the time Sanmina presents the Customer with the E&amp;O List described in Section E, below. Each revised Long Lead-time Item list shall be deemed an amendment to Exhibit B. It is Sanmina’s responsibility to update Kornit with any extended lead time or changes in the standard lead time of BOM components.</w:t>
      </w:r>
    </w:p>
    <w:p>
      <w:pPr>
        <w:spacing w:after="0" w:line="171" w:lineRule="exact"/>
        <w:rPr>
          <w:rFonts w:ascii="Arial" w:cs="Arial" w:eastAsia="Arial" w:hAnsi="Arial"/>
          <w:sz w:val="17"/>
          <w:szCs w:val="17"/>
          <w:color w:val="auto"/>
        </w:rPr>
      </w:pPr>
    </w:p>
    <w:p>
      <w:pPr>
        <w:jc w:val="both"/>
        <w:ind w:firstLine="8"/>
        <w:spacing w:after="0" w:line="272" w:lineRule="auto"/>
        <w:tabs>
          <w:tab w:leader="none" w:pos="20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Customer acknowledges that Sanmina will order Components in quantities sufficient to support up to six months of Customer’s Forecast, based on quoted lead time and late as possible best known method. In determining the quantity of Components to order, Sanmina divides the Components into three classes, “Class A,” “Class B” and “Class C.” Class A Components are comprised of the approximately [***] ([***]%) of Components constituting approximately [***] ([***]%) of the Product’s total Component cost. Class C Components are comprised of the approximately [***] ([***]%) of Components constituting approximately [***] ([***]%) of the Product Cost. Class B Components are comprised of the remaining [***] ([***]%) of Components constituting approximately [***] ([***]%) of the Products cost. Sanmina will place orders with its Vendors for approximately [***] worth of Class A Components, [***] worth of Class B Components and [***] worth of Class C Components.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A summary of Sanmina’s purchase commitments is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Expected Percentage of Total Value</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89"/>
              </w:rPr>
              <w:t>Periods Worth of Supply to be</w:t>
            </w:r>
          </w:p>
        </w:tc>
      </w:tr>
      <w:tr>
        <w:trPr>
          <w:trHeight w:val="241"/>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Class</w:t>
            </w:r>
          </w:p>
        </w:tc>
        <w:tc>
          <w:tcPr>
            <w:tcW w:w="3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Expected Percentage of Total Parts</w:t>
            </w:r>
          </w:p>
        </w:tc>
        <w:tc>
          <w:tcPr>
            <w:tcW w:w="3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Gross Requirements)</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Bought with Each Order</w:t>
            </w:r>
          </w:p>
        </w:tc>
      </w:tr>
      <w:tr>
        <w:trPr>
          <w:trHeight w:val="230"/>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2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29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8"/>
        <w:spacing w:after="0" w:line="263" w:lineRule="auto"/>
        <w:tabs>
          <w:tab w:leader="none" w:pos="20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Customer acknowledges that Sanmina will be required to order Components in accordance with the various minimum buy quantities, tape and reel quantities, and multiples of packaging quantities required by the Vendor. In addition, Customer acknowledges that there is a lag time between any Customer cancellation and the cancellation of the Components required to support production.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68"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Reschedules</w:t>
      </w:r>
      <w:r>
        <w:rPr>
          <w:rFonts w:ascii="Arial" w:cs="Arial" w:eastAsia="Arial" w:hAnsi="Arial"/>
          <w:sz w:val="18"/>
          <w:szCs w:val="18"/>
          <w:color w:val="auto"/>
        </w:rPr>
        <w:t>. Customer may reschedule all or part of a scheduled delivery [***] per [***] for a period not to exceed [***] in accordance with the table below. At the end of this [***] period, Customer shall either accept delivery of rescheduled finished units and/or pay the Sanmina’s Delivered Cost (as defined in Section E below) associated with rescheduled units not yet built.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Days Before P.O. Delivery Date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Reschedule Allowance</w:t>
            </w:r>
          </w:p>
        </w:tc>
      </w:tr>
      <w:tr>
        <w:trPr>
          <w:trHeight w:val="229"/>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Sanmina shall use reasonable commercial efforts to accommodate any upside schedule changes beyond the firm Order periods.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Excess and Obsolete Inventory</w:t>
      </w:r>
      <w:r>
        <w:rPr>
          <w:rFonts w:ascii="Arial" w:cs="Arial" w:eastAsia="Arial" w:hAnsi="Arial"/>
          <w:sz w:val="18"/>
          <w:szCs w:val="18"/>
          <w:color w:val="auto"/>
        </w:rPr>
        <w:t>.</w:t>
      </w:r>
    </w:p>
    <w:p>
      <w:pPr>
        <w:spacing w:after="0" w:line="225" w:lineRule="exact"/>
        <w:rPr>
          <w:sz w:val="20"/>
          <w:szCs w:val="20"/>
          <w:color w:val="auto"/>
        </w:rPr>
      </w:pPr>
    </w:p>
    <w:p>
      <w:pPr>
        <w:ind w:left="1200" w:hanging="220"/>
        <w:spacing w:after="0"/>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1480" w:hanging="176"/>
        <w:spacing w:after="0"/>
        <w:tabs>
          <w:tab w:leader="none" w:pos="148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“Delivered Cost” shall mean SANMINA’s quoted cost of Components as stated on the bill of materials, plus a materials margin equal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 ([***]%).</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50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“Excess Components” means the Components that SANMINA has on hand, which have been ordered, manufactured, or acquired based on CUSTOMER’S then-current Forecast or Orders, but for which CUSTOMER has no demand in the [***] period following the end of each calendar quarter.</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147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“Obsolete Components” means: the quantity of Components that SANMINA has on hand, which have been ordered, manufactured, or acquired based on CUSTOMER’S then-current Forecast or Order, but which SANMINA no longer requires as a result of (i) CUSTOMER’S announcement or notification that the Product into which such Component is incorporated has reached its end of life, (ii) a change in the specification the Product into which the Component is incorporated as a result of an Engineering Change Notice or otherwise; or (iii) Section E (vii) below.</w:t>
      </w:r>
    </w:p>
    <w:p>
      <w:pPr>
        <w:spacing w:after="0" w:line="157" w:lineRule="exact"/>
        <w:rPr>
          <w:rFonts w:ascii="Arial" w:cs="Arial" w:eastAsia="Arial" w:hAnsi="Arial"/>
          <w:sz w:val="16"/>
          <w:szCs w:val="16"/>
          <w:color w:val="auto"/>
        </w:rPr>
      </w:pPr>
    </w:p>
    <w:p>
      <w:pPr>
        <w:jc w:val="both"/>
        <w:ind w:firstLine="980"/>
        <w:spacing w:after="0" w:line="259" w:lineRule="auto"/>
        <w:tabs>
          <w:tab w:leader="none" w:pos="124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Within five (5) business days after receiving CUSTOMER’S first Forecast or Order of the first month following the end of each calendar quarter (but no later than the fifteenth business day following the end of each of SANMINA’s calendar quarters), SANMINA shall advise CUSTOMER in writing of any Excess Components and their Delivered Cost (the “Excess List”). Notwithstanding the foregoing, SANMINA’s failure to timely provide the Excess List to CUSTOMER shall not affect CUSTOMER’S obligations hereunder.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ind w:firstLine="980"/>
        <w:spacing w:after="0" w:line="277" w:lineRule="auto"/>
        <w:tabs>
          <w:tab w:leader="none" w:pos="129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Within [***] of receiving SANMINA’s Excess List, CUSTOMER shall advise SANMINA of any Component on the Excess List that it believes is not excess, and the parties shall work together in good faith to resolve any outstanding issues.</w:t>
      </w:r>
    </w:p>
    <w:p>
      <w:pPr>
        <w:spacing w:after="0" w:line="170" w:lineRule="exact"/>
        <w:rPr>
          <w:rFonts w:ascii="Arial" w:cs="Arial" w:eastAsia="Arial" w:hAnsi="Arial"/>
          <w:sz w:val="18"/>
          <w:szCs w:val="18"/>
          <w:color w:val="auto"/>
        </w:rPr>
      </w:pPr>
    </w:p>
    <w:p>
      <w:pPr>
        <w:jc w:val="both"/>
        <w:ind w:firstLine="980"/>
        <w:spacing w:after="0" w:line="263" w:lineRule="auto"/>
        <w:tabs>
          <w:tab w:leader="none" w:pos="127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Within [***] of CUSTOMER’S issuance of its response to the Excess List, CUSTOMER and SANMINA will agree on the disposition of the Excess List on a part number-by-part number basis (hereafter the “Mutually Agreed Excess”) and shall enter into transactions as defined below to settle the Mutually Agreed Excess.</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25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Within [***] of the parties’ agreement on the Mutually Agreed Excess, CUSTOMER will pay SANMINA the amount equal to the Mutually Agreed Excess. SANMINA will credit these funds to the CUSTOMER’S “Offset Inventory Reserve Account” which has been established as a “contra-asset” to CUSTOMER’S obligations under this Section E.</w:t>
      </w:r>
    </w:p>
    <w:p>
      <w:pPr>
        <w:spacing w:after="0" w:line="183" w:lineRule="exact"/>
        <w:rPr>
          <w:rFonts w:ascii="Arial" w:cs="Arial" w:eastAsia="Arial" w:hAnsi="Arial"/>
          <w:sz w:val="18"/>
          <w:szCs w:val="18"/>
          <w:color w:val="auto"/>
        </w:rPr>
      </w:pPr>
    </w:p>
    <w:p>
      <w:pPr>
        <w:jc w:val="both"/>
        <w:ind w:firstLine="980"/>
        <w:spacing w:after="0" w:line="296" w:lineRule="auto"/>
        <w:tabs>
          <w:tab w:leader="none" w:pos="128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parties shall use the processes set forth in Sections (i) through (v) above at the end of each calendar quarter to determine the “new” Mutually Agreed Excess for the end of each subsequent calendar quarter. The parties will then compare the prior quarter’s Offset Inventory Reserve Account with the “new” Mutually Agreed Excess amount. If the new Mutually Agreed Excess is greater than the Offset Inventory Reserve Account, then CUSTOMER shall, within [***], pay the difference to SANMINA, who shall credit the funds to the Offset Reserve Account. If the new Mutually Agreed Excess is less than the Offset Inventory Reserve Account, then SANMINA shall, within ten (10) business days, refund the difference to CUSTOMER.</w:t>
      </w:r>
    </w:p>
    <w:p>
      <w:pPr>
        <w:spacing w:after="0" w:line="161" w:lineRule="exact"/>
        <w:rPr>
          <w:rFonts w:ascii="Arial" w:cs="Arial" w:eastAsia="Arial" w:hAnsi="Arial"/>
          <w:sz w:val="16"/>
          <w:szCs w:val="16"/>
          <w:color w:val="auto"/>
        </w:rPr>
      </w:pPr>
    </w:p>
    <w:p>
      <w:pPr>
        <w:ind w:right="20" w:firstLine="980"/>
        <w:spacing w:after="0" w:line="277" w:lineRule="auto"/>
        <w:tabs>
          <w:tab w:leader="none" w:pos="133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Excess Components shall be kept in the Offset Inventory Reserve Account for a maximum period of [***], at which time such Excess Components will be deemed to be Obsolete Components, and handled in accordance with Section (viii) below.</w:t>
      </w:r>
    </w:p>
    <w:p>
      <w:pPr>
        <w:spacing w:after="0" w:line="170" w:lineRule="exact"/>
        <w:rPr>
          <w:rFonts w:ascii="Arial" w:cs="Arial" w:eastAsia="Arial" w:hAnsi="Arial"/>
          <w:sz w:val="18"/>
          <w:szCs w:val="18"/>
          <w:color w:val="auto"/>
        </w:rPr>
      </w:pPr>
    </w:p>
    <w:p>
      <w:pPr>
        <w:jc w:val="both"/>
        <w:ind w:firstLine="980"/>
        <w:spacing w:after="0" w:line="254" w:lineRule="auto"/>
        <w:tabs>
          <w:tab w:leader="none" w:pos="138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the extent that any of the amount in the CUSTOMER’S Offset Inventory Reserve Account relates to any Obsolete Component (e.g., the Obsolete Component was formerly included in the Excess List, and CUSTOMER included that Component in its funding of the Offset Inventory Reserve Account), SANMINA shall debit the Offset Inventory Reserve Account in the amount of the Delivered Cost of such Component. In the event the CUSTOMER’S Offset Inventory Reserve Account does not include funding for any Obsolete Component (e.g., the Component was recently rendered obsolete as a result of a design change), SANMINA shall invoice CUSTOMER for the Delivered Cost of the Obsolete Component, CUSTOMER shall pay SANMINA’s invoice within [***] business days after the date of invoice. SANMINA will ship or dispose of the Obsolete Component in accordance with the CUSTOMER’S instructions.</w:t>
      </w:r>
    </w:p>
    <w:p>
      <w:pPr>
        <w:spacing w:after="0" w:line="194" w:lineRule="exact"/>
        <w:rPr>
          <w:rFonts w:ascii="Arial" w:cs="Arial" w:eastAsia="Arial" w:hAnsi="Arial"/>
          <w:sz w:val="18"/>
          <w:szCs w:val="18"/>
          <w:color w:val="auto"/>
        </w:rPr>
      </w:pPr>
    </w:p>
    <w:p>
      <w:pPr>
        <w:ind w:left="840" w:hanging="184"/>
        <w:spacing w:after="0"/>
        <w:tabs>
          <w:tab w:leader="none" w:pos="8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Customer Component Liability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Customer acknowledges that it shall be financially liable for all Components ordered in accordance with these Policies. Specifically, Customer’s Component liability shall be equal to Sanmina’s Delivered Cost of all Components ordered in support of any Order or Forecast, including any Excess Components resulting from any minimum buy quantities, tape and reel quantities, and multiples of packaging quantities required by the Vendor less the actual cost (per the bill of materials) of those Components which are returnable to Vendor (less any cancellation or restocking charges). At Customer’s request, Sanmina shall use commercially reasonable efforts to minimize Customer’s Component liability by attempting to return Components to the Vendor; provided, however, that Sanmina shall not be obligated to attempt to return to Vendor Components which are, in the aggregate, worth less than [***]. Customer guarantees the obligations of each of its subsidiaries or affiliates that places Orders or Forecasts pursuant to this Agreement, and agrees to be jointly liable for all such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color w:val="auto"/>
        </w:rPr>
        <w:t>Exhibit 8.1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rPr>
              <w:t>SUBSIDIARIES OF KORNIT DIGITAL LTD.</w:t>
            </w:r>
          </w:p>
        </w:tc>
        <w:tc>
          <w:tcPr>
            <w:tcW w:w="3600" w:type="dxa"/>
            <w:vAlign w:val="bottom"/>
          </w:tcPr>
          <w:p>
            <w:pPr>
              <w:spacing w:after="0"/>
              <w:rPr>
                <w:sz w:val="20"/>
                <w:szCs w:val="20"/>
                <w:color w:val="auto"/>
              </w:rPr>
            </w:pPr>
          </w:p>
        </w:tc>
      </w:tr>
      <w:tr>
        <w:trPr>
          <w:trHeight w:val="459"/>
        </w:trPr>
        <w:tc>
          <w:tcPr>
            <w:tcW w:w="3620" w:type="dxa"/>
            <w:vAlign w:val="bottom"/>
          </w:tcPr>
          <w:p>
            <w:pPr>
              <w:spacing w:after="0"/>
              <w:rPr>
                <w:sz w:val="20"/>
                <w:szCs w:val="20"/>
                <w:color w:val="auto"/>
              </w:rPr>
            </w:pPr>
            <w:r>
              <w:rPr>
                <w:rFonts w:ascii="Arial" w:cs="Arial" w:eastAsia="Arial" w:hAnsi="Arial"/>
                <w:sz w:val="18"/>
                <w:szCs w:val="18"/>
                <w:b w:val="1"/>
                <w:bCs w:val="1"/>
                <w:color w:val="auto"/>
              </w:rPr>
              <w:t>Name of Subsidiary</w:t>
            </w: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Jurisdiction of Organization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Ownership Interest</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Kornit Digital Technologies Ltd.</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Kornit Digital North America Inc.</w:t>
            </w: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Delaware</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Europe GmbH</w:t>
            </w:r>
          </w:p>
        </w:tc>
        <w:tc>
          <w:tcPr>
            <w:tcW w:w="2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Germany</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Kornit Digital Asia Pacific Limited.</w:t>
            </w: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Hong Kong</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UK Ltd</w:t>
            </w:r>
          </w:p>
        </w:tc>
        <w:tc>
          <w:tcPr>
            <w:tcW w:w="2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England and Wales</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Kornit Digital Japan KK</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81"/>
              </w:rPr>
              <w:t>Japan</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240"/>
          </w:cols>
          <w:pgMar w:left="320" w:top="112"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Ronen Samuel, certify that:</w:t>
      </w:r>
    </w:p>
    <w:p>
      <w:pPr>
        <w:spacing w:after="0" w:line="225" w:lineRule="exact"/>
        <w:rPr>
          <w:sz w:val="20"/>
          <w:szCs w:val="20"/>
          <w:color w:val="auto"/>
        </w:rPr>
      </w:pPr>
    </w:p>
    <w:p>
      <w:pPr>
        <w:ind w:left="840" w:hanging="184"/>
        <w:spacing w:after="0"/>
        <w:tabs>
          <w:tab w:leader="none" w:pos="8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jc w:val="both"/>
        <w:ind w:left="980" w:hanging="324"/>
        <w:spacing w:after="0" w:line="263"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4" w:lineRule="exact"/>
        <w:rPr>
          <w:sz w:val="20"/>
          <w:szCs w:val="20"/>
          <w:color w:val="auto"/>
        </w:rPr>
      </w:pPr>
    </w:p>
    <w:p>
      <w:pPr>
        <w:ind w:firstLine="656"/>
        <w:spacing w:after="0" w:line="308" w:lineRule="auto"/>
        <w:tabs>
          <w:tab w:leader="none" w:pos="83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left="980" w:hanging="324"/>
        <w:spacing w:after="0" w:line="308" w:lineRule="auto"/>
        <w:tabs>
          <w:tab w:leader="none" w:pos="9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Date: March 23, 2020</w:t>
      </w:r>
      <w:r>
        <w:rPr>
          <w:sz w:val="20"/>
          <w:szCs w:val="20"/>
          <w:color w:val="auto"/>
        </w:rPr>
        <w:tab/>
      </w:r>
      <w:r>
        <w:rPr>
          <w:rFonts w:ascii="Arial" w:cs="Arial" w:eastAsia="Arial" w:hAnsi="Arial"/>
          <w:sz w:val="16"/>
          <w:szCs w:val="16"/>
          <w:color w:val="auto"/>
        </w:rPr>
        <w:t>By: /s/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Ronen Samuel</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Guy Avidan, certify that:</w:t>
      </w:r>
    </w:p>
    <w:p>
      <w:pPr>
        <w:spacing w:after="0" w:line="225" w:lineRule="exact"/>
        <w:rPr>
          <w:sz w:val="20"/>
          <w:szCs w:val="20"/>
          <w:color w:val="auto"/>
        </w:rPr>
      </w:pPr>
    </w:p>
    <w:p>
      <w:pPr>
        <w:ind w:left="840" w:hanging="184"/>
        <w:spacing w:after="0"/>
        <w:tabs>
          <w:tab w:leader="none" w:pos="8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jc w:val="both"/>
        <w:ind w:left="980" w:hanging="324"/>
        <w:spacing w:after="0" w:line="263" w:lineRule="auto"/>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4" w:lineRule="exact"/>
        <w:rPr>
          <w:sz w:val="20"/>
          <w:szCs w:val="20"/>
          <w:color w:val="auto"/>
        </w:rPr>
      </w:pPr>
    </w:p>
    <w:p>
      <w:pPr>
        <w:ind w:right="20" w:firstLine="656"/>
        <w:spacing w:after="0" w:line="308" w:lineRule="auto"/>
        <w:tabs>
          <w:tab w:leader="none" w:pos="83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left="980" w:hanging="324"/>
        <w:spacing w:after="0" w:line="308" w:lineRule="auto"/>
        <w:tabs>
          <w:tab w:leader="none" w:pos="9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Date: March 23, 2020</w:t>
      </w:r>
      <w:r>
        <w:rPr>
          <w:sz w:val="20"/>
          <w:szCs w:val="20"/>
          <w:color w:val="auto"/>
        </w:rPr>
        <w:tab/>
      </w:r>
      <w:r>
        <w:rPr>
          <w:rFonts w:ascii="Arial" w:cs="Arial" w:eastAsia="Arial" w:hAnsi="Arial"/>
          <w:sz w:val="17"/>
          <w:szCs w:val="17"/>
          <w:color w:val="auto"/>
        </w:rPr>
        <w:t>By: /s/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Guy Avidan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left="340" w:right="1080"/>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RULE 13a-14(b)/RULE 15d-14(b) UNDER THE EXCHANGE ACT AND 18 U.S.C. SECTION 1350, AS ADOPTED PURSUANT TO SECTION 906 OF THE SARBANES-OXLEY ACT OF 2002</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In connection with the Annual Report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on Form 20-F for the fiscal year ended December 31, 2019 as filed with the Securities and Exchange Commission on the date hereof (the “</w:t>
      </w:r>
      <w:r>
        <w:rPr>
          <w:rFonts w:ascii="Arial" w:cs="Arial" w:eastAsia="Arial" w:hAnsi="Arial"/>
          <w:sz w:val="16"/>
          <w:szCs w:val="16"/>
          <w:b w:val="1"/>
          <w:bCs w:val="1"/>
          <w:color w:val="auto"/>
        </w:rPr>
        <w:t>Report</w:t>
      </w:r>
      <w:r>
        <w:rPr>
          <w:rFonts w:ascii="Arial" w:cs="Arial" w:eastAsia="Arial" w:hAnsi="Arial"/>
          <w:sz w:val="16"/>
          <w:szCs w:val="16"/>
          <w:color w:val="auto"/>
        </w:rPr>
        <w:t>”), we, Ronen Samuel, as Chief Executive Officer of the Company, and Guy Avidan,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55"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2020</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Ronen Samuel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Guy Avidan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337"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(Form S-8 No.’s 333-203970, 333-214015, 333-217039, 333-223794 and 333-230567), Registration Statement (Form F-3 No. 333-232070) and in the related prospectuses of our reports dated March 23, 2020, with respect to the consolidated financial statements of Kornit Digital Ltd. and its subsidiaries and the effectiveness of internal control over financial reporting of Kornit Digital Ltd. and its subsidiaries included in this Annual Report (Form 20-F) for the year ended December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00" w:type="dxa"/>
            <w:vAlign w:val="bottom"/>
          </w:tcPr>
          <w:p>
            <w:pPr>
              <w:spacing w:after="0"/>
              <w:rPr>
                <w:sz w:val="21"/>
                <w:szCs w:val="21"/>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KOST FORER GABBAY &amp; KASIERER</w:t>
            </w:r>
          </w:p>
        </w:tc>
      </w:tr>
      <w:tr>
        <w:trPr>
          <w:trHeight w:val="202"/>
        </w:trPr>
        <w:tc>
          <w:tcPr>
            <w:tcW w:w="7200" w:type="dxa"/>
            <w:vAlign w:val="bottom"/>
          </w:tcPr>
          <w:p>
            <w:pPr>
              <w:spacing w:after="0" w:line="201" w:lineRule="exact"/>
              <w:rPr>
                <w:sz w:val="20"/>
                <w:szCs w:val="20"/>
                <w:color w:val="auto"/>
              </w:rPr>
            </w:pPr>
            <w:r>
              <w:rPr>
                <w:rFonts w:ascii="Arial" w:cs="Arial" w:eastAsia="Arial" w:hAnsi="Arial"/>
                <w:sz w:val="18"/>
                <w:szCs w:val="18"/>
                <w:color w:val="auto"/>
              </w:rPr>
              <w:t>Tel Aviv, Israel</w:t>
            </w: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KOST FORER GABBAY &amp; KASIERER</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March 23, 2020</w:t>
            </w:r>
          </w:p>
        </w:tc>
        <w:tc>
          <w:tcPr>
            <w:tcW w:w="4040" w:type="dxa"/>
            <w:vAlign w:val="bottom"/>
          </w:tcPr>
          <w:p>
            <w:pPr>
              <w:spacing w:after="0"/>
              <w:rPr>
                <w:sz w:val="20"/>
                <w:szCs w:val="20"/>
                <w:color w:val="auto"/>
              </w:rPr>
            </w:pPr>
            <w:r>
              <w:rPr>
                <w:rFonts w:ascii="Arial" w:cs="Arial" w:eastAsia="Arial" w:hAnsi="Arial"/>
                <w:sz w:val="18"/>
                <w:szCs w:val="18"/>
                <w:color w:val="auto"/>
              </w:rPr>
              <w:t>A Member of Ernst &amp; Young Global</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1)"/>
      <w:numFmt w:val="decimal"/>
      <w:start w:val="2"/>
    </w:lvl>
    <w:lvl w:ilvl="1">
      <w:lvlJc w:val="left"/>
      <w:lvlText w:val="%2."/>
      <w:numFmt w:val="upperLetter"/>
      <w:start w:val="2"/>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1."/>
      <w:numFmt w:val="upperLetter"/>
      <w:start w:val="1"/>
    </w:lvl>
  </w:abstractNum>
  <w:abstractNum w:abstractNumId="18">
    <w:nsid w:val="71C91298"/>
    <w:multiLevelType w:val="hybridMultilevel"/>
    <w:lvl w:ilvl="0">
      <w:lvlJc w:val="left"/>
      <w:lvlText w:val="%1."/>
      <w:numFmt w:val="upperLetter"/>
      <w:start w:val="2"/>
    </w:lvl>
  </w:abstractNum>
  <w:abstractNum w:abstractNumId="19">
    <w:nsid w:val="9DAF632"/>
    <w:multiLevelType w:val="hybridMultilevel"/>
    <w:lvl w:ilvl="0">
      <w:lvlJc w:val="left"/>
      <w:lvlText w:val="o"/>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1)"/>
      <w:numFmt w:val="decimal"/>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1)"/>
      <w:numFmt w:val="decimal"/>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1."/>
      <w:numFmt w:val="upperLetter"/>
      <w:start w:val="6"/>
    </w:lvl>
  </w:abstractNum>
  <w:abstractNum w:abstractNumId="27">
    <w:nsid w:val="1D9F6E5F"/>
    <w:multiLevelType w:val="hybridMultilevel"/>
    <w:lvl w:ilvl="0">
      <w:lvlJc w:val="left"/>
      <w:lvlText w:val="(%1)"/>
      <w:numFmt w:val="decimal"/>
      <w:start w:val="1"/>
    </w:lvl>
  </w:abstractNum>
  <w:abstractNum w:abstractNumId="28">
    <w:nsid w:val="97E1B4E"/>
    <w:multiLevelType w:val="hybridMultilevel"/>
    <w:lvl w:ilvl="0">
      <w:lvlJc w:val="left"/>
      <w:lvlText w:val="*"/>
      <w:numFmt w:val="bullet"/>
      <w:start w:val="1"/>
    </w:lvl>
  </w:abstractNum>
  <w:abstractNum w:abstractNumId="29">
    <w:nsid w:val="51088277"/>
    <w:multiLevelType w:val="hybridMultilevel"/>
    <w:lvl w:ilvl="0">
      <w:lvlJc w:val="left"/>
      <w:lvlText w:val="(%1)"/>
      <w:numFmt w:val="decimal"/>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
      <w:numFmt w:val="bullet"/>
      <w:start w:val="1"/>
    </w:lvl>
  </w:abstractNum>
  <w:abstractNum w:abstractNumId="32">
    <w:nsid w:val="415E286C"/>
    <w:multiLevelType w:val="hybridMultilevel"/>
    <w:lvl w:ilvl="0">
      <w:lvlJc w:val="left"/>
      <w:lvlText w:val="(%1)"/>
      <w:numFmt w:val="decimal"/>
      <w:start w:val="2"/>
    </w:lvl>
  </w:abstractNum>
  <w:abstractNum w:abstractNumId="33">
    <w:nsid w:val="7C58FD05"/>
    <w:multiLevelType w:val="hybridMultilevel"/>
    <w:lvl w:ilvl="0">
      <w:lvlJc w:val="left"/>
      <w:lvlText w:val="%1."/>
      <w:numFmt w:val="upperLetter"/>
      <w:start w:val="3"/>
    </w:lvl>
  </w:abstractNum>
  <w:abstractNum w:abstractNumId="34">
    <w:nsid w:val="23D86AAC"/>
    <w:multiLevelType w:val="hybridMultilevel"/>
    <w:lvl w:ilvl="0">
      <w:lvlJc w:val="left"/>
      <w:lvlText w:val="(%1)"/>
      <w:numFmt w:val="lowerRoman"/>
      <w:start w:val="1"/>
    </w:lvl>
  </w:abstractNum>
  <w:abstractNum w:abstractNumId="35">
    <w:nsid w:val="45E6D486"/>
    <w:multiLevelType w:val="hybridMultilevel"/>
    <w:lvl w:ilvl="0">
      <w:lvlJc w:val="left"/>
      <w:lvlText w:val="●"/>
      <w:numFmt w:val="bullet"/>
      <w:start w:val="1"/>
    </w:lvl>
  </w:abstractNum>
  <w:abstractNum w:abstractNumId="36">
    <w:nsid w:val="5C10FE21"/>
    <w:multiLevelType w:val="hybridMultilevel"/>
    <w:lvl w:ilvl="0">
      <w:lvlJc w:val="left"/>
      <w:lvlText w:val="●"/>
      <w:numFmt w:val="bullet"/>
      <w:start w:val="1"/>
    </w:lvl>
  </w:abstractNum>
  <w:abstractNum w:abstractNumId="37">
    <w:nsid w:val="E7FFA2B"/>
    <w:multiLevelType w:val="hybridMultilevel"/>
    <w:lvl w:ilvl="0">
      <w:lvlJc w:val="left"/>
      <w:lvlText w:val="●"/>
      <w:numFmt w:val="bullet"/>
      <w:start w:val="1"/>
    </w:lvl>
  </w:abstractNum>
  <w:abstractNum w:abstractNumId="38">
    <w:nsid w:val="3C5991AA"/>
    <w:multiLevelType w:val="hybridMultilevel"/>
    <w:lvl w:ilvl="0">
      <w:lvlJc w:val="left"/>
      <w:lvlText w:val="●"/>
      <w:numFmt w:val="bullet"/>
      <w:start w:val="1"/>
    </w:lvl>
  </w:abstractNum>
  <w:abstractNum w:abstractNumId="39">
    <w:nsid w:val="4BD8591A"/>
    <w:multiLevelType w:val="hybridMultilevel"/>
    <w:lvl w:ilvl="0">
      <w:lvlJc w:val="left"/>
      <w:lvlText w:val="●"/>
      <w:numFmt w:val="bullet"/>
      <w:start w:val="1"/>
    </w:lvl>
  </w:abstractNum>
  <w:abstractNum w:abstractNumId="40">
    <w:nsid w:val="78DF6A55"/>
    <w:multiLevelType w:val="hybridMultilevel"/>
    <w:lvl w:ilvl="0">
      <w:lvlJc w:val="left"/>
      <w:lvlText w:val="●"/>
      <w:numFmt w:val="bullet"/>
      <w:start w:val="1"/>
    </w:lvl>
  </w:abstractNum>
  <w:abstractNum w:abstractNumId="41">
    <w:nsid w:val="39B7AAA2"/>
    <w:multiLevelType w:val="hybridMultilevel"/>
    <w:lvl w:ilvl="0">
      <w:lvlJc w:val="left"/>
      <w:lvlText w:val="●"/>
      <w:numFmt w:val="bullet"/>
      <w:start w:val="1"/>
    </w:lvl>
  </w:abstractNum>
  <w:abstractNum w:abstractNumId="42">
    <w:nsid w:val="2B0D8DBE"/>
    <w:multiLevelType w:val="hybridMultilevel"/>
    <w:lvl w:ilvl="0">
      <w:lvlJc w:val="left"/>
      <w:lvlText w:val="●"/>
      <w:numFmt w:val="bullet"/>
      <w:start w:val="1"/>
    </w:lvl>
  </w:abstractNum>
  <w:abstractNum w:abstractNumId="43">
    <w:nsid w:val="6C80EC70"/>
    <w:multiLevelType w:val="hybridMultilevel"/>
    <w:lvl w:ilvl="0">
      <w:lvlJc w:val="left"/>
      <w:lvlText w:val="●"/>
      <w:numFmt w:val="bullet"/>
      <w:start w:val="1"/>
    </w:lvl>
  </w:abstractNum>
  <w:abstractNum w:abstractNumId="44">
    <w:nsid w:val="379E21B5"/>
    <w:multiLevelType w:val="hybridMultilevel"/>
    <w:lvl w:ilvl="0">
      <w:lvlJc w:val="left"/>
      <w:lvlText w:val="●"/>
      <w:numFmt w:val="bullet"/>
      <w:start w:val="1"/>
    </w:lvl>
  </w:abstractNum>
  <w:abstractNum w:abstractNumId="45">
    <w:nsid w:val="69E373"/>
    <w:multiLevelType w:val="hybridMultilevel"/>
    <w:lvl w:ilvl="0">
      <w:lvlJc w:val="left"/>
      <w:lvlText w:val="●"/>
      <w:numFmt w:val="bullet"/>
      <w:start w:val="1"/>
    </w:lvl>
  </w:abstractNum>
  <w:abstractNum w:abstractNumId="46">
    <w:nsid w:val="2C27173B"/>
    <w:multiLevelType w:val="hybridMultilevel"/>
    <w:lvl w:ilvl="0">
      <w:lvlJc w:val="left"/>
      <w:lvlText w:val="●"/>
      <w:numFmt w:val="bullet"/>
      <w:start w:val="1"/>
    </w:lvl>
  </w:abstractNum>
  <w:abstractNum w:abstractNumId="47">
    <w:nsid w:val="4C9B0904"/>
    <w:multiLevelType w:val="hybridMultilevel"/>
    <w:lvl w:ilvl="0">
      <w:lvlJc w:val="left"/>
      <w:lvlText w:val="●"/>
      <w:numFmt w:val="bullet"/>
      <w:start w:val="1"/>
    </w:lvl>
  </w:abstractNum>
  <w:abstractNum w:abstractNumId="48">
    <w:nsid w:val="6AA7B75C"/>
    <w:multiLevelType w:val="hybridMultilevel"/>
    <w:lvl w:ilvl="0">
      <w:lvlJc w:val="left"/>
      <w:lvlText w:val="●"/>
      <w:numFmt w:val="bullet"/>
      <w:start w:val="1"/>
    </w:lvl>
  </w:abstractNum>
  <w:abstractNum w:abstractNumId="49">
    <w:nsid w:val="1DF029D3"/>
    <w:multiLevelType w:val="hybridMultilevel"/>
    <w:lvl w:ilvl="0">
      <w:lvlJc w:val="left"/>
      <w:lvlText w:val="●"/>
      <w:numFmt w:val="bullet"/>
      <w:start w:val="1"/>
    </w:lvl>
  </w:abstractNum>
  <w:abstractNum w:abstractNumId="50">
    <w:nsid w:val="5675FF36"/>
    <w:multiLevelType w:val="hybridMultilevel"/>
    <w:lvl w:ilvl="0">
      <w:lvlJc w:val="left"/>
      <w:lvlText w:val="%1."/>
      <w:numFmt w:val="upperLetter"/>
      <w:start w:val="1"/>
    </w:lvl>
    <w:lvl w:ilvl="1">
      <w:lvlJc w:val="left"/>
      <w:lvlText w:val="●"/>
      <w:numFmt w:val="bullet"/>
      <w:start w:val="1"/>
    </w:lvl>
  </w:abstractNum>
  <w:abstractNum w:abstractNumId="51">
    <w:nsid w:val="3DD15094"/>
    <w:multiLevelType w:val="hybridMultilevel"/>
    <w:lvl w:ilvl="0">
      <w:lvlJc w:val="left"/>
      <w:lvlText w:val="*"/>
      <w:numFmt w:val="bullet"/>
      <w:start w:val="1"/>
    </w:lvl>
  </w:abstractNum>
  <w:abstractNum w:abstractNumId="52">
    <w:nsid w:val="3DB012B3"/>
    <w:multiLevelType w:val="hybridMultilevel"/>
    <w:lvl w:ilvl="0">
      <w:lvlJc w:val="left"/>
      <w:lvlText w:val="(%1)"/>
      <w:numFmt w:val="decimal"/>
      <w:start w:val="1"/>
    </w:lvl>
  </w:abstractNum>
  <w:abstractNum w:abstractNumId="53">
    <w:nsid w:val="2708C9AF"/>
    <w:multiLevelType w:val="hybridMultilevel"/>
    <w:lvl w:ilvl="0">
      <w:lvlJc w:val="left"/>
      <w:lvlText w:val="%1."/>
      <w:numFmt w:val="upperLetter"/>
      <w:start w:val="3"/>
    </w:lvl>
  </w:abstractNum>
  <w:abstractNum w:abstractNumId="54">
    <w:nsid w:val="5B25ACE2"/>
    <w:multiLevelType w:val="hybridMultilevel"/>
    <w:lvl w:ilvl="0">
      <w:lvlJc w:val="left"/>
      <w:lvlText w:val="%1."/>
      <w:numFmt w:val="upperLetter"/>
      <w:start w:val="1"/>
    </w:lvl>
  </w:abstractNum>
  <w:abstractNum w:abstractNumId="55">
    <w:nsid w:val="175DFCF0"/>
    <w:multiLevelType w:val="hybridMultilevel"/>
    <w:lvl w:ilvl="0">
      <w:lvlJc w:val="left"/>
      <w:lvlText w:val="%1."/>
      <w:numFmt w:val="upperLetter"/>
      <w:start w:val="2"/>
    </w:lvl>
  </w:abstractNum>
  <w:abstractNum w:abstractNumId="56">
    <w:nsid w:val="4F97E3E4"/>
    <w:multiLevelType w:val="hybridMultilevel"/>
    <w:lvl w:ilvl="0">
      <w:lvlJc w:val="left"/>
      <w:lvlText w:val="%1."/>
      <w:numFmt w:val="upperLetter"/>
      <w:start w:val="3"/>
    </w:lvl>
  </w:abstractNum>
  <w:abstractNum w:abstractNumId="57">
    <w:nsid w:val="53B0A9E"/>
    <w:multiLevelType w:val="hybridMultilevel"/>
    <w:lvl w:ilvl="0">
      <w:lvlJc w:val="left"/>
      <w:lvlText w:val="%1."/>
      <w:numFmt w:val="upperLetter"/>
      <w:start w:val="1"/>
    </w:lvl>
  </w:abstractNum>
  <w:abstractNum w:abstractNumId="58">
    <w:nsid w:val="34FD6B4F"/>
    <w:multiLevelType w:val="hybridMultilevel"/>
    <w:lvl w:ilvl="0">
      <w:lvlJc w:val="left"/>
      <w:lvlText w:val="\emdash "/>
      <w:numFmt w:val="bullet"/>
      <w:start w:val="1"/>
    </w:lvl>
  </w:abstractNum>
  <w:abstractNum w:abstractNumId="59">
    <w:nsid w:val="5915FF32"/>
    <w:multiLevelType w:val="hybridMultilevel"/>
    <w:lvl w:ilvl="0">
      <w:lvlJc w:val="left"/>
      <w:lvlText w:val="●"/>
      <w:numFmt w:val="bullet"/>
      <w:start w:val="1"/>
    </w:lvl>
  </w:abstractNum>
  <w:abstractNum w:abstractNumId="60">
    <w:nsid w:val="56438D15"/>
    <w:multiLevelType w:val="hybridMultilevel"/>
    <w:lvl w:ilvl="0">
      <w:lvlJc w:val="left"/>
      <w:lvlText w:val="●"/>
      <w:numFmt w:val="bullet"/>
      <w:start w:val="1"/>
    </w:lvl>
  </w:abstractNum>
  <w:abstractNum w:abstractNumId="61">
    <w:nsid w:val="519E3149"/>
    <w:multiLevelType w:val="hybridMultilevel"/>
    <w:lvl w:ilvl="0">
      <w:lvlJc w:val="left"/>
      <w:lvlText w:val="●"/>
      <w:numFmt w:val="bullet"/>
      <w:start w:val="1"/>
    </w:lvl>
  </w:abstractNum>
  <w:abstractNum w:abstractNumId="62">
    <w:nsid w:val="2C6E4AFD"/>
    <w:multiLevelType w:val="hybridMultilevel"/>
    <w:lvl w:ilvl="0">
      <w:lvlJc w:val="left"/>
      <w:lvlText w:val="●"/>
      <w:numFmt w:val="bullet"/>
      <w:start w:val="1"/>
    </w:lvl>
  </w:abstractNum>
  <w:abstractNum w:abstractNumId="63">
    <w:nsid w:val="17A1B582"/>
    <w:multiLevelType w:val="hybridMultilevel"/>
    <w:lvl w:ilvl="0">
      <w:lvlJc w:val="left"/>
      <w:lvlText w:val="%1."/>
      <w:numFmt w:val="upperLetter"/>
      <w:start w:val="6"/>
    </w:lvl>
  </w:abstractNum>
  <w:abstractNum w:abstractNumId="64">
    <w:nsid w:val="4DF72E4E"/>
    <w:multiLevelType w:val="hybridMultilevel"/>
    <w:lvl w:ilvl="0">
      <w:lvlJc w:val="left"/>
      <w:lvlText w:val="%1."/>
      <w:numFmt w:val="upperLetter"/>
      <w:start w:val="9"/>
    </w:lvl>
  </w:abstractNum>
  <w:abstractNum w:abstractNumId="65">
    <w:nsid w:val="5046B5A9"/>
    <w:multiLevelType w:val="hybridMultilevel"/>
    <w:lvl w:ilvl="0">
      <w:lvlJc w:val="left"/>
      <w:lvlText w:val="%1."/>
      <w:numFmt w:val="upperLetter"/>
      <w:start w:val="5"/>
    </w:lvl>
  </w:abstractNum>
  <w:abstractNum w:abstractNumId="66">
    <w:nsid w:val="5D888A08"/>
    <w:multiLevelType w:val="hybridMultilevel"/>
    <w:lvl w:ilvl="0">
      <w:lvlJc w:val="left"/>
      <w:lvlText w:val="●"/>
      <w:numFmt w:val="bullet"/>
      <w:start w:val="1"/>
    </w:lvl>
  </w:abstractNum>
  <w:abstractNum w:abstractNumId="67">
    <w:nsid w:val="2A082C70"/>
    <w:multiLevelType w:val="hybridMultilevel"/>
    <w:lvl w:ilvl="0">
      <w:lvlJc w:val="left"/>
      <w:lvlText w:val="●"/>
      <w:numFmt w:val="bullet"/>
      <w:start w:val="1"/>
    </w:lvl>
  </w:abstractNum>
  <w:abstractNum w:abstractNumId="68">
    <w:nsid w:val="5EC6AFD4"/>
    <w:multiLevelType w:val="hybridMultilevel"/>
    <w:lvl w:ilvl="0">
      <w:lvlJc w:val="left"/>
      <w:lvlText w:val="%1"/>
      <w:numFmt w:val="decimal"/>
      <w:start w:val="1"/>
    </w:lvl>
    <w:lvl w:ilvl="1">
      <w:lvlJc w:val="left"/>
      <w:lvlText w:val="%2"/>
      <w:numFmt w:val="decimal"/>
      <w:start w:val="104"/>
    </w:lvl>
  </w:abstractNum>
  <w:abstractNum w:abstractNumId="69">
    <w:nsid w:val="19E21BB2"/>
    <w:multiLevelType w:val="hybridMultilevel"/>
    <w:lvl w:ilvl="0">
      <w:lvlJc w:val="left"/>
      <w:lvlText w:val="(%1)"/>
      <w:numFmt w:val="decimal"/>
      <w:start w:val="1"/>
    </w:lvl>
    <w:lvl w:ilvl="1">
      <w:lvlJc w:val="left"/>
      <w:lvlText w:val="%2"/>
      <w:numFmt w:val="decimal"/>
      <w:start w:val="1"/>
    </w:lvl>
  </w:abstractNum>
  <w:abstractNum w:abstractNumId="70">
    <w:nsid w:val="75E0858A"/>
    <w:multiLevelType w:val="hybridMultilevel"/>
    <w:lvl w:ilvl="0">
      <w:lvlJc w:val="left"/>
      <w:lvlText w:val="†"/>
      <w:numFmt w:val="bullet"/>
      <w:start w:val="1"/>
    </w:lvl>
  </w:abstractNum>
  <w:abstractNum w:abstractNumId="71">
    <w:nsid w:val="57A61A29"/>
    <w:multiLevelType w:val="hybridMultilevel"/>
    <w:lvl w:ilvl="0">
      <w:lvlJc w:val="left"/>
      <w:lvlText w:val="*"/>
      <w:numFmt w:val="bullet"/>
      <w:start w:val="1"/>
    </w:lvl>
  </w:abstractNum>
  <w:abstractNum w:abstractNumId="72">
    <w:nsid w:val="5399C654"/>
    <w:multiLevelType w:val="hybridMultilevel"/>
    <w:lvl w:ilvl="0">
      <w:lvlJc w:val="left"/>
      <w:lvlText w:val="%1."/>
      <w:numFmt w:val="lowerLetter"/>
      <w:start w:val="1"/>
    </w:lvl>
  </w:abstractNum>
  <w:abstractNum w:abstractNumId="73">
    <w:nsid w:val="20EE1348"/>
    <w:multiLevelType w:val="hybridMultilevel"/>
    <w:lvl w:ilvl="0">
      <w:lvlJc w:val="left"/>
      <w:lvlText w:val="%1."/>
      <w:numFmt w:val="lowerLetter"/>
      <w:start w:val="1"/>
    </w:lvl>
  </w:abstractNum>
  <w:abstractNum w:abstractNumId="74">
    <w:nsid w:val="4427069A"/>
    <w:multiLevelType w:val="hybridMultilevel"/>
    <w:lvl w:ilvl="0">
      <w:lvlJc w:val="left"/>
      <w:lvlText w:val="%1."/>
      <w:numFmt w:val="lowerLetter"/>
      <w:start w:val="2"/>
    </w:lvl>
  </w:abstractNum>
  <w:abstractNum w:abstractNumId="75">
    <w:nsid w:val="B37E80A"/>
    <w:multiLevelType w:val="hybridMultilevel"/>
    <w:lvl w:ilvl="0">
      <w:lvlJc w:val="left"/>
      <w:lvlText w:val="%1."/>
      <w:numFmt w:val="lowerLetter"/>
      <w:start w:val="7"/>
    </w:lvl>
  </w:abstractNum>
  <w:abstractNum w:abstractNumId="76">
    <w:nsid w:val="2157F6BC"/>
    <w:multiLevelType w:val="hybridMultilevel"/>
    <w:lvl w:ilvl="0">
      <w:lvlJc w:val="left"/>
      <w:lvlText w:val="%1."/>
      <w:numFmt w:val="lowerLetter"/>
      <w:start w:val="8"/>
    </w:lvl>
  </w:abstractNum>
  <w:abstractNum w:abstractNumId="77">
    <w:nsid w:val="704E1DD5"/>
    <w:multiLevelType w:val="hybridMultilevel"/>
    <w:lvl w:ilvl="0">
      <w:lvlJc w:val="left"/>
      <w:lvlText w:val="%1."/>
      <w:numFmt w:val="lowerLetter"/>
      <w:start w:val="9"/>
    </w:lvl>
  </w:abstractNum>
  <w:abstractNum w:abstractNumId="78">
    <w:nsid w:val="57D2F10E"/>
    <w:multiLevelType w:val="hybridMultilevel"/>
    <w:lvl w:ilvl="0">
      <w:lvlJc w:val="left"/>
      <w:lvlText w:val="%1."/>
      <w:numFmt w:val="lowerLetter"/>
      <w:start w:val="11"/>
    </w:lvl>
  </w:abstractNum>
  <w:abstractNum w:abstractNumId="79">
    <w:nsid w:val="BFFAE18"/>
    <w:multiLevelType w:val="hybridMultilevel"/>
    <w:lvl w:ilvl="0">
      <w:lvlJc w:val="left"/>
      <w:lvlText w:val="%1."/>
      <w:numFmt w:val="lowerLetter"/>
      <w:start w:val="13"/>
    </w:lvl>
  </w:abstractNum>
  <w:abstractNum w:abstractNumId="80">
    <w:nsid w:val="E3E47A8"/>
    <w:multiLevelType w:val="hybridMultilevel"/>
    <w:lvl w:ilvl="0">
      <w:lvlJc w:val="left"/>
      <w:lvlText w:val="%1."/>
      <w:numFmt w:val="lowerLetter"/>
      <w:start w:val="16"/>
    </w:lvl>
  </w:abstractNum>
  <w:abstractNum w:abstractNumId="81">
    <w:nsid w:val="2E48F044"/>
    <w:multiLevelType w:val="hybridMultilevel"/>
    <w:lvl w:ilvl="0">
      <w:lvlJc w:val="left"/>
      <w:lvlText w:val="%1."/>
      <w:numFmt w:val="lowerLetter"/>
      <w:start w:val="17"/>
    </w:lvl>
  </w:abstractNum>
  <w:abstractNum w:abstractNumId="82">
    <w:nsid w:val="49D0FEAC"/>
    <w:multiLevelType w:val="hybridMultilevel"/>
    <w:lvl w:ilvl="0">
      <w:lvlJc w:val="left"/>
      <w:lvlText w:val="%1."/>
      <w:numFmt w:val="lowerLetter"/>
      <w:start w:val="20"/>
    </w:lvl>
  </w:abstractNum>
  <w:abstractNum w:abstractNumId="83">
    <w:nsid w:val="4BEE5A5B"/>
    <w:multiLevelType w:val="hybridMultilevel"/>
    <w:lvl w:ilvl="0">
      <w:lvlJc w:val="left"/>
      <w:lvlText w:val="%1."/>
      <w:numFmt w:val="decimal"/>
      <w:start w:val="1"/>
    </w:lvl>
  </w:abstractNum>
  <w:abstractNum w:abstractNumId="84">
    <w:nsid w:val="5551B9F3"/>
    <w:multiLevelType w:val="hybridMultilevel"/>
    <w:lvl w:ilvl="0">
      <w:lvlJc w:val="left"/>
      <w:lvlText w:val="%1"/>
      <w:numFmt w:val="lowerLetter"/>
      <w:start w:val="1"/>
    </w:lvl>
    <w:lvl w:ilvl="1">
      <w:lvlJc w:val="left"/>
      <w:lvlText w:val="%2."/>
      <w:numFmt w:val="decimal"/>
      <w:start w:val="2"/>
    </w:lvl>
  </w:abstractNum>
  <w:abstractNum w:abstractNumId="85">
    <w:nsid w:val="24F6AB8E"/>
    <w:multiLevelType w:val="hybridMultilevel"/>
    <w:lvl w:ilvl="0">
      <w:lvlJc w:val="left"/>
      <w:lvlText w:val="%1."/>
      <w:numFmt w:val="lowerLetter"/>
      <w:start w:val="21"/>
    </w:lvl>
    <w:lvl w:ilvl="1">
      <w:lvlJc w:val="left"/>
      <w:lvlText w:val="%2"/>
      <w:numFmt w:val="decimal"/>
      <w:start w:val="1"/>
    </w:lvl>
  </w:abstractNum>
  <w:abstractNum w:abstractNumId="86">
    <w:nsid w:val="634C574C"/>
    <w:multiLevelType w:val="hybridMultilevel"/>
    <w:lvl w:ilvl="0">
      <w:lvlJc w:val="left"/>
      <w:lvlText w:val="%1."/>
      <w:numFmt w:val="lowerLetter"/>
      <w:start w:val="23"/>
    </w:lvl>
  </w:abstractNum>
  <w:abstractNum w:abstractNumId="87">
    <w:nsid w:val="24E99DD7"/>
    <w:multiLevelType w:val="hybridMultilevel"/>
    <w:lvl w:ilvl="0">
      <w:lvlJc w:val="left"/>
      <w:lvlText w:val="%1."/>
      <w:numFmt w:val="lowerLetter"/>
      <w:start w:val="25"/>
    </w:lvl>
  </w:abstractNum>
  <w:abstractNum w:abstractNumId="88">
    <w:nsid w:val="2A31B62D"/>
    <w:multiLevelType w:val="hybridMultilevel"/>
    <w:lvl w:ilvl="0">
      <w:lvlJc w:val="left"/>
      <w:lvlText w:val="%1."/>
      <w:numFmt w:val="lowerLetter"/>
      <w:start w:val="26"/>
    </w:lvl>
  </w:abstractNum>
  <w:abstractNum w:abstractNumId="89">
    <w:nsid w:val="1849C29B"/>
    <w:multiLevelType w:val="hybridMultilevel"/>
    <w:lvl w:ilvl="0">
      <w:lvlJc w:val="left"/>
      <w:lvlText w:val="%1."/>
      <w:numFmt w:val="lowerLetter"/>
      <w:start w:val="27"/>
    </w:lvl>
    <w:lvl w:ilvl="1">
      <w:lvlJc w:val="left"/>
      <w:lvlText w:val="%2."/>
      <w:numFmt w:val="decimal"/>
      <w:start w:val="1"/>
    </w:lvl>
  </w:abstractNum>
  <w:abstractNum w:abstractNumId="90">
    <w:nsid w:val="7DFF9D09"/>
    <w:multiLevelType w:val="hybridMultilevel"/>
    <w:lvl w:ilvl="0">
      <w:lvlJc w:val="left"/>
      <w:lvlText w:val="%1."/>
      <w:numFmt w:val="decimal"/>
      <w:start w:val="2"/>
    </w:lvl>
  </w:abstractNum>
  <w:abstractNum w:abstractNumId="91">
    <w:nsid w:val="754342"/>
    <w:multiLevelType w:val="hybridMultilevel"/>
    <w:lvl w:ilvl="0">
      <w:lvlJc w:val="left"/>
      <w:lvlText w:val="%1."/>
      <w:numFmt w:val="decimal"/>
      <w:start w:val="4"/>
    </w:lvl>
  </w:abstractNum>
  <w:abstractNum w:abstractNumId="92">
    <w:nsid w:val="69E7F3E5"/>
    <w:multiLevelType w:val="hybridMultilevel"/>
    <w:lvl w:ilvl="0">
      <w:lvlJc w:val="left"/>
      <w:lvlText w:val="%1."/>
      <w:numFmt w:val="lowerLetter"/>
      <w:start w:val="29"/>
    </w:lvl>
    <w:lvl w:ilvl="1">
      <w:lvlJc w:val="left"/>
      <w:lvlText w:val="%2."/>
      <w:numFmt w:val="decimal"/>
      <w:start w:val="1"/>
    </w:lvl>
  </w:abstractNum>
  <w:abstractNum w:abstractNumId="93">
    <w:nsid w:val="2A6DE806"/>
    <w:multiLevelType w:val="hybridMultilevel"/>
    <w:lvl w:ilvl="0">
      <w:lvlJc w:val="left"/>
      <w:lvlText w:val="(*)"/>
      <w:numFmt w:val="bullet"/>
      <w:start w:val="1"/>
    </w:lvl>
  </w:abstractNum>
  <w:abstractNum w:abstractNumId="94">
    <w:nsid w:val="1816F8C4"/>
    <w:multiLevelType w:val="hybridMultilevel"/>
    <w:lvl w:ilvl="0">
      <w:lvlJc w:val="left"/>
      <w:lvlText w:val="(*)"/>
      <w:numFmt w:val="bullet"/>
      <w:start w:val="1"/>
    </w:lvl>
  </w:abstractNum>
  <w:abstractNum w:abstractNumId="95">
    <w:nsid w:val="37DF2233"/>
    <w:multiLevelType w:val="hybridMultilevel"/>
    <w:lvl w:ilvl="0">
      <w:lvlJc w:val="left"/>
      <w:lvlText w:val="%1."/>
      <w:numFmt w:val="lowerLetter"/>
      <w:start w:val="1"/>
    </w:lvl>
  </w:abstractNum>
  <w:abstractNum w:abstractNumId="96">
    <w:nsid w:val="7AB49DAF"/>
    <w:multiLevelType w:val="hybridMultilevel"/>
    <w:lvl w:ilvl="0">
      <w:lvlJc w:val="left"/>
      <w:lvlText w:val="%1."/>
      <w:numFmt w:val="lowerLetter"/>
      <w:start w:val="2"/>
    </w:lvl>
  </w:abstractNum>
  <w:abstractNum w:abstractNumId="97">
    <w:nsid w:val="759F82CD"/>
    <w:multiLevelType w:val="hybridMultilevel"/>
    <w:lvl w:ilvl="0">
      <w:lvlJc w:val="left"/>
      <w:lvlText w:val="%1."/>
      <w:numFmt w:val="lowerLetter"/>
      <w:start w:val="1"/>
    </w:lvl>
  </w:abstractNum>
  <w:abstractNum w:abstractNumId="98">
    <w:nsid w:val="61E74EA3"/>
    <w:multiLevelType w:val="hybridMultilevel"/>
    <w:lvl w:ilvl="0">
      <w:lvlJc w:val="left"/>
      <w:lvlText w:val="%1."/>
      <w:numFmt w:val="lowerLetter"/>
      <w:start w:val="3"/>
    </w:lvl>
  </w:abstractNum>
  <w:abstractNum w:abstractNumId="99">
    <w:nsid w:val="597B4D84"/>
    <w:multiLevelType w:val="hybridMultilevel"/>
    <w:lvl w:ilvl="0">
      <w:lvlJc w:val="left"/>
      <w:lvlText w:val="%1."/>
      <w:numFmt w:val="lowerLetter"/>
      <w:start w:val="1"/>
    </w:lvl>
    <w:lvl w:ilvl="1">
      <w:lvlJc w:val="left"/>
      <w:lvlText w:val="%2."/>
      <w:numFmt w:val="decimal"/>
      <w:start w:val="1"/>
    </w:lvl>
  </w:abstractNum>
  <w:abstractNum w:abstractNumId="100">
    <w:nsid w:val="F819E7F"/>
    <w:multiLevelType w:val="hybridMultilevel"/>
    <w:lvl w:ilvl="0">
      <w:lvlJc w:val="left"/>
      <w:lvlText w:val="%1."/>
      <w:numFmt w:val="lowerLetter"/>
      <w:start w:val="2"/>
    </w:lvl>
  </w:abstractNum>
  <w:abstractNum w:abstractNumId="101">
    <w:nsid w:val="57C7D42D"/>
    <w:multiLevelType w:val="hybridMultilevel"/>
    <w:lvl w:ilvl="0">
      <w:lvlJc w:val="left"/>
      <w:lvlText w:val="%1."/>
      <w:numFmt w:val="lowerLetter"/>
      <w:start w:val="4"/>
    </w:lvl>
  </w:abstractNum>
  <w:abstractNum w:abstractNumId="102">
    <w:nsid w:val="312167AD"/>
    <w:multiLevelType w:val="hybridMultilevel"/>
    <w:lvl w:ilvl="0">
      <w:lvlJc w:val="left"/>
      <w:lvlText w:val="%1."/>
      <w:numFmt w:val="lowerLetter"/>
      <w:start w:val="5"/>
    </w:lvl>
  </w:abstractNum>
  <w:abstractNum w:abstractNumId="103">
    <w:nsid w:val="631B64D4"/>
    <w:multiLevelType w:val="hybridMultilevel"/>
    <w:lvl w:ilvl="0">
      <w:lvlJc w:val="left"/>
      <w:lvlText w:val="%1."/>
      <w:numFmt w:val="lowerLetter"/>
      <w:start w:val="6"/>
    </w:lvl>
  </w:abstractNum>
  <w:abstractNum w:abstractNumId="104">
    <w:nsid w:val="78B5E776"/>
    <w:multiLevelType w:val="hybridMultilevel"/>
    <w:lvl w:ilvl="0">
      <w:lvlJc w:val="left"/>
      <w:lvlText w:val="%1."/>
      <w:numFmt w:val="lowerLetter"/>
      <w:start w:val="7"/>
    </w:lvl>
  </w:abstractNum>
  <w:abstractNum w:abstractNumId="105">
    <w:nsid w:val="75486E47"/>
    <w:multiLevelType w:val="hybridMultilevel"/>
    <w:lvl w:ilvl="0">
      <w:lvlJc w:val="left"/>
      <w:lvlText w:val="%1."/>
      <w:numFmt w:val="lowerLetter"/>
      <w:start w:val="1"/>
    </w:lvl>
  </w:abstractNum>
  <w:abstractNum w:abstractNumId="106">
    <w:nsid w:val="6E534CDE"/>
    <w:multiLevelType w:val="hybridMultilevel"/>
    <w:lvl w:ilvl="0">
      <w:lvlJc w:val="left"/>
      <w:lvlText w:val="%1."/>
      <w:numFmt w:val="lowerLetter"/>
      <w:start w:val="3"/>
    </w:lvl>
  </w:abstractNum>
  <w:abstractNum w:abstractNumId="107">
    <w:nsid w:val="1A0DDE32"/>
    <w:multiLevelType w:val="hybridMultilevel"/>
    <w:lvl w:ilvl="0">
      <w:lvlJc w:val="left"/>
      <w:lvlText w:val="%1."/>
      <w:numFmt w:val="lowerLetter"/>
      <w:start w:val="4"/>
    </w:lvl>
  </w:abstractNum>
  <w:abstractNum w:abstractNumId="108">
    <w:nsid w:val="65968C1C"/>
    <w:multiLevelType w:val="hybridMultilevel"/>
    <w:lvl w:ilvl="0">
      <w:lvlJc w:val="left"/>
      <w:lvlText w:val="%1."/>
      <w:numFmt w:val="lowerLetter"/>
      <w:start w:val="1"/>
    </w:lvl>
  </w:abstractNum>
  <w:abstractNum w:abstractNumId="109">
    <w:nsid w:val="46263DEC"/>
    <w:multiLevelType w:val="hybridMultilevel"/>
    <w:lvl w:ilvl="0">
      <w:lvlJc w:val="left"/>
      <w:lvlText w:val="%1."/>
      <w:numFmt w:val="lowerLetter"/>
      <w:start w:val="3"/>
    </w:lvl>
  </w:abstractNum>
  <w:abstractNum w:abstractNumId="110">
    <w:nsid w:val="260D8C4A"/>
    <w:multiLevelType w:val="hybridMultilevel"/>
    <w:lvl w:ilvl="0">
      <w:lvlJc w:val="left"/>
      <w:lvlText w:val="%1."/>
      <w:numFmt w:val="lowerLetter"/>
      <w:start w:val="4"/>
    </w:lvl>
  </w:abstractNum>
  <w:abstractNum w:abstractNumId="111">
    <w:nsid w:val="73D4D3C4"/>
    <w:multiLevelType w:val="hybridMultilevel"/>
    <w:lvl w:ilvl="0">
      <w:lvlJc w:val="left"/>
      <w:lvlText w:val="%1."/>
      <w:numFmt w:val="lowerLetter"/>
      <w:start w:val="5"/>
    </w:lvl>
  </w:abstractNum>
  <w:abstractNum w:abstractNumId="112">
    <w:nsid w:val="746F2E30"/>
    <w:multiLevelType w:val="hybridMultilevel"/>
    <w:lvl w:ilvl="0">
      <w:lvlJc w:val="left"/>
      <w:lvlText w:val="%1."/>
      <w:numFmt w:val="lowerLetter"/>
      <w:start w:val="6"/>
    </w:lvl>
  </w:abstractNum>
  <w:abstractNum w:abstractNumId="113">
    <w:nsid w:val="6FDE8AF6"/>
    <w:multiLevelType w:val="hybridMultilevel"/>
    <w:lvl w:ilvl="0">
      <w:lvlJc w:val="left"/>
      <w:lvlText w:val="%1."/>
      <w:numFmt w:val="decimal"/>
      <w:start w:val="1"/>
    </w:lvl>
  </w:abstractNum>
  <w:abstractNum w:abstractNumId="114">
    <w:nsid w:val="3FC32E20"/>
    <w:multiLevelType w:val="hybridMultilevel"/>
    <w:lvl w:ilvl="0">
      <w:lvlJc w:val="left"/>
      <w:lvlText w:val="%1."/>
      <w:numFmt w:val="decimal"/>
      <w:start w:val="3"/>
    </w:lvl>
  </w:abstractNum>
  <w:abstractNum w:abstractNumId="115">
    <w:nsid w:val="49C0E823"/>
    <w:multiLevelType w:val="hybridMultilevel"/>
    <w:lvl w:ilvl="0">
      <w:lvlJc w:val="left"/>
      <w:lvlText w:val="●"/>
      <w:numFmt w:val="bullet"/>
      <w:start w:val="1"/>
    </w:lvl>
  </w:abstractNum>
  <w:abstractNum w:abstractNumId="116">
    <w:nsid w:val="14D53685"/>
    <w:multiLevelType w:val="hybridMultilevel"/>
    <w:lvl w:ilvl="0">
      <w:lvlJc w:val="left"/>
      <w:lvlText w:val="●"/>
      <w:numFmt w:val="bullet"/>
      <w:start w:val="1"/>
    </w:lvl>
  </w:abstractNum>
  <w:abstractNum w:abstractNumId="117">
    <w:nsid w:val="230F856C"/>
    <w:multiLevelType w:val="hybridMultilevel"/>
    <w:lvl w:ilvl="0">
      <w:lvlJc w:val="left"/>
      <w:lvlText w:val="(%1)"/>
      <w:numFmt w:val="lowerRoman"/>
      <w:start w:val="1"/>
    </w:lvl>
  </w:abstractNum>
  <w:abstractNum w:abstractNumId="118">
    <w:nsid w:val="6EAA85FB"/>
    <w:multiLevelType w:val="hybridMultilevel"/>
    <w:lvl w:ilvl="0">
      <w:lvlJc w:val="left"/>
      <w:lvlText w:val="[***]"/>
      <w:numFmt w:val="bullet"/>
      <w:start w:val="1"/>
    </w:lvl>
  </w:abstractNum>
  <w:abstractNum w:abstractNumId="119">
    <w:nsid w:val="3F06ECB2"/>
    <w:multiLevelType w:val="hybridMultilevel"/>
    <w:lvl w:ilvl="0">
      <w:lvlJc w:val="left"/>
      <w:lvlText w:val="%1."/>
      <w:numFmt w:val="decimal"/>
      <w:start w:val="1"/>
    </w:lvl>
  </w:abstractNum>
  <w:abstractNum w:abstractNumId="120">
    <w:nsid w:val="3B594807"/>
    <w:multiLevelType w:val="hybridMultilevel"/>
    <w:lvl w:ilvl="0">
      <w:lvlJc w:val="left"/>
      <w:lvlText w:val="■"/>
      <w:numFmt w:val="bullet"/>
      <w:start w:val="1"/>
    </w:lvl>
  </w:abstractNum>
  <w:abstractNum w:abstractNumId="121">
    <w:nsid w:val="6CAA2304"/>
    <w:multiLevelType w:val="hybridMultilevel"/>
    <w:lvl w:ilvl="0">
      <w:lvlJc w:val="left"/>
      <w:lvlText w:val="%1."/>
      <w:numFmt w:val="decimal"/>
      <w:start w:val="2"/>
    </w:lvl>
  </w:abstractNum>
  <w:abstractNum w:abstractNumId="122">
    <w:nsid w:val="3F7C2FF4"/>
    <w:multiLevelType w:val="hybridMultilevel"/>
    <w:lvl w:ilvl="0">
      <w:lvlJc w:val="left"/>
      <w:lvlText w:val="[***]"/>
      <w:numFmt w:val="bullet"/>
      <w:start w:val="1"/>
    </w:lvl>
  </w:abstractNum>
  <w:abstractNum w:abstractNumId="123">
    <w:nsid w:val="25413BEC"/>
    <w:multiLevelType w:val="hybridMultilevel"/>
    <w:lvl w:ilvl="0">
      <w:lvlJc w:val="left"/>
      <w:lvlText w:val="%1."/>
      <w:numFmt w:val="decimal"/>
      <w:start w:val="1"/>
    </w:lvl>
  </w:abstractNum>
  <w:abstractNum w:abstractNumId="124">
    <w:nsid w:val="17180B0B"/>
    <w:multiLevelType w:val="hybridMultilevel"/>
    <w:lvl w:ilvl="0">
      <w:lvlJc w:val="left"/>
      <w:lvlText w:val="■"/>
      <w:numFmt w:val="bullet"/>
      <w:start w:val="1"/>
    </w:lvl>
  </w:abstractNum>
  <w:abstractNum w:abstractNumId="125">
    <w:nsid w:val="579328B9"/>
    <w:multiLevelType w:val="hybridMultilevel"/>
    <w:lvl w:ilvl="0">
      <w:lvlJc w:val="left"/>
      <w:lvlText w:val="%1."/>
      <w:numFmt w:val="decimal"/>
      <w:start w:val="2"/>
    </w:lvl>
  </w:abstractNum>
  <w:abstractNum w:abstractNumId="126">
    <w:nsid w:val="5D205E20"/>
    <w:multiLevelType w:val="hybridMultilevel"/>
    <w:lvl w:ilvl="0">
      <w:lvlJc w:val="left"/>
      <w:lvlText w:val="●"/>
      <w:numFmt w:val="bullet"/>
      <w:start w:val="1"/>
    </w:lvl>
  </w:abstractNum>
  <w:abstractNum w:abstractNumId="127">
    <w:nsid w:val="11CCA8BA"/>
    <w:multiLevelType w:val="hybridMultilevel"/>
    <w:lvl w:ilvl="0">
      <w:lvlJc w:val="left"/>
      <w:lvlText w:val="%1."/>
      <w:numFmt w:val="decimal"/>
      <w:start w:val="3"/>
    </w:lvl>
  </w:abstractNum>
  <w:abstractNum w:abstractNumId="128">
    <w:nsid w:val="4D32AB86"/>
    <w:multiLevelType w:val="hybridMultilevel"/>
    <w:lvl w:ilvl="0">
      <w:lvlJc w:val="left"/>
      <w:lvlText w:val="(%1)"/>
      <w:numFmt w:val="lowerRoman"/>
      <w:start w:val="1"/>
    </w:lvl>
  </w:abstractNum>
  <w:abstractNum w:abstractNumId="129">
    <w:nsid w:val="3F07ACC3"/>
    <w:multiLevelType w:val="hybridMultilevel"/>
    <w:lvl w:ilvl="0">
      <w:lvlJc w:val="left"/>
      <w:lvlText w:val="%1."/>
      <w:numFmt w:val="decimal"/>
      <w:start w:val="4"/>
    </w:lvl>
  </w:abstractNum>
  <w:abstractNum w:abstractNumId="130">
    <w:nsid w:val="6B47F63E"/>
    <w:multiLevelType w:val="hybridMultilevel"/>
    <w:lvl w:ilvl="0">
      <w:lvlJc w:val="left"/>
      <w:lvlText w:val="[***]"/>
      <w:numFmt w:val="bullet"/>
      <w:start w:val="1"/>
    </w:lvl>
  </w:abstractNum>
  <w:abstractNum w:abstractNumId="131">
    <w:nsid w:val="5CB44A05"/>
    <w:multiLevelType w:val="hybridMultilevel"/>
    <w:lvl w:ilvl="0">
      <w:lvlJc w:val="left"/>
      <w:lvlText w:val="%1."/>
      <w:numFmt w:val="decimal"/>
      <w:start w:val="1"/>
    </w:lvl>
  </w:abstractNum>
  <w:abstractNum w:abstractNumId="132">
    <w:nsid w:val="16CF80F1"/>
    <w:multiLevelType w:val="hybridMultilevel"/>
    <w:lvl w:ilvl="0">
      <w:lvlJc w:val="left"/>
      <w:lvlText w:val="[***]"/>
      <w:numFmt w:val="bullet"/>
      <w:start w:val="1"/>
    </w:lvl>
  </w:abstractNum>
  <w:abstractNum w:abstractNumId="133">
    <w:nsid w:val="1C695DEC"/>
    <w:multiLevelType w:val="hybridMultilevel"/>
    <w:lvl w:ilvl="0">
      <w:lvlJc w:val="left"/>
      <w:lvlText w:val="%1."/>
      <w:numFmt w:val="decimal"/>
      <w:start w:val="1"/>
    </w:lvl>
  </w:abstractNum>
  <w:abstractNum w:abstractNumId="134">
    <w:nsid w:val="3FCFAED9"/>
    <w:multiLevelType w:val="hybridMultilevel"/>
    <w:lvl w:ilvl="0">
      <w:lvlJc w:val="left"/>
      <w:lvlText w:val="%1."/>
      <w:numFmt w:val="decimal"/>
      <w:start w:val="2"/>
    </w:lvl>
  </w:abstractNum>
  <w:abstractNum w:abstractNumId="135">
    <w:nsid w:val="F856867"/>
    <w:multiLevelType w:val="hybridMultilevel"/>
    <w:lvl w:ilvl="0">
      <w:lvlJc w:val="left"/>
      <w:lvlText w:val="%1."/>
      <w:numFmt w:val="decimal"/>
      <w:start w:val="3"/>
    </w:lvl>
  </w:abstractNum>
  <w:abstractNum w:abstractNumId="136">
    <w:nsid w:val="11B1CC33"/>
    <w:multiLevelType w:val="hybridMultilevel"/>
    <w:lvl w:ilvl="0">
      <w:lvlJc w:val="left"/>
      <w:lvlText w:val="%1."/>
      <w:numFmt w:val="decimal"/>
      <w:start w:val="4"/>
    </w:lvl>
  </w:abstractNum>
  <w:abstractNum w:abstractNumId="137">
    <w:nsid w:val="2E22FBB7"/>
    <w:multiLevelType w:val="hybridMultilevel"/>
    <w:lvl w:ilvl="0">
      <w:lvlJc w:val="left"/>
      <w:lvlText w:val="(%1)"/>
      <w:numFmt w:val="lowerRoman"/>
      <w:start w:val="3"/>
    </w:lvl>
  </w:abstractNum>
  <w:abstractNum w:abstractNumId="138">
    <w:nsid w:val="29934699"/>
    <w:multiLevelType w:val="hybridMultilevel"/>
    <w:lvl w:ilvl="0">
      <w:lvlJc w:val="left"/>
      <w:lvlText w:val="%1."/>
      <w:numFmt w:val="decimal"/>
      <w:start w:val="5"/>
    </w:lvl>
  </w:abstractNum>
  <w:abstractNum w:abstractNumId="139">
    <w:nsid w:val="77485850"/>
    <w:multiLevelType w:val="hybridMultilevel"/>
    <w:lvl w:ilvl="0">
      <w:lvlJc w:val="left"/>
      <w:lvlText w:val="%1."/>
      <w:numFmt w:val="decimal"/>
      <w:start w:val="6"/>
    </w:lvl>
  </w:abstractNum>
  <w:abstractNum w:abstractNumId="140">
    <w:nsid w:val="744939A3"/>
    <w:multiLevelType w:val="hybridMultilevel"/>
    <w:lvl w:ilvl="0">
      <w:lvlJc w:val="left"/>
      <w:lvlText w:val="%1."/>
      <w:numFmt w:val="decimal"/>
      <w:start w:val="7"/>
    </w:lvl>
  </w:abstractNum>
  <w:abstractNum w:abstractNumId="141">
    <w:nsid w:val="4FA0D2E3"/>
    <w:multiLevelType w:val="hybridMultilevel"/>
    <w:lvl w:ilvl="0">
      <w:lvlJc w:val="left"/>
      <w:lvlText w:val="%1."/>
      <w:numFmt w:val="decimal"/>
      <w:start w:val="8"/>
    </w:lvl>
    <w:lvl w:ilvl="1">
      <w:lvlJc w:val="left"/>
      <w:lvlText w:val="%2."/>
      <w:numFmt w:val="upperLetter"/>
      <w:start w:val="1"/>
    </w:lvl>
  </w:abstractNum>
  <w:abstractNum w:abstractNumId="142">
    <w:nsid w:val="6B1D2C14"/>
    <w:multiLevelType w:val="hybridMultilevel"/>
    <w:lvl w:ilvl="0">
      <w:lvlJc w:val="left"/>
      <w:lvlText w:val="%1."/>
      <w:numFmt w:val="upperLetter"/>
      <w:start w:val="3"/>
    </w:lvl>
    <w:lvl w:ilvl="1">
      <w:lvlJc w:val="left"/>
      <w:lvlText w:val="%2."/>
      <w:numFmt w:val="decimal"/>
      <w:start w:val="1"/>
    </w:lvl>
  </w:abstractNum>
  <w:abstractNum w:abstractNumId="143">
    <w:nsid w:val="68B867D3"/>
    <w:multiLevelType w:val="hybridMultilevel"/>
    <w:lvl w:ilvl="0">
      <w:lvlJc w:val="left"/>
      <w:lvlText w:val="%1."/>
      <w:numFmt w:val="decimal"/>
      <w:start w:val="10"/>
    </w:lvl>
  </w:abstractNum>
  <w:abstractNum w:abstractNumId="144">
    <w:nsid w:val="3F7F5DD9"/>
    <w:multiLevelType w:val="hybridMultilevel"/>
    <w:lvl w:ilvl="0">
      <w:lvlJc w:val="left"/>
      <w:lvlText w:val="(%1)"/>
      <w:numFmt w:val="lowerRoman"/>
      <w:start w:val="4"/>
    </w:lvl>
  </w:abstractNum>
  <w:abstractNum w:abstractNumId="145">
    <w:nsid w:val="2AE05A34"/>
    <w:multiLevelType w:val="hybridMultilevel"/>
    <w:lvl w:ilvl="0">
      <w:lvlJc w:val="left"/>
      <w:lvlText w:val="%1."/>
      <w:numFmt w:val="decimal"/>
      <w:start w:val="11"/>
    </w:lvl>
  </w:abstractNum>
  <w:abstractNum w:abstractNumId="146">
    <w:nsid w:val="32794FF7"/>
    <w:multiLevelType w:val="hybridMultilevel"/>
    <w:lvl w:ilvl="0">
      <w:lvlJc w:val="left"/>
      <w:lvlText w:val="%1."/>
      <w:numFmt w:val="decimal"/>
      <w:start w:val="12"/>
    </w:lvl>
  </w:abstractNum>
  <w:abstractNum w:abstractNumId="147">
    <w:nsid w:val="5454945E"/>
    <w:multiLevelType w:val="hybridMultilevel"/>
    <w:lvl w:ilvl="0">
      <w:lvlJc w:val="left"/>
      <w:lvlText w:val="(%1)"/>
      <w:numFmt w:val="lowerLetter"/>
      <w:start w:val="1"/>
    </w:lvl>
  </w:abstractNum>
  <w:abstractNum w:abstractNumId="148">
    <w:nsid w:val="4DEFDFA0"/>
    <w:multiLevelType w:val="hybridMultilevel"/>
    <w:lvl w:ilvl="0">
      <w:lvlJc w:val="left"/>
      <w:lvlText w:val="%1"/>
      <w:numFmt w:val="decimal"/>
      <w:start w:val="1"/>
    </w:lvl>
    <w:lvl w:ilvl="1">
      <w:lvlJc w:val="left"/>
      <w:lvlText w:val="(%2)"/>
      <w:numFmt w:val="lowerLetter"/>
      <w:start w:val="1"/>
    </w:lvl>
  </w:abstractNum>
  <w:abstractNum w:abstractNumId="149">
    <w:nsid w:val="2123D5F2"/>
    <w:multiLevelType w:val="hybridMultilevel"/>
    <w:lvl w:ilvl="0">
      <w:lvlJc w:val="left"/>
      <w:lvlText w:val="%1."/>
      <w:numFmt w:val="decimal"/>
      <w:start w:val="13"/>
    </w:lvl>
    <w:lvl w:ilvl="1">
      <w:lvlJc w:val="left"/>
      <w:lvlText w:val="%2"/>
      <w:numFmt w:val="lowerLetter"/>
      <w:start w:val="1"/>
    </w:lvl>
  </w:abstractNum>
  <w:abstractNum w:abstractNumId="150">
    <w:nsid w:val="135B8110"/>
    <w:multiLevelType w:val="hybridMultilevel"/>
    <w:lvl w:ilvl="0">
      <w:lvlJc w:val="left"/>
      <w:lvlText w:val="%1."/>
      <w:numFmt w:val="decimal"/>
      <w:start w:val="14"/>
    </w:lvl>
  </w:abstractNum>
  <w:abstractNum w:abstractNumId="151">
    <w:nsid w:val="94927A8"/>
    <w:multiLevelType w:val="hybridMultilevel"/>
    <w:lvl w:ilvl="0">
      <w:lvlJc w:val="left"/>
      <w:lvlText w:val="%1."/>
      <w:numFmt w:val="decimal"/>
      <w:start w:val="15"/>
    </w:lvl>
  </w:abstractNum>
  <w:abstractNum w:abstractNumId="152">
    <w:nsid w:val="DCDF8F6"/>
    <w:multiLevelType w:val="hybridMultilevel"/>
    <w:lvl w:ilvl="0">
      <w:lvlJc w:val="left"/>
      <w:lvlText w:val="%1."/>
      <w:numFmt w:val="decimal"/>
      <w:start w:val="16"/>
    </w:lvl>
  </w:abstractNum>
  <w:abstractNum w:abstractNumId="153">
    <w:nsid w:val="52D7B105"/>
    <w:multiLevelType w:val="hybridMultilevel"/>
    <w:lvl w:ilvl="0">
      <w:lvlJc w:val="left"/>
      <w:lvlText w:val="%1."/>
      <w:numFmt w:val="decimal"/>
      <w:start w:val="17"/>
    </w:lvl>
  </w:abstractNum>
  <w:abstractNum w:abstractNumId="154">
    <w:nsid w:val="2E8A6394"/>
    <w:multiLevelType w:val="hybridMultilevel"/>
    <w:lvl w:ilvl="0">
      <w:lvlJc w:val="left"/>
      <w:lvlText w:val="%1."/>
      <w:numFmt w:val="decimal"/>
      <w:start w:val="18"/>
    </w:lvl>
  </w:abstractNum>
  <w:abstractNum w:abstractNumId="155">
    <w:nsid w:val="24E60401"/>
    <w:multiLevelType w:val="hybridMultilevel"/>
    <w:lvl w:ilvl="0">
      <w:lvlJc w:val="left"/>
      <w:lvlText w:val="%1."/>
      <w:numFmt w:val="decimal"/>
      <w:start w:val="19"/>
    </w:lvl>
  </w:abstractNum>
  <w:abstractNum w:abstractNumId="156">
    <w:nsid w:val="2A6AD9BE"/>
    <w:multiLevelType w:val="hybridMultilevel"/>
    <w:lvl w:ilvl="0">
      <w:lvlJc w:val="left"/>
      <w:lvlText w:val="%1."/>
      <w:numFmt w:val="decimal"/>
      <w:start w:val="20"/>
    </w:lvl>
  </w:abstractNum>
  <w:abstractNum w:abstractNumId="157">
    <w:nsid w:val="BAAC1B4"/>
    <w:multiLevelType w:val="hybridMultilevel"/>
    <w:lvl w:ilvl="0">
      <w:lvlJc w:val="left"/>
      <w:lvlText w:val="%1."/>
      <w:numFmt w:val="decimal"/>
      <w:start w:val="21"/>
    </w:lvl>
  </w:abstractNum>
  <w:abstractNum w:abstractNumId="158">
    <w:nsid w:val="36B2ACBC"/>
    <w:multiLevelType w:val="hybridMultilevel"/>
    <w:lvl w:ilvl="0">
      <w:lvlJc w:val="left"/>
      <w:lvlText w:val="%1."/>
      <w:numFmt w:val="decimal"/>
      <w:start w:val="22"/>
    </w:lvl>
  </w:abstractNum>
  <w:abstractNum w:abstractNumId="159">
    <w:nsid w:val="779D8544"/>
    <w:multiLevelType w:val="hybridMultilevel"/>
    <w:lvl w:ilvl="0">
      <w:lvlJc w:val="left"/>
      <w:lvlText w:val="%1."/>
      <w:numFmt w:val="decimal"/>
      <w:start w:val="24"/>
    </w:lvl>
  </w:abstractNum>
  <w:abstractNum w:abstractNumId="160">
    <w:nsid w:val="4AB26E78"/>
    <w:multiLevelType w:val="hybridMultilevel"/>
    <w:lvl w:ilvl="0">
      <w:lvlJc w:val="left"/>
      <w:lvlText w:val="(%1)"/>
      <w:numFmt w:val="lowerLetter"/>
      <w:start w:val="1"/>
    </w:lvl>
  </w:abstractNum>
  <w:abstractNum w:abstractNumId="161">
    <w:nsid w:val="21FAA2FA"/>
    <w:multiLevelType w:val="hybridMultilevel"/>
    <w:lvl w:ilvl="0">
      <w:lvlJc w:val="left"/>
      <w:lvlText w:val="%1."/>
      <w:numFmt w:val="decimal"/>
      <w:start w:val="25"/>
    </w:lvl>
  </w:abstractNum>
  <w:abstractNum w:abstractNumId="162">
    <w:nsid w:val="5451CF49"/>
    <w:multiLevelType w:val="hybridMultilevel"/>
    <w:lvl w:ilvl="0">
      <w:lvlJc w:val="left"/>
      <w:lvlText w:val="%1."/>
      <w:numFmt w:val="decimal"/>
      <w:start w:val="26"/>
    </w:lvl>
  </w:abstractNum>
  <w:abstractNum w:abstractNumId="163">
    <w:nsid w:val="6181EF69"/>
    <w:multiLevelType w:val="hybridMultilevel"/>
    <w:lvl w:ilvl="0">
      <w:lvlJc w:val="left"/>
      <w:lvlText w:val="%1."/>
      <w:numFmt w:val="decimal"/>
      <w:start w:val="28"/>
    </w:lvl>
  </w:abstractNum>
  <w:abstractNum w:abstractNumId="164">
    <w:nsid w:val="3E6400E6"/>
    <w:multiLevelType w:val="hybridMultilevel"/>
    <w:lvl w:ilvl="0">
      <w:lvlJc w:val="left"/>
      <w:lvlText w:val="(%1)"/>
      <w:numFmt w:val="lowerLetter"/>
      <w:start w:val="1"/>
    </w:lvl>
  </w:abstractNum>
  <w:abstractNum w:abstractNumId="165">
    <w:nsid w:val="14217E23"/>
    <w:multiLevelType w:val="hybridMultilevel"/>
    <w:lvl w:ilvl="0">
      <w:lvlJc w:val="left"/>
      <w:lvlText w:val="(%1)"/>
      <w:numFmt w:val="lowerRoman"/>
      <w:start w:val="2"/>
    </w:lvl>
  </w:abstractNum>
  <w:abstractNum w:abstractNumId="166">
    <w:nsid w:val="710757D0"/>
    <w:multiLevelType w:val="hybridMultilevel"/>
    <w:lvl w:ilvl="0">
      <w:lvlJc w:val="left"/>
      <w:lvlText w:val="%1."/>
      <w:numFmt w:val="decimal"/>
      <w:start w:val="29"/>
    </w:lvl>
  </w:abstractNum>
  <w:abstractNum w:abstractNumId="167">
    <w:nsid w:val="5015CD1A"/>
    <w:multiLevelType w:val="hybridMultilevel"/>
    <w:lvl w:ilvl="0">
      <w:lvlJc w:val="left"/>
      <w:lvlText w:val="%1."/>
      <w:numFmt w:val="decimal"/>
      <w:start w:val="33"/>
    </w:lvl>
  </w:abstractNum>
  <w:abstractNum w:abstractNumId="168">
    <w:nsid w:val="424479DA"/>
    <w:multiLevelType w:val="hybridMultilevel"/>
    <w:lvl w:ilvl="0">
      <w:lvlJc w:val="left"/>
      <w:lvlText w:val="%1."/>
      <w:numFmt w:val="decimal"/>
      <w:start w:val="34"/>
    </w:lvl>
  </w:abstractNum>
  <w:abstractNum w:abstractNumId="169">
    <w:nsid w:val="1A9A9E69"/>
    <w:multiLevelType w:val="hybridMultilevel"/>
    <w:lvl w:ilvl="0">
      <w:lvlJc w:val="left"/>
      <w:lvlText w:val="%1."/>
      <w:numFmt w:val="decimal"/>
      <w:start w:val="37"/>
    </w:lvl>
  </w:abstractNum>
  <w:abstractNum w:abstractNumId="170">
    <w:nsid w:val="475E256A"/>
    <w:multiLevelType w:val="hybridMultilevel"/>
    <w:lvl w:ilvl="0">
      <w:lvlJc w:val="left"/>
      <w:lvlText w:val="(%1)"/>
      <w:numFmt w:val="lowerLetter"/>
      <w:start w:val="1"/>
    </w:lvl>
  </w:abstractNum>
  <w:abstractNum w:abstractNumId="171">
    <w:nsid w:val="368DB37E"/>
    <w:multiLevelType w:val="hybridMultilevel"/>
    <w:lvl w:ilvl="0">
      <w:lvlJc w:val="left"/>
      <w:lvlText w:val="%1."/>
      <w:numFmt w:val="decimal"/>
      <w:start w:val="38"/>
    </w:lvl>
  </w:abstractNum>
  <w:abstractNum w:abstractNumId="172">
    <w:nsid w:val="6A3B714C"/>
    <w:multiLevelType w:val="hybridMultilevel"/>
    <w:lvl w:ilvl="0">
      <w:lvlJc w:val="left"/>
      <w:lvlText w:val="%1."/>
      <w:numFmt w:val="decimal"/>
      <w:start w:val="1"/>
    </w:lvl>
  </w:abstractNum>
  <w:abstractNum w:abstractNumId="173">
    <w:nsid w:val="327B517E"/>
    <w:multiLevelType w:val="hybridMultilevel"/>
    <w:lvl w:ilvl="0">
      <w:lvlJc w:val="left"/>
      <w:lvlText w:val="%1."/>
      <w:numFmt w:val="decimal"/>
      <w:start w:val="1"/>
    </w:lvl>
  </w:abstractNum>
  <w:abstractNum w:abstractNumId="174">
    <w:nsid w:val="1F461B51"/>
    <w:multiLevelType w:val="hybridMultilevel"/>
    <w:lvl w:ilvl="0">
      <w:lvlJc w:val="left"/>
      <w:lvlText w:val="%1."/>
      <w:numFmt w:val="decimal"/>
      <w:start w:val="4"/>
    </w:lvl>
  </w:abstractNum>
  <w:abstractNum w:abstractNumId="175">
    <w:nsid w:val="29BACF25"/>
    <w:multiLevelType w:val="hybridMultilevel"/>
    <w:lvl w:ilvl="0">
      <w:lvlJc w:val="left"/>
      <w:lvlText w:val="(%1)"/>
      <w:numFmt w:val="lowerLetter"/>
      <w:start w:val="1"/>
    </w:lvl>
  </w:abstractNum>
  <w:abstractNum w:abstractNumId="176">
    <w:nsid w:val="5D5BABB3"/>
    <w:multiLevelType w:val="hybridMultilevel"/>
    <w:lvl w:ilvl="0">
      <w:lvlJc w:val="left"/>
      <w:lvlText w:val="%1."/>
      <w:numFmt w:val="decimal"/>
      <w:start w:val="1"/>
    </w:lvl>
  </w:abstractNum>
  <w:abstractNum w:abstractNumId="177">
    <w:nsid w:val="51BF6B48"/>
    <w:multiLevelType w:val="hybridMultilevel"/>
    <w:lvl w:ilvl="0">
      <w:lvlJc w:val="left"/>
      <w:lvlText w:val="%1."/>
      <w:numFmt w:val="decimal"/>
      <w:start w:val="6"/>
    </w:lvl>
    <w:lvl w:ilvl="1">
      <w:lvlJc w:val="left"/>
      <w:lvlText w:val="%2."/>
      <w:numFmt w:val="upperLetter"/>
      <w:start w:val="4"/>
    </w:lvl>
  </w:abstractNum>
  <w:abstractNum w:abstractNumId="178">
    <w:nsid w:val="7E0F6384"/>
    <w:multiLevelType w:val="hybridMultilevel"/>
    <w:lvl w:ilvl="0">
      <w:lvlJc w:val="left"/>
      <w:lvlText w:val="(%1)"/>
      <w:numFmt w:val="lowerRoman"/>
      <w:start w:val="1"/>
    </w:lvl>
    <w:lvl w:ilvl="1">
      <w:lvlJc w:val="left"/>
      <w:lvlText w:val="%2."/>
      <w:numFmt w:val="lowerLetter"/>
      <w:start w:val="1"/>
    </w:lvl>
  </w:abstractNum>
  <w:abstractNum w:abstractNumId="179">
    <w:nsid w:val="2B4B8B53"/>
    <w:multiLevelType w:val="hybridMultilevel"/>
    <w:lvl w:ilvl="0">
      <w:lvlJc w:val="left"/>
      <w:lvlText w:val="%1"/>
      <w:numFmt w:val="upperLetter"/>
      <w:start w:val="1"/>
    </w:lvl>
    <w:lvl w:ilvl="1">
      <w:lvlJc w:val="left"/>
      <w:lvlText w:val="(%2)"/>
      <w:numFmt w:val="lowerRoman"/>
      <w:start w:val="3"/>
    </w:lvl>
  </w:abstractNum>
  <w:abstractNum w:abstractNumId="180">
    <w:nsid w:val="72E3413A"/>
    <w:multiLevelType w:val="hybridMultilevel"/>
    <w:lvl w:ilvl="0">
      <w:lvlJc w:val="left"/>
      <w:lvlText w:val="%1."/>
      <w:numFmt w:val="upperLetter"/>
      <w:start w:val="6"/>
    </w:lvl>
    <w:lvl w:ilvl="1">
      <w:lvlJc w:val="left"/>
      <w:lvlText w:val="%2"/>
      <w:numFmt w:val="lowerRoman"/>
      <w:start w:val="1"/>
    </w:lvl>
  </w:abstractNum>
  <w:abstractNum w:abstractNumId="181">
    <w:nsid w:val="116AE494"/>
    <w:multiLevelType w:val="hybridMultilevel"/>
    <w:lvl w:ilvl="0">
      <w:lvlJc w:val="left"/>
      <w:lvlText w:val="%1."/>
      <w:numFmt w:val="decimal"/>
      <w:start w:val="1"/>
    </w:lvl>
  </w:abstractNum>
  <w:abstractNum w:abstractNumId="182">
    <w:nsid w:val="3494B2FB"/>
    <w:multiLevelType w:val="hybridMultilevel"/>
    <w:lvl w:ilvl="0">
      <w:lvlJc w:val="left"/>
      <w:lvlText w:val="(%1)"/>
      <w:numFmt w:val="lowerLetter"/>
      <w:start w:val="1"/>
    </w:lvl>
  </w:abstractNum>
  <w:abstractNum w:abstractNumId="183">
    <w:nsid w:val="B13A31"/>
    <w:multiLevelType w:val="hybridMultilevel"/>
    <w:lvl w:ilvl="0">
      <w:lvlJc w:val="left"/>
      <w:lvlText w:val="%1."/>
      <w:numFmt w:val="decimal"/>
      <w:start w:val="5"/>
    </w:lvl>
  </w:abstractNum>
  <w:abstractNum w:abstractNumId="184">
    <w:nsid w:val="64429599"/>
    <w:multiLevelType w:val="hybridMultilevel"/>
    <w:lvl w:ilvl="0">
      <w:lvlJc w:val="left"/>
      <w:lvlText w:val="(%1)"/>
      <w:numFmt w:val="lowerLetter"/>
      <w:start w:val="1"/>
    </w:lvl>
  </w:abstractNum>
  <w:abstractNum w:abstractNumId="185">
    <w:nsid w:val="631F1690"/>
    <w:multiLevelType w:val="hybridMultilevel"/>
    <w:lvl w:ilvl="0">
      <w:lvlJc w:val="left"/>
      <w:lvlText w:val="%1."/>
      <w:numFmt w:val="decimal"/>
      <w:start w:val="1"/>
    </w:lvl>
  </w:abstractNum>
  <w:abstractNum w:abstractNumId="186">
    <w:nsid w:val="25973E32"/>
    <w:multiLevelType w:val="hybridMultilevel"/>
    <w:lvl w:ilvl="0">
      <w:lvlJc w:val="left"/>
      <w:lvlText w:val="(%1)"/>
      <w:numFmt w:val="lowerLetter"/>
      <w:start w:val="1"/>
    </w:lvl>
  </w:abstractNum>
  <w:abstractNum w:abstractNumId="187">
    <w:nsid w:val="EAD6F57"/>
    <w:multiLevelType w:val="hybridMultilevel"/>
    <w:lvl w:ilvl="0">
      <w:lvlJc w:val="left"/>
      <w:lvlText w:val="%1."/>
      <w:numFmt w:val="decimal"/>
      <w:start w:val="5"/>
    </w:lvl>
  </w:abstractNum>
  <w:abstractNum w:abstractNumId="188">
    <w:nsid w:val="6EC9D844"/>
    <w:multiLevelType w:val="hybridMultilevel"/>
    <w:lvl w:ilvl="0">
      <w:lvlJc w:val="left"/>
      <w:lvlText w:val="(%1)"/>
      <w:numFmt w:val="lowerLetter"/>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jpeg"/><Relationship Id="rId161" Type="http://schemas.openxmlformats.org/officeDocument/2006/relationships/image" Target="media/image138.png"/><Relationship Id="rId162" Type="http://schemas.openxmlformats.org/officeDocument/2006/relationships/image" Target="media/image139.jpeg"/><Relationship Id="rId163" Type="http://schemas.openxmlformats.org/officeDocument/2006/relationships/image" Target="media/image140.png"/><Relationship Id="rId164" Type="http://schemas.openxmlformats.org/officeDocument/2006/relationships/image" Target="media/image141.jpe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138" Type="http://schemas.openxmlformats.org/officeDocument/2006/relationships/hyperlink" Target="http://www.sec.gov/Archives/edgar/data/1625791/000161577415000505/s100871_ex3-2.htm" TargetMode="External"/><Relationship Id="rId139" Type="http://schemas.openxmlformats.org/officeDocument/2006/relationships/hyperlink" Target="http://www.sec.gov/Archives/edgar/data/1625791/000161577415000434/s100824_ex4-1.htm" TargetMode="External"/><Relationship Id="rId140" Type="http://schemas.openxmlformats.org/officeDocument/2006/relationships/hyperlink" Target="http://www.sec.gov/Archives/edgar/data/1625791/000161577415000434/s100824_ex10-3.htm" TargetMode="External"/><Relationship Id="rId141" Type="http://schemas.openxmlformats.org/officeDocument/2006/relationships/hyperlink" Target="http://www.sec.gov/Archives/edgar/data/1625791/000161577415000363/s100753_ex10-1.htm" TargetMode="External"/><Relationship Id="rId142" Type="http://schemas.openxmlformats.org/officeDocument/2006/relationships/hyperlink" Target="http://www.sec.gov/Archives/edgar/data/1625791/000161577415000363/s100753_ex10-2.htm" TargetMode="External"/><Relationship Id="rId143" Type="http://schemas.openxmlformats.org/officeDocument/2006/relationships/hyperlink" Target="http://www.sec.gov/Archives/edgar/data/1625791/000161577415000505/s100871_ex10-21.htm" TargetMode="External"/><Relationship Id="rId144" Type="http://schemas.openxmlformats.org/officeDocument/2006/relationships/hyperlink" Target="http://www.sec.gov/Archives/edgar/data/1625791/000121390015006439/f6k082015ex99i_kornitdigit.htm" TargetMode="External"/><Relationship Id="rId145" Type="http://schemas.openxmlformats.org/officeDocument/2006/relationships/hyperlink" Target="http://www.sec.gov/Archives/edgar/data/1625791/000121390019004880/f20f2018ex4-8_kornit.htm" TargetMode="External"/><Relationship Id="rId146" Type="http://schemas.openxmlformats.org/officeDocument/2006/relationships/hyperlink" Target="http://www.sec.gov/Archives/edgar/data/1625791/000121390016012553/f20f2015a1ex4ix_kornit.htm" TargetMode="External"/><Relationship Id="rId147" Type="http://schemas.openxmlformats.org/officeDocument/2006/relationships/hyperlink" Target="http://www.sec.gov/Archives/edgar/data/1625791/000121390017003011/f20f2016ex4xi_kornit.htm" TargetMode="External"/><Relationship Id="rId148" Type="http://schemas.openxmlformats.org/officeDocument/2006/relationships/hyperlink" Target="http://www.sec.gov/Archives/edgar/data/1625791/000121390017003011/f20f2016ex4xii_kornit.htm" TargetMode="External"/><Relationship Id="rId149" Type="http://schemas.openxmlformats.org/officeDocument/2006/relationships/hyperlink" Target="http://www.sec.gov/Archives/edgar/data/1625791/000121390017003011/f20f2016ex4xiii_kornit.htm" TargetMode="External"/><Relationship Id="rId150" Type="http://schemas.openxmlformats.org/officeDocument/2006/relationships/hyperlink" Target="http://www.sec.gov/Archives/edgar/data/1625791/000121390017003011/f20f2016ex4xiv_kornit.htm" TargetMode="External"/><Relationship Id="rId151" Type="http://schemas.openxmlformats.org/officeDocument/2006/relationships/hyperlink" Target="http://www.sec.gov/Archives/edgar/data/1625791/000121390017003011/f20f2016ex4xv_kornit.htm" TargetMode="External"/><Relationship Id="rId152" Type="http://schemas.openxmlformats.org/officeDocument/2006/relationships/hyperlink" Target="http://www.sec.gov/Archives/edgar/data/1625791/000121390018003203/f20f2017ex4-16_kornit.htm" TargetMode="External"/><Relationship Id="rId153" Type="http://schemas.openxmlformats.org/officeDocument/2006/relationships/hyperlink" Target="http://www.sec.gov/Archives/edgar/data/1625791/000121390019004880/f20f2018ex4-16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2020-03-23T15:10:41Z</dcterms:created>
  <dcterms:modified xsi:type="dcterms:W3CDTF">2020-03-23T15:10:41Z</dcterms:modified>
</cp:coreProperties>
</file>