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333-215404</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4"/>
          <w:szCs w:val="24"/>
          <w:color w:val="auto"/>
        </w:rPr>
      </w:pPr>
    </w:p>
    <w:p>
      <w:pPr>
        <w:spacing w:after="0" w:line="225"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FF0000"/>
        </w:rPr>
        <w:t>The information contained in this preliminary prospectus supplement is not complete and may be changed. This preliminary prospectus supplement is not an offer to sell these securities, and the selling shareholder is not soliciting an offer to buy these securities in any state where an offer or sale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15,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January 3, 2017)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4,250,000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148590</wp:posOffset>
            </wp:positionV>
            <wp:extent cx="1457960" cy="917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960"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 identified in this prospectus supplement is offering 4,250,000 ordinary shares. We will not receive any of the proceeds from the sale of shares being offered by the selling shareholder.</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“KRNT.” On May 12, 2017, the last reported sales price of our ordinary shares was $22.00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66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228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680" w:type="dxa"/>
            <w:vAlign w:val="bottom"/>
            <w:gridSpan w:val="3"/>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(1) See “Underwriting” for a description</w:t>
            </w:r>
          </w:p>
        </w:tc>
        <w:tc>
          <w:tcPr>
            <w:tcW w:w="4820" w:type="dxa"/>
            <w:vAlign w:val="bottom"/>
          </w:tcPr>
          <w:p>
            <w:pPr>
              <w:ind w:left="180"/>
              <w:spacing w:after="0"/>
              <w:rPr>
                <w:sz w:val="20"/>
                <w:szCs w:val="20"/>
                <w:color w:val="auto"/>
              </w:rPr>
            </w:pPr>
            <w:r>
              <w:rPr>
                <w:rFonts w:ascii="Arial" w:cs="Arial" w:eastAsia="Arial" w:hAnsi="Arial"/>
                <w:sz w:val="18"/>
                <w:szCs w:val="18"/>
                <w:color w:val="auto"/>
              </w:rPr>
              <w:t>of the compensation payable to the underwriters.</w:t>
            </w: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underwriters may also exercise their option to purchase up to an additional 637,500 ordinary shares from the selling shareholder at the public offering price, less underwriting discounts and commissions, for 30 days after the date of this prospectus supplement.</w:t>
      </w:r>
    </w:p>
    <w:p>
      <w:pPr>
        <w:spacing w:after="0" w:line="16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as defined under federal securities laws and, as such, may elect to comply with certain reduced public company reporting requirements.</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Investing in our ordinary shares involves risks that are described in the “Risk Factors” section beginning on page S-3 of this prospectus supplement and in the documents incorporated by reference.</w:t>
      </w:r>
    </w:p>
    <w:p>
      <w:pPr>
        <w:spacing w:after="0" w:line="162" w:lineRule="exact"/>
        <w:rPr>
          <w:sz w:val="24"/>
          <w:szCs w:val="24"/>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123190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jc w:val="right"/>
              <w:ind w:right="170"/>
              <w:spacing w:after="0"/>
              <w:rPr>
                <w:sz w:val="20"/>
                <w:szCs w:val="20"/>
                <w:color w:val="auto"/>
              </w:rPr>
            </w:pPr>
            <w:r>
              <w:rPr>
                <w:rFonts w:ascii="Arial" w:cs="Arial" w:eastAsia="Arial" w:hAnsi="Arial"/>
                <w:sz w:val="18"/>
                <w:szCs w:val="18"/>
                <w:color w:val="auto"/>
              </w:rPr>
              <w:t>The underwriters expect to deliver the ordinary shares to purchasers on or about</w:t>
            </w:r>
          </w:p>
        </w:tc>
        <w:tc>
          <w:tcPr>
            <w:tcW w:w="3080" w:type="dxa"/>
            <w:vAlign w:val="bottom"/>
          </w:tcPr>
          <w:p>
            <w:pPr>
              <w:jc w:val="right"/>
              <w:ind w:right="2183"/>
              <w:spacing w:after="0"/>
              <w:rPr>
                <w:sz w:val="20"/>
                <w:szCs w:val="20"/>
                <w:color w:val="auto"/>
              </w:rPr>
            </w:pPr>
            <w:r>
              <w:rPr>
                <w:rFonts w:ascii="Arial" w:cs="Arial" w:eastAsia="Arial" w:hAnsi="Arial"/>
                <w:sz w:val="18"/>
                <w:szCs w:val="18"/>
                <w:color w:val="auto"/>
              </w:rPr>
              <w:t>, 2017.</w:t>
            </w:r>
          </w:p>
        </w:tc>
      </w:tr>
      <w:tr>
        <w:trPr>
          <w:trHeight w:val="223"/>
        </w:trPr>
        <w:tc>
          <w:tcPr>
            <w:tcW w:w="4280" w:type="dxa"/>
            <w:vAlign w:val="bottom"/>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572"/>
        </w:trPr>
        <w:tc>
          <w:tcPr>
            <w:tcW w:w="714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120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29"/>
                <w:szCs w:val="29"/>
                <w:b w:val="1"/>
                <w:bCs w:val="1"/>
                <w:color w:val="auto"/>
              </w:rPr>
              <w:t>Citigroup</w:t>
            </w:r>
          </w:p>
        </w:tc>
      </w:tr>
      <w:tr>
        <w:trPr>
          <w:trHeight w:val="218"/>
        </w:trPr>
        <w:tc>
          <w:tcPr>
            <w:tcW w:w="428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446"/>
        </w:trPr>
        <w:tc>
          <w:tcPr>
            <w:tcW w:w="7140" w:type="dxa"/>
            <w:vAlign w:val="bottom"/>
            <w:gridSpan w:val="2"/>
          </w:tcPr>
          <w:p>
            <w:pPr>
              <w:ind w:left="3640"/>
              <w:spacing w:after="0"/>
              <w:rPr>
                <w:sz w:val="20"/>
                <w:szCs w:val="20"/>
                <w:color w:val="auto"/>
              </w:rPr>
            </w:pPr>
            <w:r>
              <w:rPr>
                <w:rFonts w:ascii="Arial" w:cs="Arial" w:eastAsia="Arial" w:hAnsi="Arial"/>
                <w:sz w:val="18"/>
                <w:szCs w:val="18"/>
                <w:color w:val="auto"/>
              </w:rPr>
              <w:t>The date of this Prospectus Supplement is</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 2017.</w:t>
            </w:r>
          </w:p>
        </w:tc>
        <w:tc>
          <w:tcPr>
            <w:tcW w:w="3080" w:type="dxa"/>
            <w:vAlign w:val="bottom"/>
          </w:tcPr>
          <w:p>
            <w:pPr>
              <w:spacing w:after="0"/>
              <w:rPr>
                <w:sz w:val="24"/>
                <w:szCs w:val="24"/>
                <w:color w:val="auto"/>
              </w:rPr>
            </w:pPr>
          </w:p>
        </w:tc>
      </w:tr>
      <w:tr>
        <w:trPr>
          <w:trHeight w:val="682"/>
        </w:trPr>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711"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080" w:type="dxa"/>
            <w:vAlign w:val="bottom"/>
            <w:gridSpan w:val="3"/>
          </w:tcPr>
          <w:p>
            <w:pPr>
              <w:ind w:left="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Prospectus supplement</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Prospectus supplement summary</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The offering</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shareholder</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U.S. and Israeli tax consequences for our shareholders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Underwriting</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Experts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439"/>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Prospectus</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6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Kornit Digital Ltd.</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Shareholders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Description of Rights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Description of Units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Experts</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7080" w:type="dxa"/>
            <w:vAlign w:val="bottom"/>
            <w:gridSpan w:val="3"/>
          </w:tcPr>
          <w:p>
            <w:pPr>
              <w:jc w:val="center"/>
              <w:ind w:left="609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7080" w:type="dxa"/>
            <w:vAlign w:val="bottom"/>
            <w:gridSpan w:val="3"/>
            <w:shd w:val="clear" w:color="auto" w:fill="CCEEFF"/>
          </w:tcPr>
          <w:p>
            <w:pPr>
              <w:jc w:val="center"/>
              <w:ind w:left="609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 is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16140" cy="5466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546671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significant shareholder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this offering, entities affiliated with Fortissimo Capital Fund II (Israel) L.P. (“Fortissimo Capital”), beneficially owned 26.2% of our outstanding shares in the aggregate. Upon the completion of this offering, Fortissimo Capital will beneficially own 13.5% of our outstanding shares in the aggregate (or 11.6% if the underwriters exercise in full their option to purchase additional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provisions of the Israeli Companies Law, 5759-1999, as amended. Our principal executive offices are located at 12 Ha’Amal Street, Rosh Ha’Ayin 4809246, Israel, and our telephone number is +972-3-908-5800. Our website address is www.kornit.com (the information contained therein or linked thereto shall not be considered incorporated by reference in this prospectus supplement or the accompanying prospectus). Our agent for service of process in the United States is Kornit Digital North America Inc., located at 10541-10601 North Commerce Street, Mequon, Wisconsin 53092, and its telephone number is (262) 518-0200.</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999"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16140" cy="3134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3134360"/>
                    </a:xfrm>
                    <a:prstGeom prst="rect">
                      <a:avLst/>
                    </a:prstGeom>
                    <a:noFill/>
                  </pic:spPr>
                </pic:pic>
              </a:graphicData>
            </a:graphic>
          </wp:anchor>
        </w:drawing>
        <w:t>The offering</w:t>
      </w:r>
    </w:p>
    <w:p>
      <w:pPr>
        <w:sectPr>
          <w:pgSz w:w="11900" w:h="16838" w:orient="portrait"/>
          <w:cols w:equalWidth="0" w:num="1">
            <w:col w:w="11180"/>
          </w:cols>
          <w:pgMar w:left="340" w:top="999" w:right="3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being offered by the selling shareholder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4,250,000 ordinary shares (or 4,887,500 ordinary shares if the underwriters exercise in full their option to purchase additional shares).</w:t>
      </w:r>
    </w:p>
    <w:p>
      <w:pPr>
        <w:spacing w:after="0" w:line="124" w:lineRule="exact"/>
        <w:rPr>
          <w:sz w:val="20"/>
          <w:szCs w:val="20"/>
          <w:color w:val="auto"/>
        </w:rPr>
      </w:pPr>
    </w:p>
    <w:p>
      <w:pPr>
        <w:sectPr>
          <w:pgSz w:w="11900" w:h="16838" w:orient="portrait"/>
          <w:cols w:equalWidth="0" w:num="2">
            <w:col w:w="5220" w:space="720"/>
            <w:col w:w="5240"/>
          </w:cols>
          <w:pgMar w:left="340" w:top="999" w:right="379" w:bottom="1440" w:gutter="0" w:footer="0" w:header="0"/>
          <w:type w:val="continuous"/>
        </w:sectPr>
      </w:pPr>
    </w:p>
    <w:p>
      <w:pPr>
        <w:spacing w:after="0"/>
        <w:rPr>
          <w:sz w:val="20"/>
          <w:szCs w:val="20"/>
          <w:color w:val="auto"/>
        </w:rPr>
      </w:pPr>
      <w:r>
        <w:rPr>
          <w:rFonts w:ascii="Arial" w:cs="Arial" w:eastAsia="Arial" w:hAnsi="Arial"/>
          <w:sz w:val="16"/>
          <w:szCs w:val="16"/>
          <w:color w:val="auto"/>
        </w:rPr>
        <w:t>Ordinary shares outstanding before and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33,565,079 ordinary shares.</w:t>
      </w:r>
    </w:p>
    <w:p>
      <w:pPr>
        <w:spacing w:after="0" w:line="200" w:lineRule="exact"/>
        <w:rPr>
          <w:sz w:val="20"/>
          <w:szCs w:val="20"/>
          <w:color w:val="auto"/>
        </w:rPr>
      </w:pPr>
    </w:p>
    <w:p>
      <w:pPr>
        <w:sectPr>
          <w:pgSz w:w="11900" w:h="16838" w:orient="portrait"/>
          <w:cols w:equalWidth="0" w:num="2">
            <w:col w:w="5220" w:space="720"/>
            <w:col w:w="5240"/>
          </w:cols>
          <w:pgMar w:left="340" w:top="999"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70" w:lineRule="exact"/>
        <w:rPr>
          <w:sz w:val="20"/>
          <w:szCs w:val="20"/>
          <w:color w:val="auto"/>
        </w:rPr>
      </w:pPr>
    </w:p>
    <w:p>
      <w:pPr>
        <w:sectPr>
          <w:pgSz w:w="11900" w:h="16838" w:orient="portrait"/>
          <w:cols w:equalWidth="0" w:num="2">
            <w:col w:w="5220" w:space="720"/>
            <w:col w:w="5240"/>
          </w:cols>
          <w:pgMar w:left="340" w:top="999" w:right="379" w:bottom="1440" w:gutter="0" w:footer="0" w:header="0"/>
          <w:type w:val="continuous"/>
        </w:sectPr>
      </w:pPr>
    </w:p>
    <w:p>
      <w:pPr>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“KRNT”</w:t>
      </w:r>
    </w:p>
    <w:p>
      <w:pPr>
        <w:spacing w:after="0" w:line="200" w:lineRule="exact"/>
        <w:rPr>
          <w:sz w:val="20"/>
          <w:szCs w:val="20"/>
          <w:color w:val="auto"/>
        </w:rPr>
      </w:pPr>
    </w:p>
    <w:p>
      <w:pPr>
        <w:sectPr>
          <w:pgSz w:w="11900" w:h="16838" w:orient="portrait"/>
          <w:cols w:equalWidth="0" w:num="2">
            <w:col w:w="5220" w:space="720"/>
            <w:col w:w="5240"/>
          </w:cols>
          <w:pgMar w:left="340" w:top="999"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“Risk Factors” and other information included in this prospectus supplement and the accompanying prospectus for a discussion of factors you should carefully consider before deciding to invest in our ordinary shares.</w:t>
      </w:r>
    </w:p>
    <w:p>
      <w:pPr>
        <w:spacing w:after="0" w:line="187" w:lineRule="exact"/>
        <w:rPr>
          <w:sz w:val="20"/>
          <w:szCs w:val="20"/>
          <w:color w:val="auto"/>
        </w:rPr>
      </w:pPr>
    </w:p>
    <w:p>
      <w:pPr>
        <w:sectPr>
          <w:pgSz w:w="11900" w:h="16838" w:orient="portrait"/>
          <w:cols w:equalWidth="0" w:num="2">
            <w:col w:w="5220" w:space="720"/>
            <w:col w:w="5240"/>
          </w:cols>
          <w:pgMar w:left="340" w:top="999" w:right="379" w:bottom="1440" w:gutter="0" w:footer="0" w:header="0"/>
          <w:type w:val="continuous"/>
        </w:sectPr>
      </w:pPr>
    </w:p>
    <w:p>
      <w:pPr>
        <w:jc w:val="both"/>
        <w:ind w:firstLine="648"/>
        <w:spacing w:after="0" w:line="286" w:lineRule="auto"/>
        <w:rPr>
          <w:sz w:val="20"/>
          <w:szCs w:val="20"/>
          <w:color w:val="auto"/>
        </w:rPr>
      </w:pPr>
      <w:r>
        <w:rPr>
          <w:rFonts w:ascii="Arial" w:cs="Arial" w:eastAsia="Arial" w:hAnsi="Arial"/>
          <w:sz w:val="17"/>
          <w:szCs w:val="17"/>
          <w:color w:val="auto"/>
        </w:rPr>
        <w:t>Unless otherwise indicated, the number of ordinary shares to be outstanding after this offering is based on 33,565,079 ordinary shares outstanding as of March 31, 2017 and excludes 3,859,831 ordinary shares reserved for issuance under our equity incentive plans as of March 31, 2017 of which we had outstanding options to purchase 2,460,421 ordinary shares at a weighted average exercise price of $7.63 per share.</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999"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5 of our 2016 Form 20-F and in other documents that we subsequently file with the SEC, all of which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Fortissimo Capital has, and upon completion of this offering will continue to have, a significant influence over matters requiring shareholder approval, which could delay or prevent a change of control.</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Upon completion of this offering, Fortissimo Capital will beneficially own 13.5% of our outstanding shares in the aggregate (or 11.6% if the underwriters exercise in full their option to purchase additional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this shareholder can exert significant influence over our operations and business strategy and over the outcome of matters requiring shareholder approval. These matters may include:</w:t>
      </w:r>
    </w:p>
    <w:p>
      <w:pPr>
        <w:spacing w:after="0" w:line="17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selling shareholder, and our executive officers and directors have agreed with the underwriters that, subject to limited exceptions, for a period of 60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these lock-up agreements. See “Underwriting.”</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Furthermore, following the closing of this offering, but subject to the 60-day lock-up agreements entered into with the underwriters, Fortissimo Capital is entitled to require that we conduct additional underwritten offerings under the U.S. Securities Act of 1933 with respect to the resale of its shares into the public markets. In addition, Amazon.com, Inc. (“Amazon”) is also entitled to certain registration rights starting on January 10, 2018, pursuant to a transaction agreement we entered into with Amazon on January 10, 2017. All shares sold pursuant to an offering covered by a registration statement will be freely transferable except if purchased by an affiliate. See “ITEM 7.B—Related Party Transactions—Investors’ Rights Agreement” and “ITEM 10.C— Material Contracts—Agreements with Amazon” in our annual report on Form 20-F for the year ended December 31, 2016.</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3,849,831 million ordinary shares are reserved for issuance under currently exercisable share options granted to employees and office holders as of March 31, 2017. We have filed registration statements on Form S-8 under the U.S. Securities Act of 1933 registering ordinary shares that we may issue under our share incentive plans, of which as of March 31, 2017 there were options to purchase 2,450,421 million shares outstanding. Shares included in such registration statements may be freely sold in the public market upon issuance, except for shares held by affiliates who have certain restrictions on their ability to sell.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44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of the proceeds from the sale of shares by the selling shareholder.</w:t>
      </w:r>
    </w:p>
    <w:p>
      <w:pPr>
        <w:spacing w:after="0" w:line="200" w:lineRule="exact"/>
        <w:rPr>
          <w:sz w:val="20"/>
          <w:szCs w:val="20"/>
          <w:color w:val="auto"/>
        </w:rPr>
      </w:pPr>
    </w:p>
    <w:p>
      <w:pPr>
        <w:spacing w:after="0" w:line="25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sets forth our cash and cash equivalents, available for sale marketable securities and total capitalization as of March 31, 2017.</w:t>
      </w:r>
    </w:p>
    <w:p>
      <w:pPr>
        <w:spacing w:after="0" w:line="15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has been no material change in our capitalization from debt or equity issuances, re-capitalizations or special dividends between March 31, 2017 and the date of this prospectus supplement. This table should be read in conjunction with “Risk factors” above, “ITEM 5: Operating and Financial Review and Prospects,” and our consolidated financial statements and the related notes incorporated by reference from our Annual Report on Form 20-F for the year ended December 31, 2016 and our U.S. GAAP financial information contained in the (i) consolidated statements of income, (ii) consolidated balance sheets and (iii) consolidated statement of cash flows for the three months ended March 31, 2016 incorporated by reference from our Current Report on Form 6-K filed on May 5, 2017. See “Where you can find more information.”</w:t>
      </w:r>
    </w:p>
    <w:p>
      <w:pPr>
        <w:sectPr>
          <w:pgSz w:w="11900" w:h="16838" w:orient="portrait"/>
          <w:cols w:equalWidth="0" w:num="1">
            <w:col w:w="11420"/>
          </w:cols>
          <w:pgMar w:left="240" w:top="1121" w:right="2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available for sale marketable securities</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Ordinary shares, NIS 0.01 par value: 200,000,000 shares authorized, actual and as adjusted; 33,565,079 shares issued and outstanding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As of March</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31, 2017</w:t>
      </w:r>
    </w:p>
    <w:p>
      <w:pPr>
        <w:spacing w:after="0" w:line="49" w:lineRule="exact"/>
        <w:rPr>
          <w:sz w:val="20"/>
          <w:szCs w:val="20"/>
          <w:color w:val="auto"/>
        </w:rPr>
      </w:pPr>
    </w:p>
    <w:p>
      <w:pPr>
        <w:ind w:left="643" w:hanging="643"/>
        <w:spacing w:after="0"/>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97,141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7" w:lineRule="exact"/>
        <w:rPr>
          <w:sz w:val="20"/>
          <w:szCs w:val="20"/>
          <w:color w:val="auto"/>
        </w:rPr>
      </w:pPr>
    </w:p>
    <w:p>
      <w:pPr>
        <w:ind w:left="963" w:hanging="963"/>
        <w:spacing w:after="0"/>
        <w:tabs>
          <w:tab w:leader="none" w:pos="963" w:val="left"/>
        </w:tabs>
        <w:numPr>
          <w:ilvl w:val="0"/>
          <w:numId w:val="3"/>
        </w:numPr>
        <w:rPr>
          <w:rFonts w:ascii="Arial" w:cs="Arial" w:eastAsia="Arial" w:hAnsi="Arial"/>
          <w:sz w:val="18"/>
          <w:szCs w:val="18"/>
          <w:color w:val="auto"/>
        </w:rPr>
      </w:pPr>
      <w:r>
        <w:rPr>
          <w:rFonts w:ascii="Arial" w:cs="Arial" w:eastAsia="Arial" w:hAnsi="Arial"/>
          <w:sz w:val="18"/>
          <w:szCs w:val="18"/>
          <w:color w:val="auto"/>
        </w:rPr>
        <w:t>84</w:t>
      </w:r>
    </w:p>
    <w:p>
      <w:pPr>
        <w:spacing w:after="0" w:line="23"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132,451</w:t>
      </w:r>
    </w:p>
    <w:p>
      <w:pPr>
        <w:spacing w:after="0" w:line="9" w:lineRule="exact"/>
        <w:rPr>
          <w:rFonts w:ascii="Arial" w:cs="Arial" w:eastAsia="Arial" w:hAnsi="Arial"/>
          <w:sz w:val="18"/>
          <w:szCs w:val="18"/>
          <w:color w:val="auto"/>
        </w:rPr>
      </w:pPr>
    </w:p>
    <w:p>
      <w:pPr>
        <w:ind w:left="903"/>
        <w:spacing w:after="0"/>
        <w:rPr>
          <w:rFonts w:ascii="Arial" w:cs="Arial" w:eastAsia="Arial" w:hAnsi="Arial"/>
          <w:sz w:val="18"/>
          <w:szCs w:val="18"/>
          <w:color w:val="auto"/>
        </w:rPr>
      </w:pPr>
      <w:r>
        <w:rPr>
          <w:rFonts w:ascii="Arial" w:cs="Arial" w:eastAsia="Arial" w:hAnsi="Arial"/>
          <w:sz w:val="16"/>
          <w:szCs w:val="16"/>
          <w:color w:val="auto"/>
        </w:rPr>
        <w:t>(15)</w:t>
      </w:r>
    </w:p>
    <w:p>
      <w:pPr>
        <w:spacing w:after="0" w:line="49" w:lineRule="exact"/>
        <w:rPr>
          <w:sz w:val="20"/>
          <w:szCs w:val="20"/>
          <w:color w:val="auto"/>
        </w:rPr>
      </w:pPr>
    </w:p>
    <w:p>
      <w:pPr>
        <w:sectPr>
          <w:pgSz w:w="11900" w:h="16838" w:orient="portrait"/>
          <w:cols w:equalWidth="0" w:num="2">
            <w:col w:w="9640" w:space="537"/>
            <w:col w:w="1243"/>
          </w:cols>
          <w:pgMar w:left="240" w:top="1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w:t>
            </w:r>
          </w:p>
        </w:tc>
      </w:tr>
      <w:tr>
        <w:trPr>
          <w:trHeight w:val="210"/>
        </w:trPr>
        <w:tc>
          <w:tcPr>
            <w:tcW w:w="6160" w:type="dxa"/>
            <w:vAlign w:val="bottom"/>
            <w:tcBorders>
              <w:top w:val="single" w:sz="8" w:color="CCEEFF"/>
              <w:bottom w:val="single" w:sz="8" w:color="CCEEFF"/>
            </w:tcBorders>
          </w:tcPr>
          <w:p>
            <w:pPr>
              <w:ind w:left="260"/>
              <w:spacing w:after="0" w:line="203" w:lineRule="exact"/>
              <w:rPr>
                <w:sz w:val="20"/>
                <w:szCs w:val="20"/>
                <w:color w:val="auto"/>
              </w:rPr>
            </w:pPr>
            <w:r>
              <w:rPr>
                <w:rFonts w:ascii="Arial" w:cs="Arial" w:eastAsia="Arial" w:hAnsi="Arial"/>
                <w:sz w:val="18"/>
                <w:szCs w:val="18"/>
                <w:color w:val="auto"/>
              </w:rPr>
              <w:t>Total shareholders’ equity</w:t>
            </w:r>
          </w:p>
        </w:tc>
        <w:tc>
          <w:tcPr>
            <w:tcW w:w="40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142,940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6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capitalization</w:t>
            </w:r>
          </w:p>
        </w:tc>
        <w:tc>
          <w:tcPr>
            <w:tcW w:w="4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142,940</w:t>
            </w:r>
          </w:p>
        </w:tc>
      </w:tr>
      <w:tr>
        <w:trPr>
          <w:trHeight w:val="21"/>
        </w:trPr>
        <w:tc>
          <w:tcPr>
            <w:tcW w:w="6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preceding table excludes 3,859,831 ordinary shares reserved for issuance under our equity incentive plans as of March 31, 2017 of which we had outstanding options to purchase 2,460,421 ordinary shares at a weighted average exercise price of $7.63 per share.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the beneficial ownership of the selling shareholder of our ordinary shares as of May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otherwise indicated, to our knowledge, the entity named in the table below has sole voting and investment power with respect to all shares of ordinary shares shown as beneficially owned by it, subject to community property laws, where applicable.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beneficially owned by the selling shareholder is determined pursuant to Rule 13d-3 promulgated by the SEC under the Exchange Act. The information does not necessarily indicate beneficial ownership for any other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percentages of shares outstanding provided in the table are based on a total of 33,615,653 shares of our ordinary shares outstanding on May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more information regarding our relationships with the entity named below, see “Major Shareholders and Related Party Transactions” in our Form 20-F filed with the SEC on March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offered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pursuant to</w:t>
            </w:r>
          </w:p>
        </w:tc>
        <w:tc>
          <w:tcPr>
            <w:tcW w:w="24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Shares beneficially owned</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w:t>
            </w:r>
          </w:p>
        </w:tc>
        <w:tc>
          <w:tcPr>
            <w:tcW w:w="24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after exercise of option</w:t>
            </w: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Shares beneficially owned</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5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Shares beneficially owned</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granted by</w:t>
            </w:r>
          </w:p>
        </w:tc>
        <w:tc>
          <w:tcPr>
            <w:tcW w:w="24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granted by selling</w:t>
            </w:r>
          </w:p>
        </w:tc>
      </w:tr>
      <w:tr>
        <w:trPr>
          <w:trHeight w:val="255"/>
        </w:trPr>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prior to offering</w:t>
            </w:r>
          </w:p>
        </w:tc>
        <w:tc>
          <w:tcPr>
            <w:tcW w:w="26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after offering</w:t>
            </w:r>
          </w:p>
        </w:tc>
        <w:tc>
          <w:tcPr>
            <w:tcW w:w="26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selling</w:t>
            </w: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shareholder</w:t>
            </w:r>
          </w:p>
        </w:tc>
        <w:tc>
          <w:tcPr>
            <w:tcW w:w="160" w:type="dxa"/>
            <w:vAlign w:val="bottom"/>
          </w:tcPr>
          <w:p>
            <w:pPr>
              <w:spacing w:after="0"/>
              <w:rPr>
                <w:sz w:val="22"/>
                <w:szCs w:val="22"/>
                <w:color w:val="auto"/>
              </w:rPr>
            </w:pPr>
          </w:p>
        </w:tc>
      </w:tr>
      <w:tr>
        <w:trPr>
          <w:trHeight w:val="26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offered</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shareholder</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Percent</w:t>
            </w:r>
          </w:p>
        </w:tc>
      </w:tr>
      <w:tr>
        <w:trPr>
          <w:trHeight w:val="202"/>
        </w:trPr>
        <w:tc>
          <w:tcPr>
            <w:tcW w:w="1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Fortissimo Capital</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2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II (Israel),</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7"/>
        </w:trPr>
        <w:tc>
          <w:tcPr>
            <w:tcW w:w="154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color w:val="auto"/>
              </w:rPr>
              <w:t>L.P.</w:t>
            </w:r>
            <w:r>
              <w:rPr>
                <w:rFonts w:ascii="Arial" w:cs="Arial" w:eastAsia="Arial" w:hAnsi="Arial"/>
                <w:sz w:val="30"/>
                <w:szCs w:val="30"/>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8,802,481</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4,552,481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3,914,981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460" w:hanging="452"/>
        <w:spacing w:after="0" w:line="27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Fortissimo Capital Fund II (GP), L.P. is a Cayman Islands limited partnership, which serves as the general partner of Fortissimo Capital Fund II (Israel), L.P., a Cayman Islands limited partnership. The general partner of Fortissimo Capital Fund II (GP), L.P. (“Fortissimo II GP”) is Fortissimo Capital 2 Management (GP) Ltd., a Cayman Islands corporation. Messrs. Eli Blatt, Yuval Cohen and Marc Lesnick are members of the investment committee of Fortissimo Management and share voting and dispositive power with respect to such shares. The principal address of Fortissimo Capital and of Messrs. Blatt, Cohen and Lesnick is 14 Hamelacha Street, Park Afek, Rosh Ha’Ayin 48091, Israel.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consequences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Generally, a non-Israeli resident who derives capital gains from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648"/>
        <w:spacing w:after="0" w:line="255"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are generally subject to Israeli income tax on the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Individuals who are subject to tax in Israel are also subject to an additional tax at a rate of 2% on annual income exceeding NIS 810,720 for 2016, which amount is linked to the annual change in the Israeli consumer price index, including, but not limited to, dividends, interest and capital gain, subject to the provisions of an applicable tax treaty. Pursuant to a new legislation enacted recently, as of 2017 such tax rate is increased to 3% on annual income exceeding NIS 640,000 (which amount is linked to the annual change in the Israeli consumer price index).</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relating to the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persons that will hold our shares through such an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description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consequences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 U.S. federal income tax purposes, is:</w:t>
      </w:r>
    </w:p>
    <w:p>
      <w:pPr>
        <w:spacing w:after="0" w:line="23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312" w:lineRule="auto"/>
        <w:rPr>
          <w:sz w:val="20"/>
          <w:szCs w:val="20"/>
          <w:color w:val="auto"/>
        </w:rPr>
      </w:pPr>
      <w:r>
        <w:rPr>
          <w:rFonts w:ascii="Arial" w:cs="Arial" w:eastAsia="Arial" w:hAnsi="Arial"/>
          <w:sz w:val="16"/>
          <w:szCs w:val="16"/>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owning and disposing of our ordinary shares in its particular circumstance.</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after any reduction in rates available to such U.S. Holder under the United States-Israel Tax Treaty,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 U.S. Holders should consult their tax advisers regarding the availability of the foreign tax credit in their particular circumstances.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jc w:val="both"/>
        <w:ind w:left="980" w:right="14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historic and certain estimates of our gross income, gross assets, and market capitalization (which may fluctuate from time to time) and the nature of our business, we do not believe that we were a PFIC for the taxable year ending December 31, 2016 and we do not expect that we will be classified as a PFIC for the taxable year ending December 31, 2017. However, because PFIC status is based on our income, assets and activities for the entire taxable year, it is not possible to determine whether we will be characterized as a PFIC for the 2017 taxable year until after the close of the year. Moreover, we must determine our PFIC status annually based on tests which are factual in nature, and our status in future years will depend on our income, assets, market capitalization and activities in those years. There can be no assurance that we will not be considered a PFIC for any taxable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U.S. Holder makes the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U.S. Holders should consult their tax advisors regarding the potential application of the PFIC rules to their investment in our ordinary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Barclays Capital Inc. and Citigroup Global Markets Inc. are acting as underwriters of this offering. Under the terms of an underwriting agreement,</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dated , 2017, each of the underwriters named below has severally agreed to purchase from us and the selling shareholder the respective number of ordinary shares shown opposite its name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4,250,000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underwriters have advised us that they propose initially to offer the ordinary shares to the public at the public offering price set forth on the</w:t>
      </w:r>
    </w:p>
    <w:p>
      <w:pPr>
        <w:spacing w:after="0" w:line="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this offering may be changed.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shareholder, before expenses. The information assumes either no exercise or full exercise by the underwriters of their option to purchase additional ordinary shares from the selling shareholder.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Without</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With</w:t>
            </w:r>
          </w:p>
        </w:tc>
      </w:tr>
      <w:tr>
        <w:trPr>
          <w:trHeight w:val="241"/>
        </w:trPr>
        <w:tc>
          <w:tcPr>
            <w:tcW w:w="744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1160" w:type="dxa"/>
            <w:vAlign w:val="bottom"/>
            <w:tcBorders>
              <w:top w:val="single" w:sz="8" w:color="auto"/>
            </w:tcBorders>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160" w:type="dxa"/>
            <w:vAlign w:val="bottom"/>
          </w:tcPr>
          <w:p>
            <w:pPr>
              <w:jc w:val="right"/>
              <w:ind w:right="1001"/>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 However, the underwriters are not required to take or pay for the ordinary shares covered by the underwriter’s option to purchase additional ordinary shares described below.</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70"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 to the underwriters are true;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the selling shareholder deliver customary closing documents to the underwriters.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estimate that our expenses for the offering, excluding underwriting discounts and commissions, will be approximately $0.2 million. We have also agreed to reimburse the underwriters for expenses relating to clearance of this offering with the Financial Industry Regulatory Authority up to $15,000.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selling shareholder has granted the underwriters an option exercisable for 30 days after the date of this prospectus supplement to purchase, from time to time, in whole or in part, up to an aggregate of 637,500 shares from the selling shareholder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section.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all of our directors and executive officers and the selling shareholder, have agreed that, for a period of 60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2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980" w:hanging="324"/>
        <w:spacing w:after="0" w:line="288"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225"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ordinary shares shall result in a requirement for us, the selling shareholder or any underwriter to publish a prospectus pursuant to Article 3 of the Prospectus Directive or supplement a prospectus pursuant to Article 16 of the Prospectus Directive.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the selling shareholder and us that:</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22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Kornit Digital Ltd. incorporated by reference in this prospectus supplement by reference to Kornit Digital Ltd.’s annual report on Form 20-F for the year ended December 31, 2016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73"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http://www.sec.gov.</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maintain a corporate website at www.kornit.com.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later.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by reference into this prospectus supplement and the accompanying prospectus documents listed below and any future filings made with the SEC under Sections 13(a), 13(c), 14 or 15(d) of the Exchange Act, and, to the extent specifically designated therein, reports on Form 6-K we furnish to the SEC until we terminate the offering. In addition, we will incorporate by reference certain future materials furnished to the SEC on Form 6-K, but only to the extent specifically indicated in those submissions or in a future prospectus supplement.</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2016 filed with the SEC on March 30,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report of foreign private issuer on Form 6-K filed with the SEC on May 10, 2016 (solely with respect to the portions specified therein); and</w:t>
      </w:r>
    </w:p>
    <w:p>
      <w:pPr>
        <w:spacing w:after="0" w:line="248"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 of Ordinary Shares, Warrants, Rights, Debt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and/or Units Offered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 to 15,127,481 Ordinary Shares 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18005" cy="1149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800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2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selling shareholders identified in this prospectus may offer up to 15,127,481 ordinary shares. We will not receive any of the proceeds from the sale of ordinary shares by the selling shareholders.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are traded on the NASDAQ Global Select Market under the symbol “KRNT.” The closing price of our ordinary shares, as reported on the NASDAQ Global Select Market on December 30, 2016 was $12.65.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are an “emerging growth company” as defined under U.S. federal securities laws and, as such, may elect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123190</wp:posOffset>
            </wp:positionV>
            <wp:extent cx="18097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85725</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22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r>
      <w:tr>
        <w:trPr>
          <w:trHeight w:val="453"/>
        </w:trPr>
        <w:tc>
          <w:tcPr>
            <w:tcW w:w="4200" w:type="dxa"/>
            <w:vAlign w:val="bottom"/>
            <w:tcBorders>
              <w:bottom w:val="single" w:sz="8" w:color="CCEEFF"/>
            </w:tcBorders>
          </w:tcPr>
          <w:p>
            <w:pPr>
              <w:spacing w:after="0"/>
              <w:rPr>
                <w:sz w:val="24"/>
                <w:szCs w:val="24"/>
                <w:color w:val="auto"/>
              </w:rPr>
            </w:pPr>
          </w:p>
        </w:tc>
        <w:tc>
          <w:tcPr>
            <w:tcW w:w="64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64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Kornit Digital Ltd.</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Shareholders</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7220" w:type="dxa"/>
            <w:vAlign w:val="bottom"/>
            <w:gridSpan w:val="2"/>
          </w:tcPr>
          <w:p>
            <w:pPr>
              <w:jc w:val="center"/>
              <w:ind w:left="6330"/>
              <w:spacing w:after="0"/>
              <w:rPr>
                <w:sz w:val="20"/>
                <w:szCs w:val="20"/>
                <w:color w:val="auto"/>
              </w:rPr>
            </w:pPr>
            <w:r>
              <w:rPr>
                <w:rFonts w:ascii="Arial" w:cs="Arial" w:eastAsia="Arial" w:hAnsi="Arial"/>
                <w:sz w:val="18"/>
                <w:szCs w:val="18"/>
                <w:color w:val="auto"/>
                <w:w w:val="79"/>
              </w:rPr>
              <w:t>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7220" w:type="dxa"/>
            <w:vAlign w:val="bottom"/>
            <w:gridSpan w:val="2"/>
            <w:shd w:val="clear" w:color="auto" w:fill="CCEEFF"/>
          </w:tcPr>
          <w:p>
            <w:pPr>
              <w:jc w:val="center"/>
              <w:ind w:left="6330"/>
              <w:spacing w:after="0"/>
              <w:rPr>
                <w:sz w:val="20"/>
                <w:szCs w:val="20"/>
                <w:color w:val="auto"/>
              </w:rPr>
            </w:pPr>
            <w:r>
              <w:rPr>
                <w:rFonts w:ascii="Arial" w:cs="Arial" w:eastAsia="Arial" w:hAnsi="Arial"/>
                <w:sz w:val="18"/>
                <w:szCs w:val="18"/>
                <w:color w:val="auto"/>
                <w:w w:val="79"/>
              </w:rPr>
              <w:t>11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Description of Rights</w:t>
            </w:r>
          </w:p>
        </w:tc>
        <w:tc>
          <w:tcPr>
            <w:tcW w:w="7220" w:type="dxa"/>
            <w:vAlign w:val="bottom"/>
            <w:gridSpan w:val="2"/>
          </w:tcPr>
          <w:p>
            <w:pPr>
              <w:jc w:val="center"/>
              <w:ind w:left="6350"/>
              <w:spacing w:after="0"/>
              <w:rPr>
                <w:sz w:val="20"/>
                <w:szCs w:val="20"/>
                <w:color w:val="auto"/>
              </w:rPr>
            </w:pPr>
            <w:r>
              <w:rPr>
                <w:rFonts w:ascii="Arial" w:cs="Arial" w:eastAsia="Arial" w:hAnsi="Arial"/>
                <w:sz w:val="18"/>
                <w:szCs w:val="18"/>
                <w:color w:val="auto"/>
                <w:w w:val="89"/>
              </w:rPr>
              <w:t>12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7220" w:type="dxa"/>
            <w:vAlign w:val="bottom"/>
            <w:gridSpan w:val="2"/>
            <w:shd w:val="clear" w:color="auto" w:fill="CCEEFF"/>
          </w:tcPr>
          <w:p>
            <w:pPr>
              <w:jc w:val="center"/>
              <w:ind w:left="6350"/>
              <w:spacing w:after="0"/>
              <w:rPr>
                <w:sz w:val="20"/>
                <w:szCs w:val="20"/>
                <w:color w:val="auto"/>
              </w:rPr>
            </w:pPr>
            <w:r>
              <w:rPr>
                <w:rFonts w:ascii="Arial" w:cs="Arial" w:eastAsia="Arial" w:hAnsi="Arial"/>
                <w:sz w:val="18"/>
                <w:szCs w:val="18"/>
                <w:color w:val="auto"/>
                <w:w w:val="89"/>
              </w:rPr>
              <w:t>13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Description of Units</w:t>
            </w:r>
          </w:p>
        </w:tc>
        <w:tc>
          <w:tcPr>
            <w:tcW w:w="7220" w:type="dxa"/>
            <w:vAlign w:val="bottom"/>
            <w:gridSpan w:val="2"/>
          </w:tcPr>
          <w:p>
            <w:pPr>
              <w:jc w:val="center"/>
              <w:ind w:left="6350"/>
              <w:spacing w:after="0"/>
              <w:rPr>
                <w:sz w:val="20"/>
                <w:szCs w:val="20"/>
                <w:color w:val="auto"/>
              </w:rPr>
            </w:pPr>
            <w:r>
              <w:rPr>
                <w:rFonts w:ascii="Arial" w:cs="Arial" w:eastAsia="Arial" w:hAnsi="Arial"/>
                <w:sz w:val="18"/>
                <w:szCs w:val="18"/>
                <w:color w:val="auto"/>
                <w:w w:val="89"/>
              </w:rPr>
              <w:t>15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220" w:type="dxa"/>
            <w:vAlign w:val="bottom"/>
            <w:gridSpan w:val="2"/>
            <w:shd w:val="clear" w:color="auto" w:fill="CCEEFF"/>
          </w:tcPr>
          <w:p>
            <w:pPr>
              <w:jc w:val="center"/>
              <w:ind w:left="6350"/>
              <w:spacing w:after="0"/>
              <w:rPr>
                <w:sz w:val="20"/>
                <w:szCs w:val="20"/>
                <w:color w:val="auto"/>
              </w:rPr>
            </w:pPr>
            <w:r>
              <w:rPr>
                <w:rFonts w:ascii="Arial" w:cs="Arial" w:eastAsia="Arial" w:hAnsi="Arial"/>
                <w:sz w:val="18"/>
                <w:szCs w:val="18"/>
                <w:color w:val="auto"/>
                <w:w w:val="89"/>
              </w:rPr>
              <w:t>16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7220" w:type="dxa"/>
            <w:vAlign w:val="bottom"/>
            <w:gridSpan w:val="2"/>
          </w:tcPr>
          <w:p>
            <w:pPr>
              <w:jc w:val="center"/>
              <w:ind w:left="6350"/>
              <w:spacing w:after="0"/>
              <w:rPr>
                <w:sz w:val="20"/>
                <w:szCs w:val="20"/>
                <w:color w:val="auto"/>
              </w:rPr>
            </w:pPr>
            <w:r>
              <w:rPr>
                <w:rFonts w:ascii="Arial" w:cs="Arial" w:eastAsia="Arial" w:hAnsi="Arial"/>
                <w:sz w:val="18"/>
                <w:szCs w:val="18"/>
                <w:color w:val="auto"/>
                <w:w w:val="89"/>
              </w:rPr>
              <w:t>19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7220" w:type="dxa"/>
            <w:vAlign w:val="bottom"/>
            <w:gridSpan w:val="2"/>
            <w:shd w:val="clear" w:color="auto" w:fill="CCEEFF"/>
          </w:tcPr>
          <w:p>
            <w:pPr>
              <w:jc w:val="center"/>
              <w:ind w:left="6350"/>
              <w:spacing w:after="0"/>
              <w:rPr>
                <w:sz w:val="20"/>
                <w:szCs w:val="20"/>
                <w:color w:val="auto"/>
              </w:rPr>
            </w:pPr>
            <w:r>
              <w:rPr>
                <w:rFonts w:ascii="Arial" w:cs="Arial" w:eastAsia="Arial" w:hAnsi="Arial"/>
                <w:sz w:val="18"/>
                <w:szCs w:val="18"/>
                <w:color w:val="auto"/>
                <w:w w:val="89"/>
              </w:rPr>
              <w:t>20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Experts</w:t>
            </w:r>
          </w:p>
        </w:tc>
        <w:tc>
          <w:tcPr>
            <w:tcW w:w="7220" w:type="dxa"/>
            <w:vAlign w:val="bottom"/>
            <w:gridSpan w:val="2"/>
          </w:tcPr>
          <w:p>
            <w:pPr>
              <w:jc w:val="center"/>
              <w:ind w:left="6350"/>
              <w:spacing w:after="0"/>
              <w:rPr>
                <w:sz w:val="20"/>
                <w:szCs w:val="20"/>
                <w:color w:val="auto"/>
              </w:rPr>
            </w:pPr>
            <w:r>
              <w:rPr>
                <w:rFonts w:ascii="Arial" w:cs="Arial" w:eastAsia="Arial" w:hAnsi="Arial"/>
                <w:sz w:val="18"/>
                <w:szCs w:val="18"/>
                <w:color w:val="auto"/>
                <w:w w:val="89"/>
              </w:rPr>
              <w:t>20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7220" w:type="dxa"/>
            <w:vAlign w:val="bottom"/>
            <w:gridSpan w:val="2"/>
            <w:shd w:val="clear" w:color="auto" w:fill="CCEEFF"/>
          </w:tcPr>
          <w:p>
            <w:pPr>
              <w:jc w:val="center"/>
              <w:ind w:left="6350"/>
              <w:spacing w:after="0"/>
              <w:rPr>
                <w:sz w:val="20"/>
                <w:szCs w:val="20"/>
                <w:color w:val="auto"/>
              </w:rPr>
            </w:pPr>
            <w:r>
              <w:rPr>
                <w:rFonts w:ascii="Arial" w:cs="Arial" w:eastAsia="Arial" w:hAnsi="Arial"/>
                <w:sz w:val="18"/>
                <w:szCs w:val="18"/>
                <w:color w:val="auto"/>
                <w:w w:val="89"/>
              </w:rPr>
              <w:t>20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7220" w:type="dxa"/>
            <w:vAlign w:val="bottom"/>
            <w:gridSpan w:val="2"/>
          </w:tcPr>
          <w:p>
            <w:pPr>
              <w:jc w:val="center"/>
              <w:ind w:left="6350"/>
              <w:spacing w:after="0"/>
              <w:rPr>
                <w:sz w:val="20"/>
                <w:szCs w:val="20"/>
                <w:color w:val="auto"/>
              </w:rPr>
            </w:pPr>
            <w:r>
              <w:rPr>
                <w:rFonts w:ascii="Arial" w:cs="Arial" w:eastAsia="Arial" w:hAnsi="Arial"/>
                <w:sz w:val="18"/>
                <w:szCs w:val="18"/>
                <w:color w:val="auto"/>
                <w:w w:val="89"/>
              </w:rPr>
              <w:t>21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7220" w:type="dxa"/>
            <w:vAlign w:val="bottom"/>
            <w:gridSpan w:val="2"/>
            <w:shd w:val="clear" w:color="auto" w:fill="CCEEFF"/>
          </w:tcPr>
          <w:p>
            <w:pPr>
              <w:jc w:val="center"/>
              <w:ind w:left="6350"/>
              <w:spacing w:after="0"/>
              <w:rPr>
                <w:sz w:val="20"/>
                <w:szCs w:val="20"/>
                <w:color w:val="auto"/>
              </w:rPr>
            </w:pPr>
            <w:r>
              <w:rPr>
                <w:rFonts w:ascii="Arial" w:cs="Arial" w:eastAsia="Arial" w:hAnsi="Arial"/>
                <w:sz w:val="18"/>
                <w:szCs w:val="18"/>
                <w:color w:val="auto"/>
                <w:w w:val="89"/>
              </w:rPr>
              <w:t>22</w:t>
            </w:r>
          </w:p>
        </w:tc>
      </w:tr>
      <w:tr>
        <w:trPr>
          <w:trHeight w:val="709"/>
        </w:trPr>
        <w:tc>
          <w:tcPr>
            <w:tcW w:w="42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55"/>
        </w:trPr>
        <w:tc>
          <w:tcPr>
            <w:tcW w:w="47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47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43"/>
        </w:trPr>
        <w:tc>
          <w:tcPr>
            <w:tcW w:w="47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Ratio of earnings to fixed charges</w:t>
            </w:r>
            <w:r>
              <w:rPr>
                <w:rFonts w:ascii="Arial" w:cs="Arial" w:eastAsia="Arial" w:hAnsi="Arial"/>
                <w:sz w:val="28"/>
                <w:szCs w:val="28"/>
                <w:color w:val="auto"/>
                <w:vertAlign w:val="superscript"/>
              </w:rPr>
              <w:t>(1)</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8.78</w:t>
            </w:r>
          </w:p>
        </w:tc>
        <w:tc>
          <w:tcPr>
            <w:tcW w:w="7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5.54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80" w:hanging="372"/>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earnings to fixed charges is computed by dividing (i) income before income taxes plus fixed charges by (ii) 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3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Annual:</w:t>
            </w:r>
          </w:p>
        </w:tc>
        <w:tc>
          <w:tcPr>
            <w:tcW w:w="2140" w:type="dxa"/>
            <w:vAlign w:val="bottom"/>
          </w:tcPr>
          <w:p>
            <w:pPr>
              <w:spacing w:after="0"/>
              <w:rPr>
                <w:sz w:val="20"/>
                <w:szCs w:val="20"/>
                <w:color w:val="auto"/>
              </w:rPr>
            </w:pPr>
          </w:p>
        </w:tc>
        <w:tc>
          <w:tcPr>
            <w:tcW w:w="250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2015 (beginning April 2,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11.76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December 2016 (through December 30,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October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August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June 2016</w:t>
            </w:r>
          </w:p>
        </w:tc>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price of our ordinary shares, as reported on NASDAQ on December 30, 2016, was $12.65.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securities that may be offered by us from time to time, this prospectus relates to the possible offering and sale, from time to time, of up to 15,127,481 ordinary shares by the selling shareholders.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8"/>
              </w:rPr>
              <w:t>Shares Beneficially Owned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Shares Beneficially Owned</w:t>
            </w: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Prior to Offering</w:t>
            </w:r>
          </w:p>
        </w:tc>
        <w:tc>
          <w:tcPr>
            <w:tcW w:w="27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Number of Shares to be Offered</w:t>
            </w:r>
          </w:p>
        </w:tc>
        <w:tc>
          <w:tcPr>
            <w:tcW w:w="26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After Offering</w:t>
            </w:r>
          </w:p>
        </w:tc>
      </w:tr>
      <w:tr>
        <w:trPr>
          <w:trHeight w:val="237"/>
        </w:trPr>
        <w:tc>
          <w:tcPr>
            <w:tcW w:w="31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Selling Shareholders</w:t>
            </w:r>
          </w:p>
        </w:tc>
        <w:tc>
          <w:tcPr>
            <w:tcW w:w="10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Fortissimo Capital Fund II (Israel), L.P.</w:t>
            </w:r>
            <w:r>
              <w:rPr>
                <w:rFonts w:ascii="Arial" w:cs="Arial" w:eastAsia="Arial" w:hAnsi="Arial"/>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15,037,481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15,037,481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326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30"/>
                <w:szCs w:val="30"/>
                <w:color w:val="auto"/>
                <w:vertAlign w:val="superscript"/>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528,914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90,000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438,914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89" w:lineRule="exact"/>
        <w:rPr>
          <w:sz w:val="20"/>
          <w:szCs w:val="20"/>
          <w:color w:val="auto"/>
        </w:rPr>
      </w:pPr>
    </w:p>
    <w:p>
      <w:pPr>
        <w:jc w:val="both"/>
        <w:ind w:left="380" w:hanging="372"/>
        <w:spacing w:after="0" w:line="25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93"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or our articles and the Israeli Companies Law,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firstLine="648"/>
        <w:spacing w:after="0" w:line="269"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Israeli Companies Law and under our articles, shareholders are not permitted to take action by way of written consent in lieu of a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articles provide that all resolutions of our shareholders require a simple majority vote, unless otherwise required by the Israeli Companies Law or by our articles.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23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applicable, a discussion of the material Israeli and U.S. income tax considerations applicable to the issuance or exercise of such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date on which the right to exercise such rights shall commence, and the date on which such rights shall expire (subject to any extension);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or any agency agreement, that we may enter into in connection with the rights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denominations in which such debt securities may be issuable, if other than denomination of $1,000, or any integral multiple of that number;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70"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68"/>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87"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transactions may be effected on an exchange, if the securities are listed on that exchange, or in the over-the-counter market or otherwise.</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FINRA filing fee</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44,613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3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0"/>
                <w:szCs w:val="20"/>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1"/>
        </w:trPr>
        <w:tc>
          <w:tcPr>
            <w:tcW w:w="62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78"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67"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http://www.sec.gov.</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225"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May 5, 2016 (only the GAAP financial statements with respect to the quarter ended March 31, 2016 attached to the press release annexed as Exhibit 99.1 thereto);</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July 14, 2016;</w:t>
      </w:r>
    </w:p>
    <w:p>
      <w:pPr>
        <w:spacing w:after="0" w:line="225" w:lineRule="exact"/>
        <w:rPr>
          <w:rFonts w:ascii="Arial" w:cs="Arial" w:eastAsia="Arial" w:hAnsi="Arial"/>
          <w:sz w:val="18"/>
          <w:szCs w:val="18"/>
          <w:color w:val="auto"/>
        </w:rPr>
      </w:pPr>
    </w:p>
    <w:p>
      <w:pPr>
        <w:ind w:left="130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o August 3, 2016 (only the GAAP financial statements with respect to the quarter and six months ended June 30, 2016 attached to the press release annexed as Exhibit 99.1 thereto);</w:t>
      </w:r>
    </w:p>
    <w:p>
      <w:pPr>
        <w:spacing w:after="0" w:line="170"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November 9, 2016 (only the GAAP financial statements with respect to the quarter and nine months ended September 30, 2016 attached to the press release annexed as Exhibit 99.1 thereto); and</w:t>
      </w:r>
    </w:p>
    <w:p>
      <w:pPr>
        <w:spacing w:after="0" w:line="170" w:lineRule="exact"/>
        <w:rPr>
          <w:rFonts w:ascii="Arial" w:cs="Arial" w:eastAsia="Arial" w:hAnsi="Arial"/>
          <w:sz w:val="18"/>
          <w:szCs w:val="18"/>
          <w:color w:val="auto"/>
        </w:rPr>
      </w:pPr>
    </w:p>
    <w:p>
      <w:pPr>
        <w:ind w:left="1300" w:hanging="324"/>
        <w:spacing w:after="0" w:line="264" w:lineRule="auto"/>
        <w:rPr>
          <w:rFonts w:ascii="Arial" w:cs="Arial" w:eastAsia="Arial" w:hAnsi="Arial"/>
          <w:sz w:val="18"/>
          <w:szCs w:val="18"/>
          <w:color w:val="auto"/>
        </w:rPr>
      </w:pPr>
      <w:r>
        <w:rPr>
          <w:rFonts w:ascii="Arial" w:cs="Arial" w:eastAsia="Arial" w:hAnsi="Arial"/>
          <w:sz w:val="18"/>
          <w:szCs w:val="18"/>
          <w:color w:val="auto"/>
        </w:rPr>
        <w:t>o 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73"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4,250,000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148590</wp:posOffset>
            </wp:positionV>
            <wp:extent cx="1457960" cy="917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796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217" w:lineRule="exact"/>
        <w:rPr>
          <w:sz w:val="20"/>
          <w:szCs w:val="20"/>
          <w:color w:val="auto"/>
        </w:rPr>
      </w:pPr>
    </w:p>
    <w:p>
      <w:pPr>
        <w:spacing w:after="0"/>
        <w:tabs>
          <w:tab w:leader="none" w:pos="10200" w:val="left"/>
        </w:tabs>
        <w:rPr>
          <w:sz w:val="20"/>
          <w:szCs w:val="20"/>
          <w:color w:val="auto"/>
        </w:rPr>
      </w:pPr>
      <w:r>
        <w:rPr>
          <w:rFonts w:ascii="Arial" w:cs="Arial" w:eastAsia="Arial" w:hAnsi="Arial"/>
          <w:sz w:val="27"/>
          <w:szCs w:val="27"/>
          <w:b w:val="1"/>
          <w:bCs w:val="1"/>
          <w:color w:val="auto"/>
        </w:rPr>
        <w:t>Barclays</w:t>
      </w:r>
      <w:r>
        <w:rPr>
          <w:sz w:val="20"/>
          <w:szCs w:val="20"/>
          <w:color w:val="auto"/>
        </w:rPr>
        <w:tab/>
      </w:r>
      <w:r>
        <w:rPr>
          <w:rFonts w:ascii="Arial" w:cs="Arial" w:eastAsia="Arial" w:hAnsi="Arial"/>
          <w:sz w:val="27"/>
          <w:szCs w:val="27"/>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2019-12-08T01:51:31Z</dcterms:created>
  <dcterms:modified xsi:type="dcterms:W3CDTF">2019-12-08T01:51:31Z</dcterms:modified>
</cp:coreProperties>
</file>