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Arial" w:cs="Arial" w:eastAsia="Arial" w:hAnsi="Arial"/>
          <w:sz w:val="15"/>
          <w:szCs w:val="15"/>
          <w:b w:val="1"/>
          <w:bCs w:val="1"/>
          <w:color w:val="auto"/>
        </w:rPr>
        <w:t>As filed with the Securities and Exchange Commission on March 31, 2015</w:t>
      </w:r>
    </w:p>
    <w:p>
      <w:pPr>
        <w:spacing w:after="0" w:line="21" w:lineRule="exact"/>
        <w:rPr>
          <w:sz w:val="24"/>
          <w:szCs w:val="24"/>
          <w:color w:val="auto"/>
        </w:rPr>
      </w:pPr>
    </w:p>
    <w:p>
      <w:pPr>
        <w:jc w:val="right"/>
        <w:ind w:right="559"/>
        <w:spacing w:after="0"/>
        <w:rPr>
          <w:sz w:val="20"/>
          <w:szCs w:val="20"/>
          <w:color w:val="auto"/>
        </w:rPr>
      </w:pPr>
      <w:r>
        <w:rPr>
          <w:rFonts w:ascii="Arial" w:cs="Arial" w:eastAsia="Arial" w:hAnsi="Arial"/>
          <w:sz w:val="15"/>
          <w:szCs w:val="15"/>
          <w:b w:val="1"/>
          <w:bCs w:val="1"/>
          <w:color w:val="auto"/>
        </w:rPr>
        <w:t>Registration No. 333-202291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128905</wp:posOffset>
            </wp:positionV>
            <wp:extent cx="499935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9355" cy="1524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160020</wp:posOffset>
            </wp:positionV>
            <wp:extent cx="499935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9355" cy="1524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ectPr>
          <w:pgSz w:w="11900" w:h="16838" w:orient="portrait"/>
          <w:cols w:equalWidth="0" w:num="1">
            <w:col w:w="9019"/>
          </w:cols>
          <w:pgMar w:left="1440" w:top="49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left="1160"/>
        <w:spacing w:after="0"/>
        <w:rPr>
          <w:sz w:val="20"/>
          <w:szCs w:val="20"/>
          <w:color w:val="auto"/>
        </w:rPr>
      </w:pPr>
      <w:r>
        <w:rPr>
          <w:rFonts w:ascii="Arial" w:cs="Arial" w:eastAsia="Arial" w:hAnsi="Arial"/>
          <w:sz w:val="13"/>
          <w:szCs w:val="13"/>
          <w:b w:val="1"/>
          <w:bCs w:val="1"/>
          <w:color w:val="auto"/>
        </w:rPr>
        <w:t>State of Israel</w:t>
      </w:r>
    </w:p>
    <w:p>
      <w:pPr>
        <w:jc w:val="both"/>
        <w:ind w:left="1160" w:firstLine="34"/>
        <w:spacing w:after="0" w:line="257" w:lineRule="auto"/>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740"/>
        <w:spacing w:after="0"/>
        <w:rPr>
          <w:sz w:val="20"/>
          <w:szCs w:val="20"/>
          <w:color w:val="auto"/>
        </w:rPr>
      </w:pPr>
      <w:r>
        <w:rPr>
          <w:rFonts w:ascii="Arial" w:cs="Arial" w:eastAsia="Arial" w:hAnsi="Arial"/>
          <w:sz w:val="13"/>
          <w:szCs w:val="13"/>
          <w:color w:val="auto"/>
        </w:rPr>
        <w:t>______________________</w:t>
      </w:r>
    </w:p>
    <w:p>
      <w:pPr>
        <w:spacing w:after="0" w:line="153" w:lineRule="exact"/>
        <w:rPr>
          <w:sz w:val="24"/>
          <w:szCs w:val="24"/>
          <w:color w:val="auto"/>
        </w:rPr>
      </w:pPr>
    </w:p>
    <w:p>
      <w:pPr>
        <w:jc w:val="center"/>
        <w:ind w:right="3099"/>
        <w:spacing w:after="0"/>
        <w:rPr>
          <w:sz w:val="20"/>
          <w:szCs w:val="20"/>
          <w:color w:val="auto"/>
        </w:rPr>
      </w:pPr>
      <w:r>
        <w:rPr>
          <w:rFonts w:ascii="Arial" w:cs="Arial" w:eastAsia="Arial" w:hAnsi="Arial"/>
          <w:sz w:val="16"/>
          <w:szCs w:val="16"/>
          <w:b w:val="1"/>
          <w:bCs w:val="1"/>
          <w:color w:val="auto"/>
        </w:rPr>
        <w:t>AMENDMENT NO. 6</w:t>
      </w:r>
    </w:p>
    <w:p>
      <w:pPr>
        <w:spacing w:after="0" w:line="26" w:lineRule="exact"/>
        <w:rPr>
          <w:sz w:val="24"/>
          <w:szCs w:val="24"/>
          <w:color w:val="auto"/>
        </w:rPr>
      </w:pPr>
    </w:p>
    <w:p>
      <w:pPr>
        <w:jc w:val="center"/>
        <w:ind w:right="3059"/>
        <w:spacing w:after="0"/>
        <w:rPr>
          <w:sz w:val="20"/>
          <w:szCs w:val="20"/>
          <w:color w:val="auto"/>
        </w:rPr>
      </w:pPr>
      <w:r>
        <w:rPr>
          <w:rFonts w:ascii="Arial" w:cs="Arial" w:eastAsia="Arial" w:hAnsi="Arial"/>
          <w:sz w:val="16"/>
          <w:szCs w:val="16"/>
          <w:b w:val="1"/>
          <w:bCs w:val="1"/>
          <w:color w:val="auto"/>
        </w:rPr>
        <w:t>TO</w:t>
      </w:r>
    </w:p>
    <w:p>
      <w:pPr>
        <w:spacing w:after="0" w:line="10" w:lineRule="exact"/>
        <w:rPr>
          <w:sz w:val="24"/>
          <w:szCs w:val="24"/>
          <w:color w:val="auto"/>
        </w:rPr>
      </w:pPr>
    </w:p>
    <w:p>
      <w:pPr>
        <w:jc w:val="center"/>
        <w:ind w:right="3059"/>
        <w:spacing w:after="0"/>
        <w:rPr>
          <w:sz w:val="20"/>
          <w:szCs w:val="20"/>
          <w:color w:val="auto"/>
        </w:rPr>
      </w:pPr>
      <w:r>
        <w:rPr>
          <w:rFonts w:ascii="Arial" w:cs="Arial" w:eastAsia="Arial" w:hAnsi="Arial"/>
          <w:sz w:val="16"/>
          <w:szCs w:val="16"/>
          <w:b w:val="1"/>
          <w:bCs w:val="1"/>
          <w:color w:val="auto"/>
        </w:rPr>
        <w:t>FORM F-1</w:t>
      </w:r>
    </w:p>
    <w:p>
      <w:pPr>
        <w:spacing w:after="0" w:line="10" w:lineRule="exact"/>
        <w:rPr>
          <w:sz w:val="24"/>
          <w:szCs w:val="24"/>
          <w:color w:val="auto"/>
        </w:rPr>
      </w:pPr>
    </w:p>
    <w:p>
      <w:pPr>
        <w:jc w:val="center"/>
        <w:ind w:right="3059"/>
        <w:spacing w:after="0"/>
        <w:rPr>
          <w:sz w:val="20"/>
          <w:szCs w:val="20"/>
          <w:color w:val="auto"/>
        </w:rPr>
      </w:pPr>
      <w:r>
        <w:rPr>
          <w:rFonts w:ascii="Arial" w:cs="Arial" w:eastAsia="Arial" w:hAnsi="Arial"/>
          <w:sz w:val="16"/>
          <w:szCs w:val="16"/>
          <w:b w:val="1"/>
          <w:bCs w:val="1"/>
          <w:color w:val="auto"/>
        </w:rPr>
        <w:t>REGISTRATION STATEMENT UNDER</w:t>
      </w:r>
    </w:p>
    <w:p>
      <w:pPr>
        <w:spacing w:after="0" w:line="10" w:lineRule="exact"/>
        <w:rPr>
          <w:sz w:val="24"/>
          <w:szCs w:val="24"/>
          <w:color w:val="auto"/>
        </w:rPr>
      </w:pPr>
    </w:p>
    <w:p>
      <w:pPr>
        <w:jc w:val="center"/>
        <w:ind w:right="3059"/>
        <w:spacing w:after="0"/>
        <w:rPr>
          <w:sz w:val="20"/>
          <w:szCs w:val="20"/>
          <w:color w:val="auto"/>
        </w:rPr>
      </w:pPr>
      <w:r>
        <w:rPr>
          <w:rFonts w:ascii="Arial" w:cs="Arial" w:eastAsia="Arial" w:hAnsi="Arial"/>
          <w:sz w:val="16"/>
          <w:szCs w:val="16"/>
          <w:b w:val="1"/>
          <w:bCs w:val="1"/>
          <w:color w:val="auto"/>
        </w:rPr>
        <w:t>THE SECURITIES ACT OF 1933</w:t>
      </w:r>
    </w:p>
    <w:p>
      <w:pPr>
        <w:spacing w:after="0" w:line="18" w:lineRule="exact"/>
        <w:rPr>
          <w:sz w:val="24"/>
          <w:szCs w:val="24"/>
          <w:color w:val="auto"/>
        </w:rPr>
      </w:pPr>
    </w:p>
    <w:p>
      <w:pPr>
        <w:ind w:left="740"/>
        <w:spacing w:after="0"/>
        <w:rPr>
          <w:sz w:val="20"/>
          <w:szCs w:val="20"/>
          <w:color w:val="auto"/>
        </w:rPr>
      </w:pPr>
      <w:r>
        <w:rPr>
          <w:rFonts w:ascii="Arial" w:cs="Arial" w:eastAsia="Arial" w:hAnsi="Arial"/>
          <w:sz w:val="13"/>
          <w:szCs w:val="13"/>
          <w:color w:val="auto"/>
        </w:rPr>
        <w:t>______________________</w:t>
      </w:r>
    </w:p>
    <w:p>
      <w:pPr>
        <w:spacing w:after="0" w:line="143" w:lineRule="exact"/>
        <w:rPr>
          <w:sz w:val="24"/>
          <w:szCs w:val="24"/>
          <w:color w:val="auto"/>
        </w:rPr>
      </w:pPr>
    </w:p>
    <w:p>
      <w:pPr>
        <w:ind w:left="20"/>
        <w:spacing w:after="0"/>
        <w:rPr>
          <w:sz w:val="20"/>
          <w:szCs w:val="20"/>
          <w:color w:val="auto"/>
        </w:rPr>
      </w:pPr>
      <w:r>
        <w:rPr>
          <w:rFonts w:ascii="Arial" w:cs="Arial" w:eastAsia="Arial" w:hAnsi="Arial"/>
          <w:sz w:val="26"/>
          <w:szCs w:val="26"/>
          <w:b w:val="1"/>
          <w:bCs w:val="1"/>
          <w:color w:val="auto"/>
        </w:rPr>
        <w:t>KORNIT DIGITAL LTD.</w:t>
      </w:r>
    </w:p>
    <w:p>
      <w:pPr>
        <w:jc w:val="center"/>
        <w:ind w:right="3059"/>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13"/>
          <w:szCs w:val="13"/>
          <w:color w:val="auto"/>
        </w:rPr>
        <w:t>______________________</w:t>
      </w:r>
    </w:p>
    <w:p>
      <w:pPr>
        <w:spacing w:after="0" w:line="113" w:lineRule="exact"/>
        <w:rPr>
          <w:sz w:val="24"/>
          <w:szCs w:val="24"/>
          <w:color w:val="auto"/>
        </w:rPr>
      </w:pPr>
    </w:p>
    <w:tbl>
      <w:tblPr>
        <w:tblLayout w:type="fixed"/>
        <w:tblInd w:w="800" w:type="dxa"/>
        <w:tblCellMar>
          <w:top w:w="0" w:type="dxa"/>
          <w:left w:w="0" w:type="dxa"/>
          <w:bottom w:w="0" w:type="dxa"/>
          <w:right w:w="0" w:type="dxa"/>
        </w:tblCellMar>
      </w:tblPr>
      <w:tr>
        <w:trPr>
          <w:trHeight w:val="165"/>
        </w:trPr>
        <w:tc>
          <w:tcPr>
            <w:tcW w:w="2160" w:type="dxa"/>
            <w:vAlign w:val="bottom"/>
          </w:tcPr>
          <w:p>
            <w:pPr>
              <w:jc w:val="right"/>
              <w:ind w:right="1215"/>
              <w:spacing w:after="0"/>
              <w:rPr>
                <w:sz w:val="20"/>
                <w:szCs w:val="20"/>
                <w:color w:val="auto"/>
              </w:rPr>
            </w:pPr>
            <w:r>
              <w:rPr>
                <w:rFonts w:ascii="Arial" w:cs="Arial" w:eastAsia="Arial" w:hAnsi="Arial"/>
                <w:sz w:val="13"/>
                <w:szCs w:val="13"/>
                <w:b w:val="1"/>
                <w:bCs w:val="1"/>
                <w:color w:val="auto"/>
              </w:rPr>
              <w:t>3555</w:t>
            </w:r>
          </w:p>
        </w:tc>
        <w:tc>
          <w:tcPr>
            <w:tcW w:w="1620" w:type="dxa"/>
            <w:vAlign w:val="bottom"/>
          </w:tcPr>
          <w:p>
            <w:pPr>
              <w:jc w:val="center"/>
              <w:ind w:left="577"/>
              <w:spacing w:after="0"/>
              <w:rPr>
                <w:sz w:val="20"/>
                <w:szCs w:val="20"/>
                <w:color w:val="auto"/>
              </w:rPr>
            </w:pPr>
            <w:r>
              <w:rPr>
                <w:rFonts w:ascii="Arial" w:cs="Arial" w:eastAsia="Arial" w:hAnsi="Arial"/>
                <w:sz w:val="13"/>
                <w:szCs w:val="13"/>
                <w:b w:val="1"/>
                <w:bCs w:val="1"/>
                <w:color w:val="auto"/>
                <w:w w:val="90"/>
              </w:rPr>
              <w:t>Not Applicable</w:t>
            </w:r>
          </w:p>
        </w:tc>
        <w:tc>
          <w:tcPr>
            <w:tcW w:w="0" w:type="dxa"/>
            <w:vAlign w:val="bottom"/>
          </w:tcPr>
          <w:p>
            <w:pPr>
              <w:spacing w:after="0"/>
              <w:rPr>
                <w:sz w:val="1"/>
                <w:szCs w:val="1"/>
                <w:color w:val="auto"/>
              </w:rPr>
            </w:pPr>
          </w:p>
        </w:tc>
      </w:tr>
      <w:tr>
        <w:trPr>
          <w:trHeight w:val="105"/>
        </w:trPr>
        <w:tc>
          <w:tcPr>
            <w:tcW w:w="2160" w:type="dxa"/>
            <w:vAlign w:val="bottom"/>
            <w:vMerge w:val="restart"/>
          </w:tcPr>
          <w:p>
            <w:pPr>
              <w:spacing w:after="0"/>
              <w:rPr>
                <w:sz w:val="20"/>
                <w:szCs w:val="20"/>
                <w:color w:val="auto"/>
              </w:rPr>
            </w:pPr>
            <w:r>
              <w:rPr>
                <w:rFonts w:ascii="Arial" w:cs="Arial" w:eastAsia="Arial" w:hAnsi="Arial"/>
                <w:sz w:val="13"/>
                <w:szCs w:val="13"/>
                <w:i w:val="1"/>
                <w:iCs w:val="1"/>
                <w:color w:val="auto"/>
              </w:rPr>
              <w:t>(Primary Standard Industrial</w:t>
            </w:r>
          </w:p>
        </w:tc>
        <w:tc>
          <w:tcPr>
            <w:tcW w:w="1620" w:type="dxa"/>
            <w:vAlign w:val="bottom"/>
          </w:tcPr>
          <w:p>
            <w:pPr>
              <w:jc w:val="center"/>
              <w:ind w:left="577"/>
              <w:spacing w:after="0" w:line="105" w:lineRule="exact"/>
              <w:rPr>
                <w:sz w:val="20"/>
                <w:szCs w:val="20"/>
                <w:color w:val="auto"/>
              </w:rPr>
            </w:pPr>
            <w:r>
              <w:rPr>
                <w:rFonts w:ascii="Arial" w:cs="Arial" w:eastAsia="Arial" w:hAnsi="Arial"/>
                <w:sz w:val="12"/>
                <w:szCs w:val="12"/>
                <w:i w:val="1"/>
                <w:iCs w:val="1"/>
                <w:color w:val="auto"/>
                <w:w w:val="97"/>
              </w:rPr>
              <w:t>(I.R.S. Employer</w:t>
            </w: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1620" w:type="dxa"/>
            <w:vAlign w:val="bottom"/>
            <w:vMerge w:val="restart"/>
          </w:tcPr>
          <w:p>
            <w:pPr>
              <w:jc w:val="center"/>
              <w:ind w:left="597"/>
              <w:spacing w:after="0"/>
              <w:rPr>
                <w:sz w:val="20"/>
                <w:szCs w:val="20"/>
                <w:color w:val="auto"/>
              </w:rPr>
            </w:pPr>
            <w:r>
              <w:rPr>
                <w:rFonts w:ascii="Arial" w:cs="Arial" w:eastAsia="Arial" w:hAnsi="Arial"/>
                <w:sz w:val="13"/>
                <w:szCs w:val="13"/>
                <w:i w:val="1"/>
                <w:iCs w:val="1"/>
                <w:color w:val="auto"/>
                <w:w w:val="94"/>
              </w:rPr>
              <w:t>Identification No.)</w:t>
            </w:r>
          </w:p>
        </w:tc>
        <w:tc>
          <w:tcPr>
            <w:tcW w:w="0" w:type="dxa"/>
            <w:vAlign w:val="bottom"/>
          </w:tcPr>
          <w:p>
            <w:pPr>
              <w:spacing w:after="0"/>
              <w:rPr>
                <w:sz w:val="1"/>
                <w:szCs w:val="1"/>
                <w:color w:val="auto"/>
              </w:rPr>
            </w:pPr>
          </w:p>
        </w:tc>
      </w:tr>
      <w:tr>
        <w:trPr>
          <w:trHeight w:val="102"/>
        </w:trPr>
        <w:tc>
          <w:tcPr>
            <w:tcW w:w="2160" w:type="dxa"/>
            <w:vAlign w:val="bottom"/>
            <w:vMerge w:val="restart"/>
          </w:tcPr>
          <w:p>
            <w:pPr>
              <w:spacing w:after="0"/>
              <w:rPr>
                <w:sz w:val="20"/>
                <w:szCs w:val="20"/>
                <w:color w:val="auto"/>
              </w:rPr>
            </w:pPr>
            <w:r>
              <w:rPr>
                <w:rFonts w:ascii="Arial" w:cs="Arial" w:eastAsia="Arial" w:hAnsi="Arial"/>
                <w:sz w:val="13"/>
                <w:szCs w:val="13"/>
                <w:i w:val="1"/>
                <w:iCs w:val="1"/>
                <w:color w:val="auto"/>
              </w:rPr>
              <w:t>Classification Code Number)</w:t>
            </w: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16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2800" w:space="260"/>
            <w:col w:w="5959"/>
          </w:cols>
          <w:pgMar w:left="1440" w:top="491" w:right="1440" w:bottom="1440" w:gutter="0" w:footer="0" w:header="0"/>
          <w:type w:val="continuous"/>
        </w:sectPr>
      </w:pPr>
    </w:p>
    <w:p>
      <w:pPr>
        <w:spacing w:after="0" w:line="14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Kornit Digital Ltd.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12 Ha`Amal Street, Afek Park,</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Rosh-Ha`Ayin 4809246, Israel</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Tel: +972-3-908-5800</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i w:val="1"/>
          <w:iCs w:val="1"/>
          <w:color w:val="auto"/>
        </w:rPr>
        <w:t>(Address, including zip code, and telephone number, including area code, of Registrant’s principal executive offices)</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Kornit Digital North America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10541-10601 North Commerce Street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Mequon, WI 53092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(262) 518-0200</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i w:val="1"/>
          <w:iCs w:val="1"/>
          <w:color w:val="auto"/>
        </w:rPr>
        <w:t>(Name, address, including zip code, and telephone number, including area code, of agent for service)</w:t>
      </w:r>
    </w:p>
    <w:p>
      <w:pPr>
        <w:spacing w:after="0" w:line="141" w:lineRule="exact"/>
        <w:rPr>
          <w:sz w:val="24"/>
          <w:szCs w:val="24"/>
          <w:color w:val="auto"/>
        </w:rPr>
      </w:pPr>
    </w:p>
    <w:tbl>
      <w:tblPr>
        <w:tblLayout w:type="fixed"/>
        <w:tblInd w:w="740" w:type="dxa"/>
        <w:tblCellMar>
          <w:top w:w="0" w:type="dxa"/>
          <w:left w:w="0" w:type="dxa"/>
          <w:bottom w:w="0" w:type="dxa"/>
          <w:right w:w="0" w:type="dxa"/>
        </w:tblCellMar>
      </w:tblPr>
      <w:tr>
        <w:trPr>
          <w:trHeight w:val="163"/>
        </w:trPr>
        <w:tc>
          <w:tcPr>
            <w:tcW w:w="1720" w:type="dxa"/>
            <w:vAlign w:val="bottom"/>
          </w:tcPr>
          <w:p>
            <w:pPr>
              <w:spacing w:after="0"/>
              <w:rPr>
                <w:sz w:val="14"/>
                <w:szCs w:val="14"/>
                <w:color w:val="auto"/>
              </w:rPr>
            </w:pPr>
          </w:p>
        </w:tc>
        <w:tc>
          <w:tcPr>
            <w:tcW w:w="4120" w:type="dxa"/>
            <w:vAlign w:val="bottom"/>
            <w:gridSpan w:val="2"/>
          </w:tcPr>
          <w:p>
            <w:pPr>
              <w:jc w:val="right"/>
              <w:ind w:right="1295"/>
              <w:spacing w:after="0"/>
              <w:rPr>
                <w:sz w:val="20"/>
                <w:szCs w:val="20"/>
                <w:color w:val="auto"/>
              </w:rPr>
            </w:pPr>
            <w:r>
              <w:rPr>
                <w:rFonts w:ascii="Arial" w:cs="Arial" w:eastAsia="Arial" w:hAnsi="Arial"/>
                <w:sz w:val="13"/>
                <w:szCs w:val="13"/>
                <w:color w:val="auto"/>
              </w:rPr>
              <w:t>______________________</w:t>
            </w:r>
          </w:p>
        </w:tc>
        <w:tc>
          <w:tcPr>
            <w:tcW w:w="1720" w:type="dxa"/>
            <w:vAlign w:val="bottom"/>
          </w:tcPr>
          <w:p>
            <w:pPr>
              <w:spacing w:after="0"/>
              <w:rPr>
                <w:sz w:val="14"/>
                <w:szCs w:val="14"/>
                <w:color w:val="auto"/>
              </w:rPr>
            </w:pPr>
          </w:p>
        </w:tc>
      </w:tr>
      <w:tr>
        <w:trPr>
          <w:trHeight w:val="218"/>
        </w:trPr>
        <w:tc>
          <w:tcPr>
            <w:tcW w:w="1720" w:type="dxa"/>
            <w:vAlign w:val="bottom"/>
          </w:tcPr>
          <w:p>
            <w:pPr>
              <w:spacing w:after="0"/>
              <w:rPr>
                <w:sz w:val="18"/>
                <w:szCs w:val="18"/>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89"/>
              </w:rPr>
              <w:t>Copies of all correspondence to:</w:t>
            </w:r>
          </w:p>
        </w:tc>
        <w:tc>
          <w:tcPr>
            <w:tcW w:w="1720" w:type="dxa"/>
            <w:vAlign w:val="bottom"/>
          </w:tcPr>
          <w:p>
            <w:pPr>
              <w:spacing w:after="0"/>
              <w:rPr>
                <w:sz w:val="18"/>
                <w:szCs w:val="18"/>
                <w:color w:val="auto"/>
              </w:rPr>
            </w:pPr>
          </w:p>
        </w:tc>
      </w:tr>
      <w:tr>
        <w:trPr>
          <w:trHeight w:val="233"/>
        </w:trPr>
        <w:tc>
          <w:tcPr>
            <w:tcW w:w="172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Colin J. Diamond, Esq</w:t>
            </w: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3"/>
              </w:rPr>
              <w:t>Clifford M. J. Felig, Adv.</w:t>
            </w: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88"/>
              </w:rPr>
              <w:t>David Goldschmidt, Esq.</w:t>
            </w:r>
          </w:p>
        </w:tc>
        <w:tc>
          <w:tcPr>
            <w:tcW w:w="1720" w:type="dxa"/>
            <w:vAlign w:val="bottom"/>
          </w:tcPr>
          <w:p>
            <w:pPr>
              <w:jc w:val="center"/>
              <w:ind w:left="75"/>
              <w:spacing w:after="0"/>
              <w:rPr>
                <w:sz w:val="20"/>
                <w:szCs w:val="20"/>
                <w:color w:val="auto"/>
              </w:rPr>
            </w:pPr>
            <w:r>
              <w:rPr>
                <w:rFonts w:ascii="Arial" w:cs="Arial" w:eastAsia="Arial" w:hAnsi="Arial"/>
                <w:sz w:val="13"/>
                <w:szCs w:val="13"/>
                <w:b w:val="1"/>
                <w:bCs w:val="1"/>
                <w:color w:val="auto"/>
                <w:w w:val="89"/>
              </w:rPr>
              <w:t>Shachar Hadar, Adv.</w:t>
            </w:r>
          </w:p>
        </w:tc>
      </w:tr>
      <w:tr>
        <w:trPr>
          <w:trHeight w:val="133"/>
        </w:trPr>
        <w:tc>
          <w:tcPr>
            <w:tcW w:w="1720" w:type="dxa"/>
            <w:vAlign w:val="bottom"/>
          </w:tcPr>
          <w:p>
            <w:pPr>
              <w:jc w:val="center"/>
              <w:ind w:right="55"/>
              <w:spacing w:after="0" w:line="133" w:lineRule="exact"/>
              <w:rPr>
                <w:sz w:val="20"/>
                <w:szCs w:val="20"/>
                <w:color w:val="auto"/>
              </w:rPr>
            </w:pPr>
            <w:r>
              <w:rPr>
                <w:rFonts w:ascii="Arial" w:cs="Arial" w:eastAsia="Arial" w:hAnsi="Arial"/>
                <w:sz w:val="13"/>
                <w:szCs w:val="13"/>
                <w:b w:val="1"/>
                <w:bCs w:val="1"/>
                <w:color w:val="auto"/>
                <w:w w:val="90"/>
              </w:rPr>
              <w:t>Joshua G. Kiernan, Esq.</w:t>
            </w:r>
          </w:p>
        </w:tc>
        <w:tc>
          <w:tcPr>
            <w:tcW w:w="20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Aviv Avidan-Shalit, Adv.</w:t>
            </w:r>
          </w:p>
        </w:tc>
        <w:tc>
          <w:tcPr>
            <w:tcW w:w="21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Phyllis G. Korff, Esq.</w:t>
            </w:r>
          </w:p>
        </w:tc>
        <w:tc>
          <w:tcPr>
            <w:tcW w:w="1720" w:type="dxa"/>
            <w:vAlign w:val="bottom"/>
          </w:tcPr>
          <w:p>
            <w:pPr>
              <w:jc w:val="center"/>
              <w:ind w:left="75"/>
              <w:spacing w:after="0" w:line="133" w:lineRule="exact"/>
              <w:rPr>
                <w:sz w:val="20"/>
                <w:szCs w:val="20"/>
                <w:color w:val="auto"/>
              </w:rPr>
            </w:pPr>
            <w:r>
              <w:rPr>
                <w:rFonts w:ascii="Arial" w:cs="Arial" w:eastAsia="Arial" w:hAnsi="Arial"/>
                <w:sz w:val="13"/>
                <w:szCs w:val="13"/>
                <w:b w:val="1"/>
                <w:bCs w:val="1"/>
                <w:color w:val="auto"/>
                <w:w w:val="90"/>
              </w:rPr>
              <w:t>Gross, Kleinhendler, Hodak,</w:t>
            </w:r>
          </w:p>
        </w:tc>
      </w:tr>
      <w:tr>
        <w:trPr>
          <w:trHeight w:val="133"/>
        </w:trPr>
        <w:tc>
          <w:tcPr>
            <w:tcW w:w="1720" w:type="dxa"/>
            <w:vAlign w:val="bottom"/>
          </w:tcPr>
          <w:p>
            <w:pPr>
              <w:jc w:val="center"/>
              <w:ind w:right="55"/>
              <w:spacing w:after="0" w:line="133" w:lineRule="exact"/>
              <w:rPr>
                <w:sz w:val="20"/>
                <w:szCs w:val="20"/>
                <w:color w:val="auto"/>
              </w:rPr>
            </w:pPr>
            <w:r>
              <w:rPr>
                <w:rFonts w:ascii="Arial" w:cs="Arial" w:eastAsia="Arial" w:hAnsi="Arial"/>
                <w:sz w:val="13"/>
                <w:szCs w:val="13"/>
                <w:b w:val="1"/>
                <w:bCs w:val="1"/>
                <w:color w:val="auto"/>
                <w:w w:val="93"/>
              </w:rPr>
              <w:t>White &amp; Case LLP</w:t>
            </w:r>
          </w:p>
        </w:tc>
        <w:tc>
          <w:tcPr>
            <w:tcW w:w="20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2"/>
              </w:rPr>
              <w:t>Meitar Liquornik Geva Leshem</w:t>
            </w:r>
          </w:p>
        </w:tc>
        <w:tc>
          <w:tcPr>
            <w:tcW w:w="21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Skadden, Arps, Slate, Meagher &amp;</w:t>
            </w:r>
          </w:p>
        </w:tc>
        <w:tc>
          <w:tcPr>
            <w:tcW w:w="1720" w:type="dxa"/>
            <w:vAlign w:val="bottom"/>
          </w:tcPr>
          <w:p>
            <w:pPr>
              <w:jc w:val="center"/>
              <w:ind w:left="95"/>
              <w:spacing w:after="0" w:line="133" w:lineRule="exact"/>
              <w:rPr>
                <w:sz w:val="20"/>
                <w:szCs w:val="20"/>
                <w:color w:val="auto"/>
              </w:rPr>
            </w:pPr>
            <w:r>
              <w:rPr>
                <w:rFonts w:ascii="Arial" w:cs="Arial" w:eastAsia="Arial" w:hAnsi="Arial"/>
                <w:sz w:val="13"/>
                <w:szCs w:val="13"/>
                <w:b w:val="1"/>
                <w:bCs w:val="1"/>
                <w:color w:val="auto"/>
                <w:w w:val="91"/>
              </w:rPr>
              <w:t>Halevy, Greenberg &amp; Co.</w:t>
            </w:r>
          </w:p>
        </w:tc>
      </w:tr>
      <w:tr>
        <w:trPr>
          <w:trHeight w:val="133"/>
        </w:trPr>
        <w:tc>
          <w:tcPr>
            <w:tcW w:w="1720" w:type="dxa"/>
            <w:vAlign w:val="bottom"/>
          </w:tcPr>
          <w:p>
            <w:pPr>
              <w:jc w:val="center"/>
              <w:ind w:right="55"/>
              <w:spacing w:after="0" w:line="133" w:lineRule="exact"/>
              <w:rPr>
                <w:sz w:val="20"/>
                <w:szCs w:val="20"/>
                <w:color w:val="auto"/>
              </w:rPr>
            </w:pPr>
            <w:r>
              <w:rPr>
                <w:rFonts w:ascii="Arial" w:cs="Arial" w:eastAsia="Arial" w:hAnsi="Arial"/>
                <w:sz w:val="13"/>
                <w:szCs w:val="13"/>
                <w:b w:val="1"/>
                <w:bCs w:val="1"/>
                <w:color w:val="auto"/>
                <w:w w:val="88"/>
              </w:rPr>
              <w:t>1155 Avenue of the Americas</w:t>
            </w:r>
          </w:p>
        </w:tc>
        <w:tc>
          <w:tcPr>
            <w:tcW w:w="20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Tal</w:t>
            </w:r>
          </w:p>
        </w:tc>
        <w:tc>
          <w:tcPr>
            <w:tcW w:w="21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4"/>
              </w:rPr>
              <w:t>Flom LLP</w:t>
            </w:r>
          </w:p>
        </w:tc>
        <w:tc>
          <w:tcPr>
            <w:tcW w:w="1720" w:type="dxa"/>
            <w:vAlign w:val="bottom"/>
          </w:tcPr>
          <w:p>
            <w:pPr>
              <w:jc w:val="center"/>
              <w:ind w:left="75"/>
              <w:spacing w:after="0" w:line="133" w:lineRule="exact"/>
              <w:rPr>
                <w:sz w:val="20"/>
                <w:szCs w:val="20"/>
                <w:color w:val="auto"/>
              </w:rPr>
            </w:pPr>
            <w:r>
              <w:rPr>
                <w:rFonts w:ascii="Arial" w:cs="Arial" w:eastAsia="Arial" w:hAnsi="Arial"/>
                <w:sz w:val="13"/>
                <w:szCs w:val="13"/>
                <w:b w:val="1"/>
                <w:bCs w:val="1"/>
                <w:color w:val="auto"/>
                <w:w w:val="94"/>
              </w:rPr>
              <w:t>One Azrieli Center</w:t>
            </w:r>
          </w:p>
        </w:tc>
      </w:tr>
      <w:tr>
        <w:trPr>
          <w:trHeight w:val="133"/>
        </w:trPr>
        <w:tc>
          <w:tcPr>
            <w:tcW w:w="1720" w:type="dxa"/>
            <w:vAlign w:val="bottom"/>
          </w:tcPr>
          <w:p>
            <w:pPr>
              <w:jc w:val="center"/>
              <w:ind w:right="55"/>
              <w:spacing w:after="0" w:line="133" w:lineRule="exact"/>
              <w:rPr>
                <w:sz w:val="20"/>
                <w:szCs w:val="20"/>
                <w:color w:val="auto"/>
              </w:rPr>
            </w:pPr>
            <w:r>
              <w:rPr>
                <w:rFonts w:ascii="Arial" w:cs="Arial" w:eastAsia="Arial" w:hAnsi="Arial"/>
                <w:sz w:val="13"/>
                <w:szCs w:val="13"/>
                <w:b w:val="1"/>
                <w:bCs w:val="1"/>
                <w:color w:val="auto"/>
                <w:w w:val="93"/>
              </w:rPr>
              <w:t>New York, NY 10036</w:t>
            </w:r>
          </w:p>
        </w:tc>
        <w:tc>
          <w:tcPr>
            <w:tcW w:w="20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2"/>
              </w:rPr>
              <w:t>16 Abba Hillel Silver Rd.</w:t>
            </w:r>
          </w:p>
        </w:tc>
        <w:tc>
          <w:tcPr>
            <w:tcW w:w="21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7"/>
              </w:rPr>
              <w:t>4 Times Square</w:t>
            </w:r>
          </w:p>
        </w:tc>
        <w:tc>
          <w:tcPr>
            <w:tcW w:w="1720" w:type="dxa"/>
            <w:vAlign w:val="bottom"/>
          </w:tcPr>
          <w:p>
            <w:pPr>
              <w:jc w:val="center"/>
              <w:ind w:left="75"/>
              <w:spacing w:after="0" w:line="133" w:lineRule="exact"/>
              <w:rPr>
                <w:sz w:val="20"/>
                <w:szCs w:val="20"/>
                <w:color w:val="auto"/>
              </w:rPr>
            </w:pPr>
            <w:r>
              <w:rPr>
                <w:rFonts w:ascii="Arial" w:cs="Arial" w:eastAsia="Arial" w:hAnsi="Arial"/>
                <w:sz w:val="13"/>
                <w:szCs w:val="13"/>
                <w:b w:val="1"/>
                <w:bCs w:val="1"/>
                <w:color w:val="auto"/>
                <w:w w:val="90"/>
              </w:rPr>
              <w:t>Tel Aviv 67021, Israel</w:t>
            </w:r>
          </w:p>
        </w:tc>
      </w:tr>
      <w:tr>
        <w:trPr>
          <w:trHeight w:val="133"/>
        </w:trPr>
        <w:tc>
          <w:tcPr>
            <w:tcW w:w="1720" w:type="dxa"/>
            <w:vAlign w:val="bottom"/>
          </w:tcPr>
          <w:p>
            <w:pPr>
              <w:jc w:val="center"/>
              <w:ind w:right="55"/>
              <w:spacing w:after="0" w:line="133" w:lineRule="exact"/>
              <w:rPr>
                <w:sz w:val="20"/>
                <w:szCs w:val="20"/>
                <w:color w:val="auto"/>
              </w:rPr>
            </w:pPr>
            <w:r>
              <w:rPr>
                <w:rFonts w:ascii="Arial" w:cs="Arial" w:eastAsia="Arial" w:hAnsi="Arial"/>
                <w:sz w:val="13"/>
                <w:szCs w:val="13"/>
                <w:b w:val="1"/>
                <w:bCs w:val="1"/>
                <w:color w:val="auto"/>
                <w:w w:val="89"/>
              </w:rPr>
              <w:t>Tel: (212) 819-8200</w:t>
            </w:r>
          </w:p>
        </w:tc>
        <w:tc>
          <w:tcPr>
            <w:tcW w:w="20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1"/>
              </w:rPr>
              <w:t>Ramat Gan 5250608, Israel</w:t>
            </w:r>
          </w:p>
        </w:tc>
        <w:tc>
          <w:tcPr>
            <w:tcW w:w="21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New York, NY 10036</w:t>
            </w:r>
          </w:p>
        </w:tc>
        <w:tc>
          <w:tcPr>
            <w:tcW w:w="1720" w:type="dxa"/>
            <w:vAlign w:val="bottom"/>
          </w:tcPr>
          <w:p>
            <w:pPr>
              <w:jc w:val="center"/>
              <w:ind w:left="75"/>
              <w:spacing w:after="0" w:line="133" w:lineRule="exact"/>
              <w:rPr>
                <w:sz w:val="20"/>
                <w:szCs w:val="20"/>
                <w:color w:val="auto"/>
              </w:rPr>
            </w:pPr>
            <w:r>
              <w:rPr>
                <w:rFonts w:ascii="Arial" w:cs="Arial" w:eastAsia="Arial" w:hAnsi="Arial"/>
                <w:sz w:val="13"/>
                <w:szCs w:val="13"/>
                <w:b w:val="1"/>
                <w:bCs w:val="1"/>
                <w:color w:val="auto"/>
                <w:w w:val="89"/>
              </w:rPr>
              <w:t>Tel: +972-3-607-4444</w:t>
            </w:r>
          </w:p>
        </w:tc>
      </w:tr>
      <w:tr>
        <w:trPr>
          <w:trHeight w:val="133"/>
        </w:trPr>
        <w:tc>
          <w:tcPr>
            <w:tcW w:w="1720" w:type="dxa"/>
            <w:vAlign w:val="bottom"/>
          </w:tcPr>
          <w:p>
            <w:pPr>
              <w:jc w:val="center"/>
              <w:ind w:right="55"/>
              <w:spacing w:after="0" w:line="133" w:lineRule="exact"/>
              <w:rPr>
                <w:sz w:val="20"/>
                <w:szCs w:val="20"/>
                <w:color w:val="auto"/>
              </w:rPr>
            </w:pPr>
            <w:r>
              <w:rPr>
                <w:rFonts w:ascii="Arial" w:cs="Arial" w:eastAsia="Arial" w:hAnsi="Arial"/>
                <w:sz w:val="13"/>
                <w:szCs w:val="13"/>
                <w:b w:val="1"/>
                <w:bCs w:val="1"/>
                <w:color w:val="auto"/>
                <w:w w:val="90"/>
              </w:rPr>
              <w:t>Fax: (212) 354-8113</w:t>
            </w:r>
          </w:p>
        </w:tc>
        <w:tc>
          <w:tcPr>
            <w:tcW w:w="20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1"/>
              </w:rPr>
              <w:t>Tel: +972-3-610-3100</w:t>
            </w:r>
          </w:p>
        </w:tc>
        <w:tc>
          <w:tcPr>
            <w:tcW w:w="21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Tel: (212) 735-3000</w:t>
            </w:r>
          </w:p>
        </w:tc>
        <w:tc>
          <w:tcPr>
            <w:tcW w:w="1720" w:type="dxa"/>
            <w:vAlign w:val="bottom"/>
          </w:tcPr>
          <w:p>
            <w:pPr>
              <w:jc w:val="center"/>
              <w:ind w:left="75"/>
              <w:spacing w:after="0" w:line="133" w:lineRule="exact"/>
              <w:rPr>
                <w:sz w:val="20"/>
                <w:szCs w:val="20"/>
                <w:color w:val="auto"/>
              </w:rPr>
            </w:pPr>
            <w:r>
              <w:rPr>
                <w:rFonts w:ascii="Arial" w:cs="Arial" w:eastAsia="Arial" w:hAnsi="Arial"/>
                <w:sz w:val="13"/>
                <w:szCs w:val="13"/>
                <w:b w:val="1"/>
                <w:bCs w:val="1"/>
                <w:color w:val="auto"/>
                <w:w w:val="90"/>
              </w:rPr>
              <w:t>Fax: +972-3-607-4470</w:t>
            </w:r>
          </w:p>
        </w:tc>
      </w:tr>
      <w:tr>
        <w:trPr>
          <w:trHeight w:val="167"/>
        </w:trPr>
        <w:tc>
          <w:tcPr>
            <w:tcW w:w="17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0"/>
              </w:rPr>
              <w:t>Fax: +972-3-610-3111</w:t>
            </w: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0"/>
              </w:rPr>
              <w:t>Fax: (212) 735-2000</w:t>
            </w:r>
          </w:p>
        </w:tc>
        <w:tc>
          <w:tcPr>
            <w:tcW w:w="1720" w:type="dxa"/>
            <w:vAlign w:val="bottom"/>
          </w:tcPr>
          <w:p>
            <w:pPr>
              <w:spacing w:after="0"/>
              <w:rPr>
                <w:sz w:val="14"/>
                <w:szCs w:val="14"/>
                <w:color w:val="auto"/>
              </w:rPr>
            </w:pPr>
          </w:p>
        </w:tc>
      </w:tr>
    </w:tbl>
    <w:p>
      <w:pPr>
        <w:spacing w:after="0" w:line="55" w:lineRule="exact"/>
        <w:rPr>
          <w:sz w:val="24"/>
          <w:szCs w:val="24"/>
          <w:color w:val="auto"/>
        </w:rPr>
      </w:pPr>
    </w:p>
    <w:p>
      <w:pPr>
        <w:ind w:left="3800"/>
        <w:spacing w:after="0"/>
        <w:rPr>
          <w:sz w:val="20"/>
          <w:szCs w:val="20"/>
          <w:color w:val="auto"/>
        </w:rPr>
      </w:pPr>
      <w:r>
        <w:rPr>
          <w:rFonts w:ascii="Arial" w:cs="Arial" w:eastAsia="Arial" w:hAnsi="Arial"/>
          <w:sz w:val="13"/>
          <w:szCs w:val="13"/>
          <w:color w:val="auto"/>
        </w:rPr>
        <w:t>______________________</w:t>
      </w:r>
    </w:p>
    <w:p>
      <w:pPr>
        <w:spacing w:after="0" w:line="76" w:lineRule="exact"/>
        <w:rPr>
          <w:sz w:val="24"/>
          <w:szCs w:val="24"/>
          <w:color w:val="auto"/>
        </w:rPr>
      </w:pPr>
    </w:p>
    <w:p>
      <w:pPr>
        <w:ind w:left="580" w:right="959"/>
        <w:spacing w:after="0" w:line="284" w:lineRule="auto"/>
        <w:rPr>
          <w:sz w:val="20"/>
          <w:szCs w:val="20"/>
          <w:color w:val="auto"/>
        </w:rPr>
      </w:pPr>
      <w:r>
        <w:rPr>
          <w:rFonts w:ascii="Arial" w:cs="Arial" w:eastAsia="Arial" w:hAnsi="Arial"/>
          <w:sz w:val="15"/>
          <w:szCs w:val="15"/>
          <w:color w:val="auto"/>
        </w:rPr>
        <w:t>Approximate date of commencement of proposed sale to the public: As soon as practicable after effectiveness of this registration statement.</w:t>
      </w:r>
    </w:p>
    <w:p>
      <w:pPr>
        <w:spacing w:after="0" w:line="28" w:lineRule="exact"/>
        <w:rPr>
          <w:sz w:val="24"/>
          <w:szCs w:val="24"/>
          <w:color w:val="auto"/>
        </w:rPr>
      </w:pPr>
    </w:p>
    <w:p>
      <w:pPr>
        <w:ind w:left="580" w:right="639"/>
        <w:spacing w:after="0" w:line="284" w:lineRule="auto"/>
        <w:rPr>
          <w:sz w:val="20"/>
          <w:szCs w:val="20"/>
          <w:color w:val="auto"/>
        </w:rPr>
      </w:pPr>
      <w:r>
        <w:rPr>
          <w:rFonts w:ascii="Arial" w:cs="Arial" w:eastAsia="Arial" w:hAnsi="Arial"/>
          <w:sz w:val="15"/>
          <w:szCs w:val="15"/>
          <w:color w:val="auto"/>
        </w:rPr>
        <w:t>If any of the securities being registered on this Form are to be offered on a delayed or continuous basis pursuant to Rule 415 under the Securities Act of 1933, check the following box. o</w:t>
      </w:r>
    </w:p>
    <w:p>
      <w:pPr>
        <w:spacing w:after="0" w:line="28" w:lineRule="exact"/>
        <w:rPr>
          <w:sz w:val="24"/>
          <w:szCs w:val="24"/>
          <w:color w:val="auto"/>
        </w:rPr>
      </w:pPr>
    </w:p>
    <w:p>
      <w:pPr>
        <w:ind w:left="580" w:right="959"/>
        <w:spacing w:after="0" w:line="277"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33" w:lineRule="exact"/>
        <w:rPr>
          <w:sz w:val="24"/>
          <w:szCs w:val="24"/>
          <w:color w:val="auto"/>
        </w:rPr>
      </w:pPr>
    </w:p>
    <w:p>
      <w:pPr>
        <w:ind w:left="580" w:right="659"/>
        <w:spacing w:after="0" w:line="350"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ind w:left="580" w:right="639"/>
        <w:spacing w:after="0" w:line="365"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34" w:lineRule="exact"/>
        <w:rPr>
          <w:sz w:val="24"/>
          <w:szCs w:val="24"/>
          <w:color w:val="auto"/>
        </w:rPr>
      </w:pPr>
    </w:p>
    <w:tbl>
      <w:tblPr>
        <w:tblLayout w:type="fixed"/>
        <w:tblInd w:w="5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60" w:type="dxa"/>
            <w:vAlign w:val="bottom"/>
            <w:gridSpan w:val="4"/>
          </w:tcPr>
          <w:p>
            <w:pPr>
              <w:jc w:val="right"/>
              <w:ind w:right="535"/>
              <w:spacing w:after="0"/>
              <w:rPr>
                <w:sz w:val="20"/>
                <w:szCs w:val="20"/>
                <w:color w:val="auto"/>
              </w:rPr>
            </w:pPr>
            <w:r>
              <w:rPr>
                <w:rFonts w:ascii="Arial" w:cs="Arial" w:eastAsia="Arial" w:hAnsi="Arial"/>
                <w:sz w:val="13"/>
                <w:szCs w:val="13"/>
                <w:color w:val="auto"/>
              </w:rPr>
              <w:t>______________________</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60" w:type="dxa"/>
            <w:vAlign w:val="bottom"/>
            <w:gridSpan w:val="4"/>
          </w:tcPr>
          <w:p>
            <w:pPr>
              <w:jc w:val="center"/>
              <w:spacing w:after="0"/>
              <w:rPr>
                <w:sz w:val="20"/>
                <w:szCs w:val="20"/>
                <w:color w:val="auto"/>
              </w:rPr>
            </w:pPr>
            <w:r>
              <w:rPr>
                <w:rFonts w:ascii="Arial" w:cs="Arial" w:eastAsia="Arial" w:hAnsi="Arial"/>
                <w:sz w:val="13"/>
                <w:szCs w:val="13"/>
                <w:b w:val="1"/>
                <w:bCs w:val="1"/>
                <w:color w:val="auto"/>
              </w:rPr>
              <w:t>CALCULATION OF REGISTRATION FEE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Proposed maximum</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6"/>
              </w:rPr>
              <w:t>Proposed</w:t>
            </w:r>
          </w:p>
        </w:tc>
        <w:tc>
          <w:tcPr>
            <w:tcW w:w="20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Amount of</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Amount to be</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2"/>
              </w:rPr>
              <w:t>maximum</w:t>
            </w: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offering price per</w:t>
            </w:r>
          </w:p>
        </w:tc>
        <w:tc>
          <w:tcPr>
            <w:tcW w:w="2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aggregate offering</w:t>
            </w:r>
          </w:p>
        </w:tc>
        <w:tc>
          <w:tcPr>
            <w:tcW w:w="2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registration</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Title of each class of securities to be registered</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3"/>
                <w:szCs w:val="13"/>
                <w:b w:val="1"/>
                <w:bCs w:val="1"/>
                <w:color w:val="auto"/>
                <w:w w:val="84"/>
              </w:rPr>
              <w:t>registered</w:t>
            </w:r>
            <w:r>
              <w:rPr>
                <w:rFonts w:ascii="Arial" w:cs="Arial" w:eastAsia="Arial" w:hAnsi="Arial"/>
                <w:sz w:val="21"/>
                <w:szCs w:val="21"/>
                <w:b w:val="1"/>
                <w:bCs w:val="1"/>
                <w:color w:val="auto"/>
                <w:w w:val="84"/>
                <w:vertAlign w:val="superscript"/>
              </w:rPr>
              <w:t>(1)</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3"/>
                <w:szCs w:val="13"/>
                <w:b w:val="1"/>
                <w:bCs w:val="1"/>
                <w:color w:val="auto"/>
                <w:w w:val="80"/>
              </w:rPr>
              <w:t>share</w:t>
            </w:r>
            <w:r>
              <w:rPr>
                <w:rFonts w:ascii="Arial" w:cs="Arial" w:eastAsia="Arial" w:hAnsi="Arial"/>
                <w:sz w:val="21"/>
                <w:szCs w:val="21"/>
                <w:b w:val="1"/>
                <w:bCs w:val="1"/>
                <w:color w:val="auto"/>
                <w:w w:val="80"/>
                <w:vertAlign w:val="superscript"/>
              </w:rPr>
              <w:t>(2)</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5"/>
                <w:szCs w:val="25"/>
                <w:b w:val="1"/>
                <w:bCs w:val="1"/>
                <w:color w:val="auto"/>
                <w:w w:val="77"/>
                <w:vertAlign w:val="subscript"/>
              </w:rPr>
              <w:t>price</w:t>
            </w:r>
            <w:r>
              <w:rPr>
                <w:rFonts w:ascii="Arial" w:cs="Arial" w:eastAsia="Arial" w:hAnsi="Arial"/>
                <w:sz w:val="11"/>
                <w:szCs w:val="11"/>
                <w:b w:val="1"/>
                <w:bCs w:val="1"/>
                <w:color w:val="auto"/>
                <w:w w:val="77"/>
              </w:rPr>
              <w:t>(1)(2)</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3"/>
                <w:szCs w:val="13"/>
                <w:b w:val="1"/>
                <w:bCs w:val="1"/>
                <w:color w:val="auto"/>
                <w:w w:val="77"/>
              </w:rPr>
              <w:t>fee</w:t>
            </w:r>
            <w:r>
              <w:rPr>
                <w:rFonts w:ascii="Arial" w:cs="Arial" w:eastAsia="Arial" w:hAnsi="Arial"/>
                <w:sz w:val="21"/>
                <w:szCs w:val="21"/>
                <w:b w:val="1"/>
                <w:bCs w:val="1"/>
                <w:color w:val="auto"/>
                <w:w w:val="77"/>
                <w:vertAlign w:val="superscript"/>
              </w:rPr>
              <w:t>(3)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3"/>
                <w:szCs w:val="13"/>
                <w:color w:val="auto"/>
                <w:w w:val="94"/>
              </w:rPr>
              <w:t>Ordinary shares, par value NIS 0.01 per share</w:t>
            </w:r>
          </w:p>
        </w:tc>
        <w:tc>
          <w:tcPr>
            <w:tcW w:w="1140" w:type="dxa"/>
            <w:vAlign w:val="bottom"/>
            <w:gridSpan w:val="2"/>
          </w:tcPr>
          <w:p>
            <w:pPr>
              <w:jc w:val="center"/>
              <w:ind w:left="150"/>
              <w:spacing w:after="0"/>
              <w:rPr>
                <w:sz w:val="20"/>
                <w:szCs w:val="20"/>
                <w:color w:val="auto"/>
              </w:rPr>
            </w:pPr>
            <w:r>
              <w:rPr>
                <w:rFonts w:ascii="Arial" w:cs="Arial" w:eastAsia="Arial" w:hAnsi="Arial"/>
                <w:sz w:val="16"/>
                <w:szCs w:val="16"/>
                <w:color w:val="auto"/>
                <w:w w:val="89"/>
              </w:rPr>
              <w:t>8,165,000</w:t>
            </w:r>
          </w:p>
        </w:tc>
        <w:tc>
          <w:tcPr>
            <w:tcW w:w="152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$15.00</w:t>
            </w:r>
          </w:p>
        </w:tc>
        <w:tc>
          <w:tcPr>
            <w:tcW w:w="1320" w:type="dxa"/>
            <w:vAlign w:val="bottom"/>
            <w:gridSpan w:val="2"/>
          </w:tcPr>
          <w:p>
            <w:pPr>
              <w:jc w:val="center"/>
              <w:ind w:left="135"/>
              <w:spacing w:after="0"/>
              <w:rPr>
                <w:sz w:val="20"/>
                <w:szCs w:val="20"/>
                <w:color w:val="auto"/>
              </w:rPr>
            </w:pPr>
            <w:r>
              <w:rPr>
                <w:rFonts w:ascii="Arial" w:cs="Arial" w:eastAsia="Arial" w:hAnsi="Arial"/>
                <w:sz w:val="13"/>
                <w:szCs w:val="13"/>
                <w:color w:val="auto"/>
                <w:w w:val="90"/>
              </w:rPr>
              <w:t>$122,475,000</w:t>
            </w:r>
          </w:p>
        </w:tc>
        <w:tc>
          <w:tcPr>
            <w:tcW w:w="12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$14,232</w:t>
            </w:r>
          </w:p>
        </w:tc>
        <w:tc>
          <w:tcPr>
            <w:tcW w:w="0" w:type="dxa"/>
            <w:vAlign w:val="bottom"/>
          </w:tcPr>
          <w:p>
            <w:pPr>
              <w:spacing w:after="0"/>
              <w:rPr>
                <w:sz w:val="1"/>
                <w:szCs w:val="1"/>
                <w:color w:val="auto"/>
              </w:rPr>
            </w:pPr>
          </w:p>
        </w:tc>
      </w:tr>
      <w:tr>
        <w:trPr>
          <w:trHeight w:val="400"/>
        </w:trPr>
        <w:tc>
          <w:tcPr>
            <w:tcW w:w="2580" w:type="dxa"/>
            <w:vAlign w:val="bottom"/>
            <w:gridSpan w:val="2"/>
          </w:tcPr>
          <w:p>
            <w:pPr>
              <w:jc w:val="right"/>
              <w:ind w:right="1095"/>
              <w:spacing w:after="0"/>
              <w:rPr>
                <w:sz w:val="20"/>
                <w:szCs w:val="20"/>
                <w:color w:val="auto"/>
              </w:rPr>
            </w:pPr>
            <w:r>
              <w:rPr>
                <w:rFonts w:ascii="Arial" w:cs="Arial" w:eastAsia="Arial" w:hAnsi="Arial"/>
                <w:sz w:val="13"/>
                <w:szCs w:val="13"/>
                <w:color w:val="auto"/>
                <w:w w:val="88"/>
              </w:rPr>
              <w:t>______________________</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20" w:hanging="243"/>
        <w:spacing w:after="0"/>
        <w:tabs>
          <w:tab w:leader="none" w:pos="8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shares granted pursuant to the underwriters’ option to purchase additional shares.</w:t>
      </w:r>
    </w:p>
    <w:p>
      <w:pPr>
        <w:spacing w:after="0" w:line="68" w:lineRule="exact"/>
        <w:rPr>
          <w:rFonts w:ascii="Arial" w:cs="Arial" w:eastAsia="Arial" w:hAnsi="Arial"/>
          <w:sz w:val="13"/>
          <w:szCs w:val="13"/>
          <w:color w:val="auto"/>
        </w:rPr>
      </w:pPr>
    </w:p>
    <w:p>
      <w:pPr>
        <w:ind w:left="820" w:hanging="243"/>
        <w:spacing w:after="0"/>
        <w:tabs>
          <w:tab w:leader="none" w:pos="8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w:t>
      </w:r>
    </w:p>
    <w:p>
      <w:pPr>
        <w:spacing w:after="0" w:line="56" w:lineRule="exact"/>
        <w:rPr>
          <w:rFonts w:ascii="Arial" w:cs="Arial" w:eastAsia="Arial" w:hAnsi="Arial"/>
          <w:sz w:val="13"/>
          <w:szCs w:val="13"/>
          <w:color w:val="auto"/>
        </w:rPr>
      </w:pPr>
    </w:p>
    <w:p>
      <w:pPr>
        <w:ind w:left="820" w:hanging="243"/>
        <w:spacing w:after="0"/>
        <w:tabs>
          <w:tab w:leader="none" w:pos="8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p>
    <w:p>
      <w:pPr>
        <w:ind w:left="3800"/>
        <w:spacing w:after="0"/>
        <w:rPr>
          <w:sz w:val="20"/>
          <w:szCs w:val="20"/>
          <w:color w:val="auto"/>
        </w:rPr>
      </w:pPr>
      <w:r>
        <w:rPr>
          <w:rFonts w:ascii="Arial" w:cs="Arial" w:eastAsia="Arial" w:hAnsi="Arial"/>
          <w:sz w:val="13"/>
          <w:szCs w:val="13"/>
          <w:color w:val="auto"/>
        </w:rPr>
        <w:t>______________________</w:t>
      </w:r>
    </w:p>
    <w:p>
      <w:pPr>
        <w:spacing w:after="0" w:line="113" w:lineRule="exact"/>
        <w:rPr>
          <w:sz w:val="24"/>
          <w:szCs w:val="24"/>
          <w:color w:val="auto"/>
        </w:rPr>
      </w:pPr>
    </w:p>
    <w:p>
      <w:pPr>
        <w:ind w:left="580" w:right="659"/>
        <w:spacing w:after="0" w:line="26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204470</wp:posOffset>
            </wp:positionV>
            <wp:extent cx="49993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147" w:lineRule="exact"/>
        <w:rPr>
          <w:sz w:val="20"/>
          <w:szCs w:val="20"/>
          <w:color w:val="auto"/>
        </w:rPr>
      </w:pPr>
    </w:p>
    <w:p>
      <w:pPr>
        <w:ind w:left="580" w:right="619" w:firstLine="194"/>
        <w:spacing w:after="0" w:line="355" w:lineRule="auto"/>
        <w:rPr>
          <w:sz w:val="20"/>
          <w:szCs w:val="20"/>
          <w:color w:val="auto"/>
        </w:rPr>
      </w:pPr>
      <w:r>
        <w:rPr>
          <w:rFonts w:ascii="Arial" w:cs="Arial" w:eastAsia="Arial" w:hAnsi="Arial"/>
          <w:sz w:val="14"/>
          <w:szCs w:val="14"/>
          <w:color w:val="auto"/>
        </w:rPr>
        <w:t>This Amendment is filed solely to file the exhibits indicated in Item 8 of Part II. No change is made to the preliminary prospectus constituting Part I of the Registration Statement or Items 6, 7 or 9 of Part II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167005</wp:posOffset>
            </wp:positionV>
            <wp:extent cx="49993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ind w:left="4220"/>
        <w:spacing w:after="0"/>
        <w:rPr>
          <w:sz w:val="20"/>
          <w:szCs w:val="20"/>
          <w:color w:val="auto"/>
        </w:rPr>
      </w:pPr>
      <w:r>
        <w:rPr>
          <w:rFonts w:ascii="Arial" w:cs="Arial" w:eastAsia="Arial" w:hAnsi="Arial"/>
          <w:sz w:val="16"/>
          <w:szCs w:val="16"/>
          <w:b w:val="1"/>
          <w:bCs w:val="1"/>
          <w:color w:val="auto"/>
        </w:rPr>
        <w:t>PART II</w:t>
      </w:r>
    </w:p>
    <w:p>
      <w:pPr>
        <w:spacing w:after="0" w:line="2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 6. Indemnification of Directors, Officers and Employees.</w:t>
      </w:r>
    </w:p>
    <w:p>
      <w:pPr>
        <w:spacing w:after="0" w:line="192" w:lineRule="exact"/>
        <w:rPr>
          <w:sz w:val="20"/>
          <w:szCs w:val="20"/>
          <w:color w:val="auto"/>
        </w:rPr>
      </w:pPr>
    </w:p>
    <w:p>
      <w:pPr>
        <w:ind w:left="580" w:right="619" w:firstLine="194"/>
        <w:spacing w:after="0" w:line="278" w:lineRule="auto"/>
        <w:rPr>
          <w:sz w:val="20"/>
          <w:szCs w:val="20"/>
          <w:color w:val="auto"/>
        </w:rPr>
      </w:pPr>
      <w:r>
        <w:rPr>
          <w:rFonts w:ascii="Arial" w:cs="Arial" w:eastAsia="Arial" w:hAnsi="Arial"/>
          <w:sz w:val="15"/>
          <w:szCs w:val="15"/>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 company may not exculpate in advance a director from liability arising out of a prohibited dividend or distribution to shareholders.</w:t>
      </w:r>
    </w:p>
    <w:p>
      <w:pPr>
        <w:spacing w:after="0" w:line="158" w:lineRule="exact"/>
        <w:rPr>
          <w:sz w:val="20"/>
          <w:szCs w:val="20"/>
          <w:color w:val="auto"/>
        </w:rPr>
      </w:pPr>
    </w:p>
    <w:p>
      <w:pPr>
        <w:ind w:left="580" w:right="819" w:firstLine="194"/>
        <w:spacing w:after="0" w:line="262" w:lineRule="auto"/>
        <w:rPr>
          <w:sz w:val="20"/>
          <w:szCs w:val="20"/>
          <w:color w:val="auto"/>
        </w:rPr>
      </w:pPr>
      <w:r>
        <w:rPr>
          <w:rFonts w:ascii="Arial" w:cs="Arial" w:eastAsia="Arial" w:hAnsi="Arial"/>
          <w:sz w:val="16"/>
          <w:szCs w:val="16"/>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8" w:lineRule="exact"/>
        <w:rPr>
          <w:sz w:val="20"/>
          <w:szCs w:val="20"/>
          <w:color w:val="auto"/>
        </w:rPr>
      </w:pPr>
    </w:p>
    <w:p>
      <w:pPr>
        <w:ind w:left="960" w:right="639" w:hanging="189"/>
        <w:spacing w:after="0" w:line="289" w:lineRule="auto"/>
        <w:tabs>
          <w:tab w:leader="none" w:pos="971" w:val="left"/>
        </w:tabs>
        <w:numPr>
          <w:ilvl w:val="0"/>
          <w:numId w:val="2"/>
        </w:numPr>
        <w:rPr>
          <w:rFonts w:ascii="Arial" w:cs="Arial" w:eastAsia="Arial" w:hAnsi="Arial"/>
          <w:sz w:val="17"/>
          <w:szCs w:val="17"/>
          <w:color w:val="auto"/>
        </w:rPr>
      </w:pPr>
      <w:r>
        <w:rPr>
          <w:rFonts w:ascii="Arial" w:cs="Arial" w:eastAsia="Arial" w:hAnsi="Arial"/>
          <w:sz w:val="14"/>
          <w:szCs w:val="14"/>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64" w:lineRule="exact"/>
        <w:rPr>
          <w:rFonts w:ascii="Arial" w:cs="Arial" w:eastAsia="Arial" w:hAnsi="Arial"/>
          <w:sz w:val="17"/>
          <w:szCs w:val="17"/>
          <w:color w:val="auto"/>
        </w:rPr>
      </w:pPr>
    </w:p>
    <w:p>
      <w:pPr>
        <w:ind w:left="960" w:right="599" w:hanging="189"/>
        <w:spacing w:after="0" w:line="249" w:lineRule="auto"/>
        <w:tabs>
          <w:tab w:leader="none" w:pos="971" w:val="left"/>
        </w:tabs>
        <w:numPr>
          <w:ilvl w:val="0"/>
          <w:numId w:val="2"/>
        </w:numPr>
        <w:rPr>
          <w:rFonts w:ascii="Arial" w:cs="Arial" w:eastAsia="Arial" w:hAnsi="Arial"/>
          <w:sz w:val="19"/>
          <w:szCs w:val="19"/>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90" w:lineRule="exact"/>
        <w:rPr>
          <w:rFonts w:ascii="Arial" w:cs="Arial" w:eastAsia="Arial" w:hAnsi="Arial"/>
          <w:sz w:val="19"/>
          <w:szCs w:val="19"/>
          <w:color w:val="auto"/>
        </w:rPr>
      </w:pPr>
    </w:p>
    <w:p>
      <w:pPr>
        <w:ind w:left="960" w:right="659" w:hanging="189"/>
        <w:spacing w:after="0" w:line="246" w:lineRule="auto"/>
        <w:tabs>
          <w:tab w:leader="none" w:pos="962" w:val="left"/>
        </w:tabs>
        <w:numPr>
          <w:ilvl w:val="0"/>
          <w:numId w:val="2"/>
        </w:numPr>
        <w:rPr>
          <w:rFonts w:ascii="Arial" w:cs="Arial" w:eastAsia="Arial" w:hAnsi="Arial"/>
          <w:sz w:val="19"/>
          <w:szCs w:val="19"/>
          <w:color w:val="auto"/>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79" w:lineRule="exact"/>
        <w:rPr>
          <w:sz w:val="20"/>
          <w:szCs w:val="20"/>
          <w:color w:val="auto"/>
        </w:rPr>
      </w:pPr>
    </w:p>
    <w:p>
      <w:pPr>
        <w:ind w:left="580" w:right="639" w:firstLine="194"/>
        <w:spacing w:after="0" w:line="355" w:lineRule="auto"/>
        <w:rPr>
          <w:sz w:val="20"/>
          <w:szCs w:val="20"/>
          <w:color w:val="auto"/>
        </w:rPr>
      </w:pPr>
      <w:r>
        <w:rPr>
          <w:rFonts w:ascii="Arial" w:cs="Arial" w:eastAsia="Arial" w:hAnsi="Arial"/>
          <w:sz w:val="14"/>
          <w:szCs w:val="14"/>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17" w:lineRule="exact"/>
        <w:rPr>
          <w:sz w:val="20"/>
          <w:szCs w:val="20"/>
          <w:color w:val="auto"/>
        </w:rPr>
      </w:pPr>
    </w:p>
    <w:p>
      <w:pPr>
        <w:ind w:left="960" w:right="1119" w:hanging="189"/>
        <w:spacing w:after="0" w:line="238" w:lineRule="auto"/>
        <w:tabs>
          <w:tab w:leader="none" w:pos="971" w:val="left"/>
        </w:tabs>
        <w:numPr>
          <w:ilvl w:val="0"/>
          <w:numId w:val="3"/>
        </w:numPr>
        <w:rPr>
          <w:rFonts w:ascii="Arial" w:cs="Arial" w:eastAsia="Arial" w:hAnsi="Arial"/>
          <w:sz w:val="19"/>
          <w:szCs w:val="19"/>
          <w:color w:val="auto"/>
        </w:rPr>
      </w:pPr>
      <w:r>
        <w:rPr>
          <w:rFonts w:ascii="Arial" w:cs="Arial" w:eastAsia="Arial" w:hAnsi="Arial"/>
          <w:sz w:val="16"/>
          <w:szCs w:val="16"/>
          <w:color w:val="auto"/>
        </w:rPr>
        <w:t>a breach of the duty of loyalty to the company, provided that the office holder acted in good faith and had a reasonable basis to believe that the act would not harm the company;</w:t>
      </w:r>
    </w:p>
    <w:p>
      <w:pPr>
        <w:spacing w:after="0" w:line="194" w:lineRule="exact"/>
        <w:rPr>
          <w:rFonts w:ascii="Arial" w:cs="Arial" w:eastAsia="Arial" w:hAnsi="Arial"/>
          <w:sz w:val="19"/>
          <w:szCs w:val="19"/>
          <w:color w:val="auto"/>
        </w:rPr>
      </w:pPr>
    </w:p>
    <w:p>
      <w:pPr>
        <w:ind w:left="960" w:right="819" w:hanging="189"/>
        <w:spacing w:after="0" w:line="238" w:lineRule="auto"/>
        <w:tabs>
          <w:tab w:leader="none" w:pos="971" w:val="left"/>
        </w:tabs>
        <w:numPr>
          <w:ilvl w:val="0"/>
          <w:numId w:val="3"/>
        </w:numPr>
        <w:rPr>
          <w:rFonts w:ascii="Arial" w:cs="Arial" w:eastAsia="Arial" w:hAnsi="Arial"/>
          <w:sz w:val="19"/>
          <w:szCs w:val="19"/>
          <w:color w:val="auto"/>
        </w:rPr>
      </w:pPr>
      <w:r>
        <w:rPr>
          <w:rFonts w:ascii="Arial" w:cs="Arial" w:eastAsia="Arial" w:hAnsi="Arial"/>
          <w:sz w:val="16"/>
          <w:szCs w:val="16"/>
          <w:color w:val="auto"/>
        </w:rPr>
        <w:t>a breach of duty of care to the company or to a third party, to the extent such a breach arises out of the negligent conduct of the office holder; and</w:t>
      </w:r>
    </w:p>
    <w:p>
      <w:pPr>
        <w:spacing w:after="0" w:line="181" w:lineRule="exact"/>
        <w:rPr>
          <w:rFonts w:ascii="Arial" w:cs="Arial" w:eastAsia="Arial" w:hAnsi="Arial"/>
          <w:sz w:val="19"/>
          <w:szCs w:val="19"/>
          <w:color w:val="auto"/>
        </w:rPr>
      </w:pPr>
    </w:p>
    <w:p>
      <w:pPr>
        <w:ind w:left="980" w:hanging="209"/>
        <w:spacing w:after="0"/>
        <w:tabs>
          <w:tab w:leader="none" w:pos="980" w:val="left"/>
        </w:tabs>
        <w:numPr>
          <w:ilvl w:val="0"/>
          <w:numId w:val="3"/>
        </w:numPr>
        <w:rPr>
          <w:rFonts w:ascii="Arial" w:cs="Arial" w:eastAsia="Arial" w:hAnsi="Arial"/>
          <w:sz w:val="19"/>
          <w:szCs w:val="19"/>
          <w:color w:val="auto"/>
        </w:rPr>
      </w:pPr>
      <w:r>
        <w:rPr>
          <w:rFonts w:ascii="Arial" w:cs="Arial" w:eastAsia="Arial" w:hAnsi="Arial"/>
          <w:sz w:val="16"/>
          <w:szCs w:val="16"/>
          <w:color w:val="auto"/>
        </w:rPr>
        <w:t>a financial liability imposed on the office holder in favor of a third party.</w:t>
      </w:r>
    </w:p>
    <w:p>
      <w:pPr>
        <w:spacing w:after="0" w:line="182" w:lineRule="exact"/>
        <w:rPr>
          <w:sz w:val="20"/>
          <w:szCs w:val="20"/>
          <w:color w:val="auto"/>
        </w:rPr>
      </w:pPr>
    </w:p>
    <w:p>
      <w:pPr>
        <w:ind w:left="580" w:right="719" w:firstLine="194"/>
        <w:spacing w:after="0" w:line="281" w:lineRule="auto"/>
        <w:rPr>
          <w:sz w:val="20"/>
          <w:szCs w:val="20"/>
          <w:color w:val="auto"/>
        </w:rPr>
      </w:pPr>
      <w:r>
        <w:rPr>
          <w:rFonts w:ascii="Arial" w:cs="Arial" w:eastAsia="Arial" w:hAnsi="Arial"/>
          <w:sz w:val="16"/>
          <w:szCs w:val="16"/>
          <w:color w:val="auto"/>
        </w:rPr>
        <w:t>Under the Israeli Companies Law, a company may not indemnify, exculpate or insure an office holder against any of the following:</w:t>
      </w:r>
    </w:p>
    <w:p>
      <w:pPr>
        <w:spacing w:after="0" w:line="163" w:lineRule="exact"/>
        <w:rPr>
          <w:sz w:val="20"/>
          <w:szCs w:val="20"/>
          <w:color w:val="auto"/>
        </w:rPr>
      </w:pPr>
    </w:p>
    <w:p>
      <w:pPr>
        <w:jc w:val="both"/>
        <w:ind w:left="960" w:right="759" w:hanging="189"/>
        <w:spacing w:after="0" w:line="244" w:lineRule="auto"/>
        <w:tabs>
          <w:tab w:leader="none" w:pos="971" w:val="left"/>
        </w:tabs>
        <w:numPr>
          <w:ilvl w:val="0"/>
          <w:numId w:val="4"/>
        </w:numPr>
        <w:rPr>
          <w:rFonts w:ascii="Arial" w:cs="Arial" w:eastAsia="Arial" w:hAnsi="Arial"/>
          <w:sz w:val="19"/>
          <w:szCs w:val="19"/>
          <w:color w:val="auto"/>
        </w:rPr>
      </w:pPr>
      <w:r>
        <w:rPr>
          <w:rFonts w:ascii="Arial" w:cs="Arial" w:eastAsia="Arial" w:hAnsi="Arial"/>
          <w:sz w:val="16"/>
          <w:szCs w:val="16"/>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91" w:lineRule="exact"/>
        <w:rPr>
          <w:rFonts w:ascii="Arial" w:cs="Arial" w:eastAsia="Arial" w:hAnsi="Arial"/>
          <w:sz w:val="19"/>
          <w:szCs w:val="19"/>
          <w:color w:val="auto"/>
        </w:rPr>
      </w:pPr>
    </w:p>
    <w:p>
      <w:pPr>
        <w:ind w:left="960" w:right="999" w:hanging="189"/>
        <w:spacing w:after="0" w:line="238" w:lineRule="auto"/>
        <w:tabs>
          <w:tab w:leader="none" w:pos="971" w:val="left"/>
        </w:tabs>
        <w:numPr>
          <w:ilvl w:val="0"/>
          <w:numId w:val="4"/>
        </w:numPr>
        <w:rPr>
          <w:rFonts w:ascii="Arial" w:cs="Arial" w:eastAsia="Arial" w:hAnsi="Arial"/>
          <w:sz w:val="19"/>
          <w:szCs w:val="19"/>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7620</wp:posOffset>
            </wp:positionV>
            <wp:extent cx="49993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p>
      <w:pPr>
        <w:ind w:left="980" w:hanging="209"/>
        <w:spacing w:after="0"/>
        <w:tabs>
          <w:tab w:leader="none" w:pos="980" w:val="left"/>
        </w:tabs>
        <w:numPr>
          <w:ilvl w:val="0"/>
          <w:numId w:val="5"/>
        </w:numPr>
        <w:rPr>
          <w:rFonts w:ascii="Arial" w:cs="Arial" w:eastAsia="Arial" w:hAnsi="Arial"/>
          <w:sz w:val="19"/>
          <w:szCs w:val="19"/>
          <w:color w:val="auto"/>
        </w:rPr>
      </w:pPr>
      <w:r>
        <w:rPr>
          <w:rFonts w:ascii="Arial" w:cs="Arial" w:eastAsia="Arial" w:hAnsi="Arial"/>
          <w:sz w:val="16"/>
          <w:szCs w:val="16"/>
          <w:color w:val="auto"/>
        </w:rPr>
        <w:t>an act or omission committed with intent to derive illegal personal benefit; or</w:t>
      </w:r>
    </w:p>
    <w:p>
      <w:pPr>
        <w:spacing w:after="0" w:line="181" w:lineRule="exact"/>
        <w:rPr>
          <w:rFonts w:ascii="Arial" w:cs="Arial" w:eastAsia="Arial" w:hAnsi="Arial"/>
          <w:sz w:val="19"/>
          <w:szCs w:val="19"/>
          <w:color w:val="auto"/>
        </w:rPr>
      </w:pPr>
    </w:p>
    <w:p>
      <w:pPr>
        <w:ind w:left="980" w:hanging="209"/>
        <w:spacing w:after="0"/>
        <w:tabs>
          <w:tab w:leader="none" w:pos="980" w:val="left"/>
        </w:tabs>
        <w:numPr>
          <w:ilvl w:val="0"/>
          <w:numId w:val="5"/>
        </w:numPr>
        <w:rPr>
          <w:rFonts w:ascii="Arial" w:cs="Arial" w:eastAsia="Arial" w:hAnsi="Arial"/>
          <w:sz w:val="19"/>
          <w:szCs w:val="19"/>
          <w:color w:val="auto"/>
        </w:rPr>
      </w:pPr>
      <w:r>
        <w:rPr>
          <w:rFonts w:ascii="Arial" w:cs="Arial" w:eastAsia="Arial" w:hAnsi="Arial"/>
          <w:sz w:val="16"/>
          <w:szCs w:val="16"/>
          <w:color w:val="auto"/>
        </w:rPr>
        <w:t>a fine or forfeit levied against the office holder.</w:t>
      </w:r>
    </w:p>
    <w:p>
      <w:pPr>
        <w:spacing w:after="0" w:line="182" w:lineRule="exact"/>
        <w:rPr>
          <w:sz w:val="20"/>
          <w:szCs w:val="20"/>
          <w:color w:val="auto"/>
        </w:rPr>
      </w:pPr>
    </w:p>
    <w:p>
      <w:pPr>
        <w:ind w:left="580" w:right="599" w:firstLine="194"/>
        <w:spacing w:after="0" w:line="262" w:lineRule="auto"/>
        <w:rPr>
          <w:sz w:val="20"/>
          <w:szCs w:val="20"/>
          <w:color w:val="auto"/>
        </w:rPr>
      </w:pPr>
      <w:r>
        <w:rPr>
          <w:rFonts w:ascii="Arial" w:cs="Arial" w:eastAsia="Arial" w:hAnsi="Arial"/>
          <w:sz w:val="16"/>
          <w:szCs w:val="16"/>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 —Approval of Related Party Transactions under Israeli Law.”</w:t>
      </w:r>
    </w:p>
    <w:p>
      <w:pPr>
        <w:spacing w:after="0" w:line="166" w:lineRule="exact"/>
        <w:rPr>
          <w:sz w:val="20"/>
          <w:szCs w:val="20"/>
          <w:color w:val="auto"/>
        </w:rPr>
      </w:pPr>
    </w:p>
    <w:p>
      <w:pPr>
        <w:ind w:left="580" w:right="919" w:firstLine="194"/>
        <w:spacing w:after="0" w:line="267" w:lineRule="auto"/>
        <w:rPr>
          <w:sz w:val="20"/>
          <w:szCs w:val="20"/>
          <w:color w:val="auto"/>
        </w:rPr>
      </w:pPr>
      <w:r>
        <w:rPr>
          <w:rFonts w:ascii="Arial" w:cs="Arial" w:eastAsia="Arial" w:hAnsi="Arial"/>
          <w:sz w:val="16"/>
          <w:szCs w:val="16"/>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61" w:lineRule="exact"/>
        <w:rPr>
          <w:sz w:val="20"/>
          <w:szCs w:val="20"/>
          <w:color w:val="auto"/>
        </w:rPr>
      </w:pPr>
    </w:p>
    <w:p>
      <w:pPr>
        <w:ind w:left="580" w:right="579" w:firstLine="194"/>
        <w:spacing w:after="0" w:line="277" w:lineRule="auto"/>
        <w:rPr>
          <w:sz w:val="20"/>
          <w:szCs w:val="20"/>
          <w:color w:val="auto"/>
        </w:rPr>
      </w:pPr>
      <w:r>
        <w:rPr>
          <w:rFonts w:ascii="Arial" w:cs="Arial" w:eastAsia="Arial" w:hAnsi="Arial"/>
          <w:sz w:val="15"/>
          <w:szCs w:val="15"/>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completion of this offering and the Israeli Companies Law, including with respect to liabilities resulting from this offering to the extent that these liabilities are not covered by insurance.</w:t>
      </w:r>
    </w:p>
    <w:p>
      <w:pPr>
        <w:spacing w:after="0" w:line="157" w:lineRule="exact"/>
        <w:rPr>
          <w:sz w:val="20"/>
          <w:szCs w:val="20"/>
          <w:color w:val="auto"/>
        </w:rPr>
      </w:pPr>
    </w:p>
    <w:p>
      <w:pPr>
        <w:ind w:left="580" w:right="819" w:firstLine="194"/>
        <w:spacing w:after="0" w:line="262" w:lineRule="auto"/>
        <w:rPr>
          <w:sz w:val="20"/>
          <w:szCs w:val="20"/>
          <w:color w:val="auto"/>
        </w:rPr>
      </w:pPr>
      <w:r>
        <w:rPr>
          <w:rFonts w:ascii="Arial" w:cs="Arial" w:eastAsia="Arial" w:hAnsi="Arial"/>
          <w:sz w:val="16"/>
          <w:szCs w:val="16"/>
          <w:color w:val="auto"/>
        </w:rPr>
        <w:t>Insofar as the indemnification for liabilities arising under the Securities Act of 1933, as amended, or the Securities Act, may be permitted to directors, officers or persons controlling the registrant, we have been informed that in the opinion of the Securities and Exchange Commission, such indemnification is against public policy as expressed in the Securities Act and is therefore unenforceable.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 7. Recent Sales of Unregistered Securities.</w:t>
      </w:r>
    </w:p>
    <w:p>
      <w:pPr>
        <w:spacing w:after="0" w:line="208" w:lineRule="exact"/>
        <w:rPr>
          <w:sz w:val="20"/>
          <w:szCs w:val="20"/>
          <w:color w:val="auto"/>
        </w:rPr>
      </w:pPr>
    </w:p>
    <w:p>
      <w:pPr>
        <w:ind w:left="580" w:right="799" w:firstLine="194"/>
        <w:spacing w:after="0" w:line="355" w:lineRule="auto"/>
        <w:rPr>
          <w:sz w:val="20"/>
          <w:szCs w:val="20"/>
          <w:color w:val="auto"/>
        </w:rPr>
      </w:pPr>
      <w:r>
        <w:rPr>
          <w:rFonts w:ascii="Arial" w:cs="Arial" w:eastAsia="Arial" w:hAnsi="Arial"/>
          <w:sz w:val="14"/>
          <w:szCs w:val="14"/>
          <w:color w:val="auto"/>
        </w:rPr>
        <w:t>Set forth below are the sales of all securities of the registrant sold by the registrant within the past three years (i.e., since January 1, 2012, up to the date of this registration statement) which were not registered under the Securities Act:</w:t>
      </w:r>
    </w:p>
    <w:p>
      <w:pPr>
        <w:spacing w:after="0" w:line="117" w:lineRule="exact"/>
        <w:rPr>
          <w:sz w:val="20"/>
          <w:szCs w:val="20"/>
          <w:color w:val="auto"/>
        </w:rPr>
      </w:pPr>
    </w:p>
    <w:p>
      <w:pPr>
        <w:ind w:left="960" w:right="719" w:hanging="189"/>
        <w:spacing w:after="0" w:line="246" w:lineRule="auto"/>
        <w:tabs>
          <w:tab w:leader="none" w:pos="969" w:val="left"/>
        </w:tabs>
        <w:numPr>
          <w:ilvl w:val="0"/>
          <w:numId w:val="6"/>
        </w:numPr>
        <w:rPr>
          <w:rFonts w:ascii="Arial" w:cs="Arial" w:eastAsia="Arial" w:hAnsi="Arial"/>
          <w:sz w:val="19"/>
          <w:szCs w:val="19"/>
          <w:color w:val="auto"/>
        </w:rPr>
      </w:pPr>
      <w:r>
        <w:rPr>
          <w:rFonts w:ascii="Arial" w:cs="Arial" w:eastAsia="Arial" w:hAnsi="Arial"/>
          <w:sz w:val="16"/>
          <w:szCs w:val="16"/>
          <w:color w:val="auto"/>
        </w:rPr>
        <w:t>We granted share options to employees, directors and consultants under our 2015 Plan, 2012 Plan and 2004 Plan covering an aggregate of 1,977,879 ordinary shares, with exercise prices ranging from $0.36 to $2.17 per share. As of the date of this registration statement, 52,425 of these options have been forfeited and cancelled without being exercised.</w:t>
      </w:r>
    </w:p>
    <w:p>
      <w:pPr>
        <w:spacing w:after="0" w:line="179" w:lineRule="exact"/>
        <w:rPr>
          <w:sz w:val="20"/>
          <w:szCs w:val="20"/>
          <w:color w:val="auto"/>
        </w:rPr>
      </w:pPr>
    </w:p>
    <w:p>
      <w:pPr>
        <w:ind w:left="580" w:right="759" w:firstLine="194"/>
        <w:spacing w:after="0" w:line="267" w:lineRule="auto"/>
        <w:rPr>
          <w:sz w:val="20"/>
          <w:szCs w:val="20"/>
          <w:color w:val="auto"/>
        </w:rPr>
      </w:pPr>
      <w:r>
        <w:rPr>
          <w:rFonts w:ascii="Arial" w:cs="Arial" w:eastAsia="Arial" w:hAnsi="Arial"/>
          <w:sz w:val="16"/>
          <w:szCs w:val="16"/>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No underwriters were employed in connection with the securities issuances set forth in this Item 7.</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 8. Exhibits and Financial Statement Schedules.</w:t>
      </w:r>
    </w:p>
    <w:p>
      <w:pPr>
        <w:spacing w:after="0" w:line="208" w:lineRule="exact"/>
        <w:rPr>
          <w:sz w:val="20"/>
          <w:szCs w:val="20"/>
          <w:color w:val="auto"/>
        </w:rPr>
      </w:pPr>
    </w:p>
    <w:p>
      <w:pPr>
        <w:ind w:left="1100" w:hanging="329"/>
        <w:spacing w:after="0"/>
        <w:tabs>
          <w:tab w:leader="none" w:pos="11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Exhibit Index is hereby incorporated herein by reference.</w:t>
      </w:r>
    </w:p>
    <w:p>
      <w:pPr>
        <w:spacing w:after="0" w:line="21" w:lineRule="exact"/>
        <w:rPr>
          <w:rFonts w:ascii="Arial" w:cs="Arial" w:eastAsia="Arial" w:hAnsi="Arial"/>
          <w:sz w:val="16"/>
          <w:szCs w:val="16"/>
          <w:color w:val="auto"/>
        </w:rPr>
      </w:pPr>
    </w:p>
    <w:p>
      <w:pPr>
        <w:ind w:left="1120" w:hanging="349"/>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92" w:lineRule="exact"/>
        <w:rPr>
          <w:sz w:val="20"/>
          <w:szCs w:val="20"/>
          <w:color w:val="auto"/>
        </w:rPr>
      </w:pPr>
    </w:p>
    <w:p>
      <w:pPr>
        <w:ind w:left="580" w:right="599" w:firstLine="194"/>
        <w:spacing w:after="0" w:line="267" w:lineRule="auto"/>
        <w:rPr>
          <w:sz w:val="20"/>
          <w:szCs w:val="20"/>
          <w:color w:val="auto"/>
        </w:rPr>
      </w:pPr>
      <w:r>
        <w:rPr>
          <w:rFonts w:ascii="Arial" w:cs="Arial" w:eastAsia="Arial" w:hAnsi="Arial"/>
          <w:sz w:val="16"/>
          <w:szCs w:val="16"/>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 9. Undertakings.</w:t>
      </w:r>
    </w:p>
    <w:p>
      <w:pPr>
        <w:spacing w:after="0" w:line="208" w:lineRule="exact"/>
        <w:rPr>
          <w:sz w:val="20"/>
          <w:szCs w:val="20"/>
          <w:color w:val="auto"/>
        </w:rPr>
      </w:pPr>
    </w:p>
    <w:p>
      <w:pPr>
        <w:jc w:val="both"/>
        <w:ind w:left="580" w:right="739" w:firstLine="194"/>
        <w:spacing w:after="0" w:line="259"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7620</wp:posOffset>
            </wp:positionV>
            <wp:extent cx="4999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4" w:name="page5"/>
    <w:bookmarkEnd w:id="4"/>
    <w:p>
      <w:pPr>
        <w:ind w:left="580" w:right="599"/>
        <w:spacing w:after="0" w:line="258" w:lineRule="auto"/>
        <w:rPr>
          <w:sz w:val="20"/>
          <w:szCs w:val="20"/>
          <w:color w:val="auto"/>
        </w:rPr>
      </w:pPr>
      <w:r>
        <w:rPr>
          <w:rFonts w:ascii="Arial" w:cs="Arial" w:eastAsia="Arial" w:hAnsi="Arial"/>
          <w:sz w:val="16"/>
          <w:szCs w:val="16"/>
          <w:color w:val="auto"/>
        </w:rPr>
        <w:t>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undersigned Registrant hereby undertakes:</w:t>
      </w:r>
    </w:p>
    <w:p>
      <w:pPr>
        <w:spacing w:after="0" w:line="204" w:lineRule="exact"/>
        <w:rPr>
          <w:sz w:val="20"/>
          <w:szCs w:val="20"/>
          <w:color w:val="auto"/>
        </w:rPr>
      </w:pPr>
    </w:p>
    <w:p>
      <w:pPr>
        <w:ind w:left="960" w:right="939" w:hanging="189"/>
        <w:spacing w:after="0" w:line="267" w:lineRule="auto"/>
        <w:tabs>
          <w:tab w:leader="none" w:pos="928"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161" w:lineRule="exact"/>
        <w:rPr>
          <w:rFonts w:ascii="Arial" w:cs="Arial" w:eastAsia="Arial" w:hAnsi="Arial"/>
          <w:sz w:val="16"/>
          <w:szCs w:val="16"/>
          <w:color w:val="auto"/>
        </w:rPr>
      </w:pPr>
    </w:p>
    <w:p>
      <w:pPr>
        <w:ind w:left="960" w:right="799" w:hanging="189"/>
        <w:spacing w:after="0" w:line="285" w:lineRule="auto"/>
        <w:tabs>
          <w:tab w:leader="none" w:pos="928" w:val="left"/>
        </w:tabs>
        <w:numPr>
          <w:ilvl w:val="0"/>
          <w:numId w:val="8"/>
        </w:numPr>
        <w:rPr>
          <w:rFonts w:ascii="Arial" w:cs="Arial" w:eastAsia="Arial" w:hAnsi="Arial"/>
          <w:sz w:val="15"/>
          <w:szCs w:val="15"/>
          <w:color w:val="auto"/>
        </w:rPr>
      </w:pPr>
      <w:r>
        <w:rPr>
          <w:rFonts w:ascii="Arial" w:cs="Arial" w:eastAsia="Arial" w:hAnsi="Arial"/>
          <w:sz w:val="15"/>
          <w:szCs w:val="15"/>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9" w:lineRule="exact"/>
        <w:rPr>
          <w:rFonts w:ascii="Arial" w:cs="Arial" w:eastAsia="Arial" w:hAnsi="Arial"/>
          <w:sz w:val="15"/>
          <w:szCs w:val="15"/>
          <w:color w:val="auto"/>
        </w:rPr>
      </w:pPr>
    </w:p>
    <w:p>
      <w:pPr>
        <w:ind w:left="960" w:right="699" w:hanging="189"/>
        <w:spacing w:after="0" w:line="322" w:lineRule="auto"/>
        <w:tabs>
          <w:tab w:leader="none" w:pos="92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7620</wp:posOffset>
            </wp:positionV>
            <wp:extent cx="49993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24"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08" w:lineRule="exact"/>
        <w:rPr>
          <w:sz w:val="20"/>
          <w:szCs w:val="20"/>
          <w:color w:val="auto"/>
        </w:rPr>
      </w:pPr>
    </w:p>
    <w:p>
      <w:pPr>
        <w:ind w:left="580" w:right="679" w:firstLine="194"/>
        <w:spacing w:after="0" w:line="308" w:lineRule="auto"/>
        <w:rPr>
          <w:sz w:val="20"/>
          <w:szCs w:val="20"/>
          <w:color w:val="auto"/>
        </w:rPr>
      </w:pPr>
      <w:r>
        <w:rPr>
          <w:rFonts w:ascii="Arial" w:cs="Arial" w:eastAsia="Arial" w:hAnsi="Arial"/>
          <w:sz w:val="14"/>
          <w:szCs w:val="14"/>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ind w:left="580" w:right="759"/>
        <w:spacing w:after="0" w:line="215" w:lineRule="auto"/>
        <w:rPr>
          <w:sz w:val="20"/>
          <w:szCs w:val="20"/>
          <w:color w:val="auto"/>
        </w:rPr>
      </w:pPr>
      <w:r>
        <w:rPr>
          <w:rFonts w:ascii="Arial" w:cs="Arial" w:eastAsia="Arial" w:hAnsi="Arial"/>
          <w:sz w:val="16"/>
          <w:szCs w:val="16"/>
          <w:color w:val="auto"/>
        </w:rPr>
        <w:t>signed on its behalf by the undersigned, thereunto duly authorized, in Rosh Ha-Ayin, Israel on this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of March, 2015.</w:t>
      </w:r>
    </w:p>
    <w:p>
      <w:pPr>
        <w:spacing w:after="0" w:line="204"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KORNIT DIGITAL LTD.</w:t>
      </w:r>
    </w:p>
    <w:p>
      <w:pPr>
        <w:ind w:left="5040"/>
        <w:spacing w:after="0" w:line="182" w:lineRule="auto"/>
        <w:tabs>
          <w:tab w:leader="none" w:pos="5460" w:val="left"/>
        </w:tabs>
        <w:rPr>
          <w:sz w:val="20"/>
          <w:szCs w:val="20"/>
          <w:color w:val="auto"/>
        </w:rPr>
      </w:pPr>
      <w:r>
        <w:rPr>
          <w:rFonts w:ascii="Arial" w:cs="Arial" w:eastAsia="Arial" w:hAnsi="Arial"/>
          <w:sz w:val="31"/>
          <w:szCs w:val="31"/>
          <w:color w:val="auto"/>
          <w:vertAlign w:val="subscript"/>
        </w:rPr>
        <w:t>By:</w:t>
      </w:r>
      <w:r>
        <w:rPr>
          <w:sz w:val="20"/>
          <w:szCs w:val="20"/>
          <w:color w:val="auto"/>
        </w:rPr>
        <w:tab/>
      </w:r>
      <w:r>
        <w:rPr>
          <w:rFonts w:ascii="Arial" w:cs="Arial" w:eastAsia="Arial" w:hAnsi="Arial"/>
          <w:sz w:val="16"/>
          <w:szCs w:val="16"/>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129540</wp:posOffset>
            </wp:positionV>
            <wp:extent cx="1861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Name: Gabi Seligsohn</w:t>
      </w:r>
    </w:p>
    <w:p>
      <w:pPr>
        <w:spacing w:after="0" w:line="34"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Title: Chief Executive Officer and Director</w:t>
      </w:r>
    </w:p>
    <w:p>
      <w:pPr>
        <w:spacing w:after="0" w:line="200" w:lineRule="exact"/>
        <w:rPr>
          <w:sz w:val="20"/>
          <w:szCs w:val="20"/>
          <w:color w:val="auto"/>
        </w:rPr>
      </w:pPr>
    </w:p>
    <w:p>
      <w:pPr>
        <w:spacing w:after="0" w:line="209" w:lineRule="exact"/>
        <w:rPr>
          <w:sz w:val="20"/>
          <w:szCs w:val="20"/>
          <w:color w:val="auto"/>
        </w:rPr>
      </w:pPr>
    </w:p>
    <w:p>
      <w:pPr>
        <w:ind w:left="580" w:right="759" w:firstLine="194"/>
        <w:spacing w:after="0" w:line="281"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 March 31, 2015 in the capacities indicated:</w:t>
      </w:r>
    </w:p>
    <w:p>
      <w:pPr>
        <w:spacing w:after="0" w:line="151" w:lineRule="exact"/>
        <w:rPr>
          <w:sz w:val="20"/>
          <w:szCs w:val="20"/>
          <w:color w:val="auto"/>
        </w:rPr>
      </w:pPr>
    </w:p>
    <w:p>
      <w:pPr>
        <w:ind w:left="1060"/>
        <w:spacing w:after="0"/>
        <w:tabs>
          <w:tab w:leader="none" w:pos="4640" w:val="left"/>
          <w:tab w:leader="none" w:pos="7440" w:val="left"/>
        </w:tabs>
        <w:rPr>
          <w:sz w:val="20"/>
          <w:szCs w:val="20"/>
          <w:color w:val="auto"/>
        </w:rPr>
      </w:pPr>
      <w:r>
        <w:rPr>
          <w:rFonts w:ascii="Arial" w:cs="Arial" w:eastAsia="Arial" w:hAnsi="Arial"/>
          <w:sz w:val="15"/>
          <w:szCs w:val="15"/>
          <w:b w:val="1"/>
          <w:bCs w:val="1"/>
          <w:color w:val="auto"/>
        </w:rPr>
        <w:t>Signature and Name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44450</wp:posOffset>
            </wp:positionV>
            <wp:extent cx="48761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7616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63" w:lineRule="exact"/>
        <w:rPr>
          <w:sz w:val="20"/>
          <w:szCs w:val="20"/>
          <w:color w:val="auto"/>
        </w:rPr>
      </w:pPr>
    </w:p>
    <w:p>
      <w:pPr>
        <w:jc w:val="center"/>
        <w:ind w:left="1080"/>
        <w:spacing w:after="0"/>
        <w:rPr>
          <w:sz w:val="20"/>
          <w:szCs w:val="20"/>
          <w:color w:val="auto"/>
        </w:rPr>
      </w:pPr>
      <w:r>
        <w:rPr>
          <w:rFonts w:ascii="Arial" w:cs="Arial" w:eastAsia="Arial" w:hAnsi="Arial"/>
          <w:sz w:val="15"/>
          <w:szCs w:val="15"/>
          <w:color w:val="auto"/>
        </w:rPr>
        <w:t>/s/ Gabi Seligsohn</w:t>
      </w:r>
    </w:p>
    <w:p>
      <w:pPr>
        <w:spacing w:after="0" w:line="70"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/s/ Guy Avidan</w:t>
      </w:r>
    </w:p>
    <w:p>
      <w:pPr>
        <w:spacing w:after="0" w:line="46"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Eli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Marc Lesnick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Alon Lumbroso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Jerry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4"/>
          <w:szCs w:val="14"/>
          <w:color w:val="auto"/>
        </w:rPr>
        <w:t>*/s/ Gabi Seligsohn</w:t>
      </w:r>
    </w:p>
    <w:p>
      <w:pPr>
        <w:spacing w:after="0" w:line="6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-116205</wp:posOffset>
            </wp:positionV>
            <wp:extent cx="10077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7745" cy="7620"/>
                    </a:xfrm>
                    <a:prstGeom prst="rect">
                      <a:avLst/>
                    </a:prstGeom>
                    <a:noFill/>
                  </pic:spPr>
                </pic:pic>
              </a:graphicData>
            </a:graphic>
          </wp:anchor>
        </w:drawing>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Chief Executive Officer and Director</w:t>
      </w:r>
      <w:r>
        <w:rPr>
          <w:sz w:val="20"/>
          <w:szCs w:val="20"/>
          <w:color w:val="auto"/>
        </w:rPr>
        <w:tab/>
      </w:r>
      <w:r>
        <w:rPr>
          <w:rFonts w:ascii="Arial" w:cs="Arial" w:eastAsia="Arial" w:hAnsi="Arial"/>
          <w:sz w:val="14"/>
          <w:szCs w:val="14"/>
          <w:color w:val="auto"/>
        </w:rPr>
        <w:t>March 31, 2015</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46"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Chief Financial Officer (principal financial officer</w:t>
      </w:r>
      <w:r>
        <w:rPr>
          <w:sz w:val="20"/>
          <w:szCs w:val="20"/>
          <w:color w:val="auto"/>
        </w:rPr>
        <w:tab/>
      </w:r>
      <w:r>
        <w:rPr>
          <w:rFonts w:ascii="Arial" w:cs="Arial" w:eastAsia="Arial" w:hAnsi="Arial"/>
          <w:sz w:val="14"/>
          <w:szCs w:val="14"/>
          <w:color w:val="auto"/>
        </w:rPr>
        <w:t>March 31, 2015</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and principal accounting officer)</w:t>
      </w:r>
    </w:p>
    <w:p>
      <w:pPr>
        <w:spacing w:after="0" w:line="46"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Chairman of the Board of Directors</w:t>
      </w:r>
      <w:r>
        <w:rPr>
          <w:sz w:val="20"/>
          <w:szCs w:val="20"/>
          <w:color w:val="auto"/>
        </w:rPr>
        <w:tab/>
      </w:r>
      <w:r>
        <w:rPr>
          <w:rFonts w:ascii="Arial" w:cs="Arial" w:eastAsia="Arial" w:hAnsi="Arial"/>
          <w:sz w:val="16"/>
          <w:szCs w:val="16"/>
          <w:color w:val="auto"/>
        </w:rPr>
        <w:t>*</w:t>
      </w:r>
    </w:p>
    <w:p>
      <w:pPr>
        <w:spacing w:after="0" w:line="252"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w:t>
      </w:r>
    </w:p>
    <w:p>
      <w:pPr>
        <w:spacing w:after="0" w:line="252"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w:t>
      </w:r>
    </w:p>
    <w:p>
      <w:pPr>
        <w:spacing w:after="0" w:line="252"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w:t>
      </w:r>
    </w:p>
    <w:p>
      <w:pPr>
        <w:spacing w:after="0" w:line="252"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w:t>
      </w:r>
    </w:p>
    <w:p>
      <w:pPr>
        <w:spacing w:after="0" w:line="252"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w:t>
      </w:r>
    </w:p>
    <w:p>
      <w:pPr>
        <w:spacing w:after="0" w:line="252"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w:t>
      </w:r>
    </w:p>
    <w:p>
      <w:pPr>
        <w:spacing w:after="0" w:line="252"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w:t>
      </w:r>
    </w:p>
    <w:p>
      <w:pPr>
        <w:spacing w:after="0" w:line="252" w:lineRule="exact"/>
        <w:rPr>
          <w:sz w:val="20"/>
          <w:szCs w:val="20"/>
          <w:color w:val="auto"/>
        </w:rPr>
      </w:pPr>
    </w:p>
    <w:p>
      <w:pPr>
        <w:jc w:val="right"/>
        <w:ind w:right="1179"/>
        <w:spacing w:after="0"/>
        <w:rPr>
          <w:sz w:val="20"/>
          <w:szCs w:val="20"/>
          <w:color w:val="auto"/>
        </w:rPr>
      </w:pPr>
      <w:r>
        <w:rPr>
          <w:rFonts w:ascii="Arial" w:cs="Arial" w:eastAsia="Arial" w:hAnsi="Arial"/>
          <w:sz w:val="16"/>
          <w:szCs w:val="16"/>
          <w:color w:val="auto"/>
        </w:rPr>
        <w:t>March 31, 2015</w:t>
      </w:r>
    </w:p>
    <w:p>
      <w:pPr>
        <w:spacing w:after="0" w:line="599" w:lineRule="exact"/>
        <w:rPr>
          <w:sz w:val="20"/>
          <w:szCs w:val="20"/>
          <w:color w:val="auto"/>
        </w:rPr>
      </w:pPr>
    </w:p>
    <w:p>
      <w:pPr>
        <w:sectPr>
          <w:pgSz w:w="11900" w:h="16838" w:orient="portrait"/>
          <w:cols w:equalWidth="0" w:num="2">
            <w:col w:w="2340" w:space="540"/>
            <w:col w:w="6139"/>
          </w:cols>
          <w:pgMar w:left="1440" w:top="123" w:right="1440" w:bottom="1440" w:gutter="0" w:footer="0" w:header="0"/>
          <w:type w:val="continuous"/>
        </w:sectPr>
      </w:pPr>
    </w:p>
    <w:p>
      <w:pPr>
        <w:spacing w:after="0" w:line="185"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KORNIT DIGITAL NORTH AMERICA INC.</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Authorized Representative in the United</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States</w:t>
      </w:r>
    </w:p>
    <w:p>
      <w:pPr>
        <w:spacing w:after="0" w:line="80" w:lineRule="exact"/>
        <w:rPr>
          <w:sz w:val="20"/>
          <w:szCs w:val="20"/>
          <w:color w:val="auto"/>
        </w:rPr>
      </w:pPr>
    </w:p>
    <w:p>
      <w:pPr>
        <w:ind w:left="620"/>
        <w:spacing w:after="0"/>
        <w:tabs>
          <w:tab w:leader="none" w:pos="1020" w:val="left"/>
          <w:tab w:leader="none" w:pos="6780" w:val="left"/>
        </w:tabs>
        <w:rPr>
          <w:sz w:val="20"/>
          <w:szCs w:val="20"/>
          <w:color w:val="auto"/>
        </w:rPr>
      </w:pPr>
      <w:r>
        <w:rPr>
          <w:rFonts w:ascii="Arial" w:cs="Arial" w:eastAsia="Arial" w:hAnsi="Arial"/>
          <w:sz w:val="16"/>
          <w:szCs w:val="16"/>
          <w:color w:val="auto"/>
        </w:rPr>
        <w:t>By:</w:t>
        <w:tab/>
      </w:r>
      <w:r>
        <w:rPr>
          <w:rFonts w:ascii="Arial" w:cs="Arial" w:eastAsia="Arial" w:hAnsi="Arial"/>
          <w:sz w:val="32"/>
          <w:szCs w:val="32"/>
          <w:color w:val="auto"/>
          <w:vertAlign w:val="superscript"/>
        </w:rPr>
        <w:t>/s/ Paul Borucki</w:t>
      </w:r>
      <w:r>
        <w:rPr>
          <w:sz w:val="20"/>
          <w:szCs w:val="20"/>
          <w:color w:val="auto"/>
        </w:rPr>
        <w:tab/>
      </w:r>
      <w:r>
        <w:rPr>
          <w:rFonts w:ascii="Arial" w:cs="Arial" w:eastAsia="Arial" w:hAnsi="Arial"/>
          <w:sz w:val="14"/>
          <w:szCs w:val="14"/>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-8255</wp:posOffset>
            </wp:positionV>
            <wp:extent cx="16230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3060" cy="762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6"/>
          <w:szCs w:val="16"/>
          <w:color w:val="auto"/>
        </w:rPr>
        <w:t>Name: Paul Borucki</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344805</wp:posOffset>
            </wp:positionV>
            <wp:extent cx="49993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6" w:name="page7"/>
    <w:bookmarkEnd w:id="6"/>
    <w:tbl>
      <w:tblPr>
        <w:tblLayout w:type="fixed"/>
        <w:tblInd w:w="58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80" w:type="dxa"/>
            <w:vAlign w:val="bottom"/>
          </w:tcPr>
          <w:p>
            <w:pPr>
              <w:ind w:left="2300"/>
              <w:spacing w:after="0"/>
              <w:rPr>
                <w:sz w:val="20"/>
                <w:szCs w:val="20"/>
                <w:color w:val="auto"/>
              </w:rPr>
            </w:pPr>
            <w:r>
              <w:rPr>
                <w:rFonts w:ascii="Arial" w:cs="Arial" w:eastAsia="Arial" w:hAnsi="Arial"/>
                <w:sz w:val="16"/>
                <w:szCs w:val="16"/>
                <w:b w:val="1"/>
                <w:bCs w:val="1"/>
                <w:color w:val="auto"/>
              </w:rPr>
              <w:t>EXHIBIT INDEX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5"/>
                <w:szCs w:val="15"/>
                <w:b w:val="1"/>
                <w:bCs w:val="1"/>
                <w:color w:val="auto"/>
                <w:w w:val="99"/>
              </w:rPr>
              <w:t>Exhibit No.</w:t>
            </w:r>
          </w:p>
        </w:tc>
        <w:tc>
          <w:tcPr>
            <w:tcW w:w="6940" w:type="dxa"/>
            <w:vAlign w:val="bottom"/>
            <w:gridSpan w:val="2"/>
          </w:tcPr>
          <w:p>
            <w:pPr>
              <w:ind w:left="160"/>
              <w:spacing w:after="0"/>
              <w:rPr>
                <w:sz w:val="20"/>
                <w:szCs w:val="20"/>
                <w:color w:val="auto"/>
              </w:rPr>
            </w:pPr>
            <w:r>
              <w:rPr>
                <w:rFonts w:ascii="Arial" w:cs="Arial" w:eastAsia="Arial" w:hAnsi="Arial"/>
                <w:sz w:val="15"/>
                <w:szCs w:val="15"/>
                <w:b w:val="1"/>
                <w:bCs w:val="1"/>
                <w:color w:val="auto"/>
              </w:rPr>
              <w:t>Description</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vMerge w:val="restart"/>
          </w:tcPr>
          <w:p>
            <w:pPr>
              <w:spacing w:after="0"/>
              <w:rPr>
                <w:sz w:val="4"/>
                <w:szCs w:val="4"/>
                <w:color w:val="auto"/>
              </w:rPr>
            </w:pPr>
          </w:p>
        </w:tc>
        <w:tc>
          <w:tcPr>
            <w:tcW w:w="6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800" w:type="dxa"/>
            <w:vAlign w:val="bottom"/>
          </w:tcPr>
          <w:p>
            <w:pPr>
              <w:spacing w:after="0" w:line="174" w:lineRule="exact"/>
              <w:rPr>
                <w:sz w:val="20"/>
                <w:szCs w:val="20"/>
                <w:color w:val="auto"/>
              </w:rPr>
            </w:pPr>
            <w:r>
              <w:rPr>
                <w:rFonts w:ascii="Arial" w:cs="Arial" w:eastAsia="Arial" w:hAnsi="Arial"/>
                <w:sz w:val="16"/>
                <w:szCs w:val="16"/>
                <w:color w:val="auto"/>
              </w:rPr>
              <w:t>1.1</w:t>
            </w:r>
          </w:p>
        </w:tc>
        <w:tc>
          <w:tcPr>
            <w:tcW w:w="160" w:type="dxa"/>
            <w:vAlign w:val="bottom"/>
            <w:vMerge w:val="continue"/>
          </w:tcPr>
          <w:p>
            <w:pPr>
              <w:spacing w:after="0"/>
              <w:rPr>
                <w:sz w:val="15"/>
                <w:szCs w:val="15"/>
                <w:color w:val="auto"/>
              </w:rPr>
            </w:pPr>
          </w:p>
        </w:tc>
        <w:tc>
          <w:tcPr>
            <w:tcW w:w="6780" w:type="dxa"/>
            <w:vAlign w:val="bottom"/>
          </w:tcPr>
          <w:p>
            <w:pPr>
              <w:spacing w:after="0" w:line="174" w:lineRule="exact"/>
              <w:rPr>
                <w:sz w:val="20"/>
                <w:szCs w:val="20"/>
                <w:color w:val="auto"/>
              </w:rPr>
            </w:pPr>
            <w:r>
              <w:rPr>
                <w:rFonts w:ascii="Arial" w:cs="Arial" w:eastAsia="Arial" w:hAnsi="Arial"/>
                <w:sz w:val="16"/>
                <w:szCs w:val="16"/>
                <w:color w:val="auto"/>
              </w:rPr>
              <w:t>Form of Underwriting Agreement by and among Kornit Digital Ltd. and the underwriters named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therein**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3.1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Articles of Association of the Registrant**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3.2</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2"/>
              </w:rPr>
              <w:t>Form of Amended and Restated Articles of Association of the Registrant, to be effective upon closing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this offering**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4.1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Specimen Share Certificate**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5.1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3"/>
              </w:rPr>
              <w:t>Opinion of Meitar Liquornik Geva Leshem Tal, Israeli counsel to the Registrant, as to the validity of the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ordinary shares (including consent)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2004 Share Option Plan**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10.2</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2012 Share Incentive Plan**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10.3</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7"/>
              </w:rPr>
              <w:t>Form of indemnification agreement by and between Kornit Digital Ltd. and each of its directors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executive officers**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3"/>
              </w:rPr>
              <w:t>Sales Representative Agreement, dated April 1, 2014, between the Registrant and Hirsch International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Corporation†**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10.5</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0"/>
              </w:rPr>
              <w:t>Original Equipment Manufacturer Supply Agreement, dated January 6, 2006, between the Registrant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Spectra Printing, a division of Dimatix, 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10.6</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3"/>
              </w:rPr>
              <w:t>Amendment No. 1 to Original Equipment Manufacturer Supply Agreement, dated September 20, 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10.7</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4"/>
              </w:rPr>
              <w:t>Amendment No. 2 to Original Equipment Manufacturer Supply Agreement, dated September 1, 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10.8</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7"/>
              </w:rPr>
              <w:t>Amendment No. 3 to Original Equipment Manufacturer Supply Agreement, dated March 17, 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10.9</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2"/>
              </w:rPr>
              <w:t>Amendment No. 4 to Original Equipment Manufacturer Supply Agreement, dated July 1, 2010, between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the Registrant and Fujifilm Dimatix, Inc., formerly Spectra Printing, a division of Dimatix, 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10.10</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7"/>
              </w:rPr>
              <w:t>Amendment No. 5 to Original Equipment Manufacturer Supply Agreement, dated October 4, 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5"/>
              </w:rPr>
              <w:t>Amendment No. 6 to Original Equipment Manufacturer Supply Agreement, dated December 6, 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10.12</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6"/>
              </w:rPr>
              <w:t>Amendment No. 7 to Original Equipment Manufacturer Supply Agreement, dated February 1, 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10.13</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7"/>
              </w:rPr>
              <w:t>Amendment No. 8 to Original Equipment Manufacturer Supply Agreement, dated January 1, 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10.14</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7"/>
              </w:rPr>
              <w:t>Amendment No. 9 to Original Equipment Manufacturer Supply Agreement, dated August 22, 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Inc.†**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10.15</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4"/>
              </w:rPr>
              <w:t>Amended and Restated Supplier Agreement, dated March 9, 2015, between the Registrant and I.T.S.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Industrial Technologic Solutions, Ltd.†∞**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10.16</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Amended and Restated Investors’ Rights Agreement, dated March 18, 2015, by and among the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Registrant and the other parties thereto**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10.17</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0"/>
              </w:rPr>
              <w:t>Management Services Agreement, dated August 11, 2011, by and between the Registrant and Fortissimo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Capital Fund II (Israel) L.P.**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10.18</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1"/>
              </w:rPr>
              <w:t>Termination Agreement, dated March 18, 2015, terminating the Management Services Agreement, dated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August 11, 2011, by and between the Registrant and Fortissimo Capital Fund II (Israel) L.P.**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10.19</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0"/>
              </w:rPr>
              <w:t>Lease Agreement, dated March 25, 2010, by and between the Registrant and Benvenisti Engineering Ltd.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4"/>
              </w:rPr>
              <w:t>as amended by Addendum to Lease Agreement, dated November 21, 2011, and Addendum to Lease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Agreement, dated September 16, 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3" w:right="1440" w:bottom="1440" w:gutter="0" w:footer="0" w:header="0"/>
        </w:sectPr>
      </w:pPr>
    </w:p>
    <w:bookmarkStart w:id="7" w:name="page8"/>
    <w:bookmarkEnd w:id="7"/>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80" w:type="dxa"/>
            <w:vAlign w:val="bottom"/>
          </w:tcPr>
          <w:p>
            <w:pPr>
              <w:ind w:left="230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369"/>
        </w:trPr>
        <w:tc>
          <w:tcPr>
            <w:tcW w:w="800" w:type="dxa"/>
            <w:vAlign w:val="bottom"/>
          </w:tcPr>
          <w:p>
            <w:pPr>
              <w:spacing w:after="0"/>
              <w:rPr>
                <w:sz w:val="20"/>
                <w:szCs w:val="20"/>
                <w:color w:val="auto"/>
              </w:rPr>
            </w:pPr>
            <w:r>
              <w:rPr>
                <w:rFonts w:ascii="Arial" w:cs="Arial" w:eastAsia="Arial" w:hAnsi="Arial"/>
                <w:sz w:val="15"/>
                <w:szCs w:val="15"/>
                <w:b w:val="1"/>
                <w:bCs w:val="1"/>
                <w:color w:val="auto"/>
                <w:w w:val="99"/>
              </w:rPr>
              <w:t>Exhibit No.</w:t>
            </w:r>
          </w:p>
        </w:tc>
        <w:tc>
          <w:tcPr>
            <w:tcW w:w="6940" w:type="dxa"/>
            <w:vAlign w:val="bottom"/>
            <w:gridSpan w:val="2"/>
          </w:tcPr>
          <w:p>
            <w:pPr>
              <w:ind w:left="16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55"/>
        </w:trPr>
        <w:tc>
          <w:tcPr>
            <w:tcW w:w="800" w:type="dxa"/>
            <w:vAlign w:val="bottom"/>
            <w:tcBorders>
              <w:bottom w:val="single" w:sz="8" w:color="auto"/>
            </w:tcBorders>
          </w:tcPr>
          <w:p>
            <w:pPr>
              <w:spacing w:after="0"/>
              <w:rPr>
                <w:sz w:val="4"/>
                <w:szCs w:val="4"/>
                <w:color w:val="auto"/>
              </w:rPr>
            </w:pPr>
          </w:p>
        </w:tc>
        <w:tc>
          <w:tcPr>
            <w:tcW w:w="160" w:type="dxa"/>
            <w:vAlign w:val="bottom"/>
            <w:vMerge w:val="restart"/>
          </w:tcPr>
          <w:p>
            <w:pPr>
              <w:spacing w:after="0"/>
              <w:rPr>
                <w:sz w:val="4"/>
                <w:szCs w:val="4"/>
                <w:color w:val="auto"/>
              </w:rPr>
            </w:pPr>
          </w:p>
        </w:tc>
        <w:tc>
          <w:tcPr>
            <w:tcW w:w="6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line="174" w:lineRule="exact"/>
              <w:rPr>
                <w:sz w:val="20"/>
                <w:szCs w:val="20"/>
                <w:color w:val="auto"/>
              </w:rPr>
            </w:pPr>
            <w:r>
              <w:rPr>
                <w:rFonts w:ascii="Arial" w:cs="Arial" w:eastAsia="Arial" w:hAnsi="Arial"/>
                <w:sz w:val="16"/>
                <w:szCs w:val="16"/>
                <w:color w:val="auto"/>
              </w:rPr>
              <w:t>10.20</w:t>
            </w:r>
          </w:p>
        </w:tc>
        <w:tc>
          <w:tcPr>
            <w:tcW w:w="160" w:type="dxa"/>
            <w:vAlign w:val="bottom"/>
            <w:vMerge w:val="continue"/>
          </w:tcPr>
          <w:p>
            <w:pPr>
              <w:spacing w:after="0"/>
              <w:rPr>
                <w:sz w:val="15"/>
                <w:szCs w:val="15"/>
                <w:color w:val="auto"/>
              </w:rPr>
            </w:pPr>
          </w:p>
        </w:tc>
        <w:tc>
          <w:tcPr>
            <w:tcW w:w="6780" w:type="dxa"/>
            <w:vAlign w:val="bottom"/>
          </w:tcPr>
          <w:p>
            <w:pPr>
              <w:spacing w:after="0" w:line="174" w:lineRule="exact"/>
              <w:rPr>
                <w:sz w:val="20"/>
                <w:szCs w:val="20"/>
                <w:color w:val="auto"/>
              </w:rPr>
            </w:pPr>
            <w:r>
              <w:rPr>
                <w:rFonts w:ascii="Arial" w:cs="Arial" w:eastAsia="Arial" w:hAnsi="Arial"/>
                <w:sz w:val="16"/>
                <w:szCs w:val="16"/>
                <w:color w:val="auto"/>
                <w:w w:val="91"/>
              </w:rPr>
              <w:t>English Summary of the Office and Parking Space Lease Agreement dated as of December 17, 2007, by</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3"/>
              </w:rPr>
              <w:t>and between the Registrant and Industrial Building Corporation Ltd. as amended by Addendum, dated</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5"/>
              </w:rPr>
              <w:t>2007, Addendum to Lease Agreement, dated 2007, Addendum to Lease Agreement, dated March 8,</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0"/>
              </w:rPr>
              <w:t>2012, Addendum to Lease Agreement, dated 2012, Addendum to Lease Agreement, dated December 19,</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w w:val="95"/>
              </w:rPr>
              <w:t>2012, Addendum to Lease Agreement, dated May 20, 2013, Addendum to Lease Agreement, dated</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January 12, 2014, and Addendum to Lease Agreement, dated January 12, 2014.**</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20"/>
                <w:szCs w:val="20"/>
                <w:color w:val="auto"/>
              </w:rPr>
            </w:pPr>
            <w:r>
              <w:rPr>
                <w:rFonts w:ascii="Arial" w:cs="Arial" w:eastAsia="Arial" w:hAnsi="Arial"/>
                <w:sz w:val="16"/>
                <w:szCs w:val="16"/>
                <w:color w:val="auto"/>
              </w:rPr>
              <w:t>10.21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2015 Incentive Compensation Plan**</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20"/>
                <w:szCs w:val="20"/>
                <w:color w:val="auto"/>
              </w:rPr>
            </w:pPr>
            <w:r>
              <w:rPr>
                <w:rFonts w:ascii="Arial" w:cs="Arial" w:eastAsia="Arial" w:hAnsi="Arial"/>
                <w:sz w:val="16"/>
                <w:szCs w:val="16"/>
                <w:color w:val="auto"/>
              </w:rPr>
              <w:t>10.22</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2015 Employee Stock Purchase Plan**</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20"/>
                <w:szCs w:val="20"/>
                <w:color w:val="auto"/>
              </w:rPr>
            </w:pPr>
            <w:r>
              <w:rPr>
                <w:rFonts w:ascii="Arial" w:cs="Arial" w:eastAsia="Arial" w:hAnsi="Arial"/>
                <w:sz w:val="16"/>
                <w:szCs w:val="16"/>
                <w:color w:val="auto"/>
              </w:rPr>
              <w:t>21.1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List of subsidiaries of the Registrant**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20"/>
                <w:szCs w:val="20"/>
                <w:color w:val="auto"/>
              </w:rPr>
            </w:pPr>
            <w:r>
              <w:rPr>
                <w:rFonts w:ascii="Arial" w:cs="Arial" w:eastAsia="Arial" w:hAnsi="Arial"/>
                <w:sz w:val="16"/>
                <w:szCs w:val="16"/>
                <w:color w:val="auto"/>
              </w:rPr>
              <w:t>23.1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Consent of Kost Forer Gabbay &amp; Kasierer, a member of Ernst &amp; Young Global, an independent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registered public accounting firm**</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20"/>
                <w:szCs w:val="20"/>
                <w:color w:val="auto"/>
              </w:rPr>
            </w:pPr>
            <w:r>
              <w:rPr>
                <w:rFonts w:ascii="Arial" w:cs="Arial" w:eastAsia="Arial" w:hAnsi="Arial"/>
                <w:sz w:val="16"/>
                <w:szCs w:val="16"/>
                <w:color w:val="auto"/>
              </w:rPr>
              <w:t>23.2</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Consent of Meitar Liquornik Geva Leshem Tal (included in Exhibit 5.1)**</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20"/>
                <w:szCs w:val="20"/>
                <w:color w:val="auto"/>
              </w:rPr>
            </w:pPr>
            <w:r>
              <w:rPr>
                <w:rFonts w:ascii="Arial" w:cs="Arial" w:eastAsia="Arial" w:hAnsi="Arial"/>
                <w:sz w:val="16"/>
                <w:szCs w:val="16"/>
                <w:color w:val="auto"/>
              </w:rPr>
              <w:t>24.1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Power of Attorney (included in signature pages of Registration Statement)**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20"/>
                <w:szCs w:val="20"/>
                <w:color w:val="auto"/>
              </w:rPr>
            </w:pPr>
            <w:r>
              <w:rPr>
                <w:rFonts w:ascii="Arial" w:cs="Arial" w:eastAsia="Arial" w:hAnsi="Arial"/>
                <w:sz w:val="16"/>
                <w:szCs w:val="16"/>
                <w:color w:val="auto"/>
              </w:rPr>
              <w:t>99.1</w:t>
            </w:r>
          </w:p>
        </w:tc>
        <w:tc>
          <w:tcPr>
            <w:tcW w:w="6940" w:type="dxa"/>
            <w:vAlign w:val="bottom"/>
            <w:gridSpan w:val="2"/>
          </w:tcPr>
          <w:p>
            <w:pPr>
              <w:ind w:left="160"/>
              <w:spacing w:after="0"/>
              <w:rPr>
                <w:sz w:val="20"/>
                <w:szCs w:val="20"/>
                <w:color w:val="auto"/>
              </w:rPr>
            </w:pPr>
            <w:r>
              <w:rPr>
                <w:rFonts w:ascii="Arial" w:cs="Arial" w:eastAsia="Arial" w:hAnsi="Arial"/>
                <w:sz w:val="16"/>
                <w:szCs w:val="16"/>
                <w:color w:val="auto"/>
              </w:rPr>
              <w:t>Power of Attorney of Lauri Hanover, Alon Lumbroso, Jerry Mandel and Dov Ofer**</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900" w:hanging="323"/>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10" w:lineRule="exact"/>
        <w:rPr>
          <w:sz w:val="20"/>
          <w:szCs w:val="20"/>
          <w:color w:val="auto"/>
        </w:rPr>
      </w:pPr>
    </w:p>
    <w:p>
      <w:pPr>
        <w:ind w:left="580"/>
        <w:spacing w:after="0"/>
        <w:tabs>
          <w:tab w:leader="none" w:pos="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requested.</w:t>
      </w:r>
    </w:p>
    <w:p>
      <w:pPr>
        <w:spacing w:after="0" w:line="10" w:lineRule="exact"/>
        <w:rPr>
          <w:sz w:val="20"/>
          <w:szCs w:val="20"/>
          <w:color w:val="auto"/>
        </w:rPr>
      </w:pPr>
    </w:p>
    <w:p>
      <w:pPr>
        <w:ind w:left="580"/>
        <w:spacing w:after="0"/>
        <w:tabs>
          <w:tab w:leader="none" w:pos="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English translation of the original Hebrew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99060</wp:posOffset>
            </wp:positionV>
            <wp:extent cx="49993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7279005" cy="1245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005" cy="1245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30, 2015</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Kornit Digital Ltd.</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12 Ha`Amal Street, Afek Park,</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Rosh-Ha`Ayin 4809246, Israel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b w:val="1"/>
          <w:bCs w:val="1"/>
          <w:u w:val="single" w:color="auto"/>
          <w:color w:val="auto"/>
        </w:rPr>
        <w:t>Registration Statement on Form F-1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0" w:lineRule="exact"/>
        <w:rPr>
          <w:sz w:val="20"/>
          <w:szCs w:val="20"/>
          <w:color w:val="auto"/>
        </w:rPr>
      </w:pPr>
    </w:p>
    <w:p>
      <w:pPr>
        <w:ind w:right="100" w:firstLine="581"/>
        <w:spacing w:after="0" w:line="303" w:lineRule="auto"/>
        <w:rPr>
          <w:sz w:val="20"/>
          <w:szCs w:val="20"/>
          <w:color w:val="auto"/>
        </w:rPr>
      </w:pPr>
      <w:r>
        <w:rPr>
          <w:rFonts w:ascii="Arial" w:cs="Arial" w:eastAsia="Arial" w:hAnsi="Arial"/>
          <w:sz w:val="14"/>
          <w:szCs w:val="14"/>
          <w:color w:val="auto"/>
        </w:rPr>
        <w:t>We have acted as Israeli counsel for Kornit Digital Ltd., an Israeli company (the “</w:t>
      </w:r>
      <w:r>
        <w:rPr>
          <w:rFonts w:ascii="Arial" w:cs="Arial" w:eastAsia="Arial" w:hAnsi="Arial"/>
          <w:sz w:val="14"/>
          <w:szCs w:val="14"/>
          <w:b w:val="1"/>
          <w:bCs w:val="1"/>
          <w:color w:val="auto"/>
        </w:rPr>
        <w:t>Company</w:t>
      </w:r>
      <w:r>
        <w:rPr>
          <w:rFonts w:ascii="Arial" w:cs="Arial" w:eastAsia="Arial" w:hAnsi="Arial"/>
          <w:sz w:val="14"/>
          <w:szCs w:val="14"/>
          <w:color w:val="auto"/>
        </w:rPr>
        <w:t>”), in connection with the underwritten initial public offering by the Company, contemplating (i) the issuance and sale by the Company of an aggregate of 7,100,000 ordinary shares, par value NIS 0.01 per share (“</w:t>
      </w:r>
      <w:r>
        <w:rPr>
          <w:rFonts w:ascii="Arial" w:cs="Arial" w:eastAsia="Arial" w:hAnsi="Arial"/>
          <w:sz w:val="14"/>
          <w:szCs w:val="14"/>
          <w:b w:val="1"/>
          <w:bCs w:val="1"/>
          <w:color w:val="auto"/>
        </w:rPr>
        <w:t>Ordinary Shares</w:t>
      </w:r>
      <w:r>
        <w:rPr>
          <w:rFonts w:ascii="Arial" w:cs="Arial" w:eastAsia="Arial" w:hAnsi="Arial"/>
          <w:sz w:val="14"/>
          <w:szCs w:val="14"/>
          <w:color w:val="auto"/>
        </w:rPr>
        <w:t>”) of the Company (the “</w:t>
      </w:r>
      <w:r>
        <w:rPr>
          <w:rFonts w:ascii="Arial" w:cs="Arial" w:eastAsia="Arial" w:hAnsi="Arial"/>
          <w:sz w:val="14"/>
          <w:szCs w:val="14"/>
          <w:b w:val="1"/>
          <w:bCs w:val="1"/>
          <w:color w:val="auto"/>
        </w:rPr>
        <w:t>Offering Shares</w:t>
      </w:r>
      <w:r>
        <w:rPr>
          <w:rFonts w:ascii="Arial" w:cs="Arial" w:eastAsia="Arial" w:hAnsi="Arial"/>
          <w:sz w:val="14"/>
          <w:szCs w:val="14"/>
          <w:color w:val="auto"/>
        </w:rPr>
        <w:t>”) and (ii) the potential issuance and sale by the Company of up to an additional 1,065,000 Ordinary Shares (the “</w:t>
      </w:r>
      <w:r>
        <w:rPr>
          <w:rFonts w:ascii="Arial" w:cs="Arial" w:eastAsia="Arial" w:hAnsi="Arial"/>
          <w:sz w:val="14"/>
          <w:szCs w:val="14"/>
          <w:b w:val="1"/>
          <w:bCs w:val="1"/>
          <w:color w:val="auto"/>
        </w:rPr>
        <w:t>Additional Shares</w:t>
      </w:r>
      <w:r>
        <w:rPr>
          <w:rFonts w:ascii="Arial" w:cs="Arial" w:eastAsia="Arial" w:hAnsi="Arial"/>
          <w:sz w:val="14"/>
          <w:szCs w:val="14"/>
          <w:color w:val="auto"/>
        </w:rPr>
        <w:t>” and, collectively with the Offering Shares, the “</w:t>
      </w:r>
      <w:r>
        <w:rPr>
          <w:rFonts w:ascii="Arial" w:cs="Arial" w:eastAsia="Arial" w:hAnsi="Arial"/>
          <w:sz w:val="14"/>
          <w:szCs w:val="14"/>
          <w:b w:val="1"/>
          <w:bCs w:val="1"/>
          <w:color w:val="auto"/>
        </w:rPr>
        <w:t>Shares</w:t>
      </w:r>
      <w:r>
        <w:rPr>
          <w:rFonts w:ascii="Arial" w:cs="Arial" w:eastAsia="Arial" w:hAnsi="Arial"/>
          <w:sz w:val="14"/>
          <w:szCs w:val="14"/>
          <w:color w:val="auto"/>
        </w:rPr>
        <w:t>”), that are subject to an option to purchase additional shares proposed to be granted by the Company to the underwriters of the offering (the “</w:t>
      </w:r>
      <w:r>
        <w:rPr>
          <w:rFonts w:ascii="Arial" w:cs="Arial" w:eastAsia="Arial" w:hAnsi="Arial"/>
          <w:sz w:val="14"/>
          <w:szCs w:val="14"/>
          <w:b w:val="1"/>
          <w:bCs w:val="1"/>
          <w:color w:val="auto"/>
        </w:rPr>
        <w:t>Offering</w:t>
      </w:r>
      <w:r>
        <w:rPr>
          <w:rFonts w:ascii="Arial" w:cs="Arial" w:eastAsia="Arial" w:hAnsi="Arial"/>
          <w:sz w:val="14"/>
          <w:szCs w:val="14"/>
          <w:color w:val="auto"/>
        </w:rPr>
        <w:t>”). This opinion letter is rendered pursuant to Item 8(a) of Form F-1 promulgated by the United States Securities and Exchange Commission (the “</w:t>
      </w:r>
      <w:r>
        <w:rPr>
          <w:rFonts w:ascii="Arial" w:cs="Arial" w:eastAsia="Arial" w:hAnsi="Arial"/>
          <w:sz w:val="14"/>
          <w:szCs w:val="14"/>
          <w:b w:val="1"/>
          <w:bCs w:val="1"/>
          <w:color w:val="auto"/>
        </w:rPr>
        <w:t>SEC</w:t>
      </w:r>
      <w:r>
        <w:rPr>
          <w:rFonts w:ascii="Arial" w:cs="Arial" w:eastAsia="Arial" w:hAnsi="Arial"/>
          <w:sz w:val="14"/>
          <w:szCs w:val="14"/>
          <w:color w:val="auto"/>
        </w:rPr>
        <w:t>”) and Items 601(b)(5) and (b)(23) of the SEC’s Regulation S-K promulgated under the United States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p>
      <w:pPr>
        <w:spacing w:after="0" w:line="141"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In connection herewith, we have examined the originals, or photocopies or copies, certified or otherwise identified to our satisfaction, of: (i) the form of the registration statement on Form F-1 (File No. 333-202291) filed by the Company with the SEC (as amended through the date hereof,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and to which this opinion is attached as an exhibit; (ii) a copy of the articles of association of the Company, as currently in effect; (iii) a draft of the amended articles of association of the Company, to be in effect immediately prior to the closing of the Offering (the “</w:t>
      </w:r>
      <w:r>
        <w:rPr>
          <w:rFonts w:ascii="Arial" w:cs="Arial" w:eastAsia="Arial" w:hAnsi="Arial"/>
          <w:sz w:val="15"/>
          <w:szCs w:val="15"/>
          <w:b w:val="1"/>
          <w:bCs w:val="1"/>
          <w:color w:val="auto"/>
        </w:rPr>
        <w:t>Amended Articles</w:t>
      </w:r>
      <w:r>
        <w:rPr>
          <w:rFonts w:ascii="Arial" w:cs="Arial" w:eastAsia="Arial" w:hAnsi="Arial"/>
          <w:sz w:val="15"/>
          <w:szCs w:val="15"/>
          <w:color w:val="auto"/>
        </w:rPr>
        <w:t>”); (iv) resolutions of the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of the Company which have heretofore been approved and, in each case, which relate to the Registration Statement and other actions to be taken in connection with the Offering (the “</w:t>
      </w:r>
      <w:r>
        <w:rPr>
          <w:rFonts w:ascii="Arial" w:cs="Arial" w:eastAsia="Arial" w:hAnsi="Arial"/>
          <w:sz w:val="15"/>
          <w:szCs w:val="15"/>
          <w:b w:val="1"/>
          <w:bCs w:val="1"/>
          <w:color w:val="auto"/>
        </w:rPr>
        <w:t>Resolutions</w:t>
      </w:r>
      <w:r>
        <w:rPr>
          <w:rFonts w:ascii="Arial" w:cs="Arial" w:eastAsia="Arial" w:hAnsi="Arial"/>
          <w:sz w:val="15"/>
          <w:szCs w:val="15"/>
          <w:color w:val="auto"/>
        </w:rPr>
        <w:t>”); and (v) such other corporate records, agreements, documents and other instruments, and such certificates or comparable documents of public officials and of officers of the Company as we have deemed relevant and necessary as a basis for the opinions hereafter set forth. We have also made inquires of such officers as we have deemed relevant and necessary as a basis for the opinions hereafter set forth.</w:t>
      </w:r>
    </w:p>
    <w:p>
      <w:pPr>
        <w:spacing w:after="0" w:line="157" w:lineRule="exact"/>
        <w:rPr>
          <w:sz w:val="20"/>
          <w:szCs w:val="20"/>
          <w:color w:val="auto"/>
        </w:rPr>
      </w:pPr>
    </w:p>
    <w:p>
      <w:pPr>
        <w:ind w:right="20" w:firstLine="581"/>
        <w:spacing w:after="0" w:line="262" w:lineRule="auto"/>
        <w:rPr>
          <w:sz w:val="20"/>
          <w:szCs w:val="20"/>
          <w:color w:val="auto"/>
        </w:rPr>
      </w:pPr>
      <w:r>
        <w:rPr>
          <w:rFonts w:ascii="Arial" w:cs="Arial" w:eastAsia="Arial" w:hAnsi="Arial"/>
          <w:sz w:val="16"/>
          <w:szCs w:val="16"/>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251460</wp:posOffset>
            </wp:positionV>
            <wp:extent cx="71837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 w:name="page10"/>
    <w:bookmarkEnd w:id="9"/>
    <w:p>
      <w:pPr>
        <w:ind w:firstLine="581"/>
        <w:spacing w:after="0" w:line="267" w:lineRule="auto"/>
        <w:rPr>
          <w:sz w:val="20"/>
          <w:szCs w:val="20"/>
          <w:color w:val="auto"/>
        </w:rPr>
      </w:pPr>
      <w:r>
        <w:rPr>
          <w:rFonts w:ascii="Arial" w:cs="Arial" w:eastAsia="Arial" w:hAnsi="Arial"/>
          <w:sz w:val="16"/>
          <w:szCs w:val="16"/>
          <w:color w:val="auto"/>
        </w:rPr>
        <w:t>Based upon and subject to the foregoing, we are of the opinion that upon payment to the Company of the consideration per Share in such amount and form as shall be determined by the Board or an authorized committee thereof, the Shares, when issued and sold in the Offering as described in the Registration Statement, will be validly issued, fully paid and non-assessable.</w:t>
      </w:r>
    </w:p>
    <w:p>
      <w:pPr>
        <w:spacing w:after="0" w:line="161" w:lineRule="exact"/>
        <w:rPr>
          <w:sz w:val="20"/>
          <w:szCs w:val="20"/>
          <w:color w:val="auto"/>
        </w:rPr>
      </w:pPr>
    </w:p>
    <w:p>
      <w:pPr>
        <w:ind w:right="120" w:firstLine="581"/>
        <w:spacing w:after="0" w:line="281" w:lineRule="auto"/>
        <w:rPr>
          <w:sz w:val="20"/>
          <w:szCs w:val="20"/>
          <w:color w:val="auto"/>
        </w:rPr>
      </w:pPr>
      <w:r>
        <w:rPr>
          <w:rFonts w:ascii="Arial" w:cs="Arial" w:eastAsia="Arial" w:hAnsi="Arial"/>
          <w:sz w:val="16"/>
          <w:szCs w:val="16"/>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51" w:lineRule="exact"/>
        <w:rPr>
          <w:sz w:val="20"/>
          <w:szCs w:val="20"/>
          <w:color w:val="auto"/>
        </w:rPr>
      </w:pPr>
    </w:p>
    <w:p>
      <w:pPr>
        <w:ind w:right="160" w:firstLine="581"/>
        <w:spacing w:after="0" w:line="262" w:lineRule="auto"/>
        <w:rPr>
          <w:sz w:val="20"/>
          <w:szCs w:val="20"/>
          <w:color w:val="auto"/>
        </w:rPr>
      </w:pPr>
      <w:r>
        <w:rPr>
          <w:rFonts w:ascii="Arial" w:cs="Arial" w:eastAsia="Arial" w:hAnsi="Arial"/>
          <w:sz w:val="16"/>
          <w:szCs w:val="16"/>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promulgated under the Securities Act.</w:t>
      </w:r>
    </w:p>
    <w:p>
      <w:pPr>
        <w:spacing w:after="0" w:line="166" w:lineRule="exact"/>
        <w:rPr>
          <w:sz w:val="20"/>
          <w:szCs w:val="20"/>
          <w:color w:val="auto"/>
        </w:rPr>
      </w:pPr>
    </w:p>
    <w:p>
      <w:pPr>
        <w:ind w:firstLine="581"/>
        <w:spacing w:after="0" w:line="281"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Very truly yours,</w:t>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Meitar Liquornick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660400</wp:posOffset>
            </wp:positionV>
            <wp:extent cx="71989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995" cy="7620"/>
                    </a:xfrm>
                    <a:prstGeom prst="rect">
                      <a:avLst/>
                    </a:prstGeom>
                    <a:noFill/>
                  </pic:spPr>
                </pic:pic>
              </a:graphicData>
            </a:graphic>
          </wp:anchor>
        </w:drawing>
      </w:r>
    </w:p>
    <w:sectPr>
      <w:pgSz w:w="11900" w:h="16838" w:orient="portrait"/>
      <w:cols w:equalWidth="0" w:num="1">
        <w:col w:w="11300"/>
      </w:cols>
      <w:pgMar w:left="300" w:top="63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2019-12-09T05:46:03Z</dcterms:created>
  <dcterms:modified xsi:type="dcterms:W3CDTF">2019-12-09T05:46:03Z</dcterms:modified>
</cp:coreProperties>
</file>