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FORM 6-K</w:t>
      </w:r>
    </w:p>
    <w:p>
      <w:pPr>
        <w:spacing w:after="0" w:line="21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August 2017</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001-36903</w:t>
      </w:r>
    </w:p>
    <w:p>
      <w:pPr>
        <w:spacing w:after="0" w:line="212"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KORNIT DIGITAL LTD.</w:t>
      </w:r>
    </w:p>
    <w:p>
      <w:pPr>
        <w:spacing w:after="0" w:line="1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620" w:right="1719" w:hanging="4610"/>
        <w:spacing w:after="0" w:line="233"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20" w:firstLine="638"/>
        <w:spacing w:after="0" w:line="277" w:lineRule="auto"/>
        <w:rPr>
          <w:sz w:val="20"/>
          <w:szCs w:val="20"/>
          <w:color w:val="auto"/>
        </w:rPr>
      </w:pPr>
      <w:r>
        <w:rPr>
          <w:rFonts w:ascii="Arial" w:cs="Arial" w:eastAsia="Arial" w:hAnsi="Arial"/>
          <w:sz w:val="18"/>
          <w:szCs w:val="18"/>
          <w:color w:val="auto"/>
        </w:rPr>
        <w:t>On February 13, 2018, Kornit Digital Ltd. issued a press release entitled “Kornit Digital Reports 2017 Fourth Quarter and Full Year Results.” A copy of this press release is furnished as Exhibit 99.1 hereto.</w:t>
      </w:r>
    </w:p>
    <w:p>
      <w:pPr>
        <w:spacing w:after="0" w:line="170" w:lineRule="exact"/>
        <w:rPr>
          <w:sz w:val="20"/>
          <w:szCs w:val="20"/>
          <w:color w:val="auto"/>
        </w:rPr>
      </w:pPr>
    </w:p>
    <w:p>
      <w:pPr>
        <w:jc w:val="both"/>
        <w:ind w:firstLine="638"/>
        <w:spacing w:after="0" w:line="312" w:lineRule="auto"/>
        <w:rPr>
          <w:sz w:val="20"/>
          <w:szCs w:val="20"/>
          <w:color w:val="auto"/>
        </w:rPr>
      </w:pPr>
      <w:r>
        <w:rPr>
          <w:rFonts w:ascii="Arial" w:cs="Arial" w:eastAsia="Arial" w:hAnsi="Arial"/>
          <w:sz w:val="16"/>
          <w:szCs w:val="16"/>
          <w:color w:val="auto"/>
        </w:rPr>
        <w:t>The U.S. GAAP financial information contained in the (i) consolidated statements of operations, (ii) consolidated balance sheets and (iii) consolidated statements of cash flows included in the press release attached as Exhibit 99.1 to this Report on Form 6-K is hereby incorporated by reference into the Registrant’s Registration Statements on Form F-3 (File No. 333-215404) and Form S-8 (File No. 333-203970, 333-214015 and 333-217039).</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February 14,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4612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94"/>
              </w:rPr>
              <w:t>Exhibit Index</w:t>
            </w:r>
          </w:p>
        </w:tc>
      </w:tr>
      <w:tr>
        <w:trPr>
          <w:trHeight w:val="439"/>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100" w:type="dxa"/>
            <w:vAlign w:val="bottom"/>
            <w:tcBorders>
              <w:bottom w:val="single" w:sz="8" w:color="CCEEFF"/>
            </w:tcBorders>
          </w:tcPr>
          <w:p>
            <w:pPr>
              <w:spacing w:after="0"/>
              <w:rPr>
                <w:sz w:val="24"/>
                <w:szCs w:val="24"/>
                <w:color w:val="auto"/>
              </w:rPr>
            </w:pPr>
          </w:p>
        </w:tc>
        <w:tc>
          <w:tcPr>
            <w:tcW w:w="10160" w:type="dxa"/>
            <w:vAlign w:val="bottom"/>
            <w:tcBorders>
              <w:bottom w:val="single" w:sz="8" w:color="auto"/>
            </w:tcBorders>
            <w:gridSpan w:val="2"/>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160" w:type="dxa"/>
            <w:vAlign w:val="bottom"/>
            <w:tcBorders>
              <w:bottom w:val="single" w:sz="8" w:color="CCEEFF"/>
            </w:tcBorders>
            <w:shd w:val="clear" w:color="auto" w:fill="CCEEFF"/>
          </w:tcPr>
          <w:p>
            <w:pPr>
              <w:jc w:val="right"/>
              <w:ind w:right="330"/>
              <w:spacing w:after="0" w:line="176" w:lineRule="exact"/>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17"/>
                <w:szCs w:val="17"/>
                <w:color w:val="auto"/>
              </w:rPr>
            </w:pPr>
          </w:p>
        </w:tc>
        <w:tc>
          <w:tcPr>
            <w:tcW w:w="826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90"/>
              </w:rPr>
              <w:t>Press release dated February 13, 2018 entitled “Kornit Digital Reports 2017 Fourth Quarter and Full Year Results”</w:t>
            </w:r>
          </w:p>
        </w:tc>
        <w:tc>
          <w:tcPr>
            <w:tcW w:w="1900" w:type="dxa"/>
            <w:vAlign w:val="bottom"/>
            <w:tcBorders>
              <w:bottom w:val="single" w:sz="8" w:color="CCEEFF"/>
            </w:tcBorders>
            <w:shd w:val="clear" w:color="auto" w:fill="CCEEFF"/>
          </w:tcPr>
          <w:p>
            <w:pPr>
              <w:spacing w:after="0"/>
              <w:rPr>
                <w:sz w:val="17"/>
                <w:szCs w:val="17"/>
                <w:color w:val="auto"/>
              </w:rPr>
            </w:pPr>
          </w:p>
        </w:tc>
      </w:tr>
      <w:tr>
        <w:trPr>
          <w:trHeight w:val="655"/>
        </w:trPr>
        <w:tc>
          <w:tcPr>
            <w:tcW w:w="116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2"/>
          </w:tcPr>
          <w:p>
            <w:pPr>
              <w:jc w:val="right"/>
              <w:ind w:right="3670"/>
              <w:spacing w:after="0"/>
              <w:rPr>
                <w:sz w:val="20"/>
                <w:szCs w:val="20"/>
                <w:color w:val="auto"/>
              </w:rPr>
            </w:pPr>
            <w:r>
              <w:rPr>
                <w:rFonts w:ascii="Arial" w:cs="Arial" w:eastAsia="Arial" w:hAnsi="Arial"/>
                <w:sz w:val="18"/>
                <w:szCs w:val="18"/>
                <w:color w:val="auto"/>
              </w:rPr>
              <w:t>3</w:t>
            </w: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209040" cy="728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904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Reports 2017 Fourth Quarter and Full Year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56" w:lineRule="exact"/>
        <w:rPr>
          <w:sz w:val="20"/>
          <w:szCs w:val="20"/>
          <w:color w:val="auto"/>
        </w:rPr>
      </w:pPr>
    </w:p>
    <w:p>
      <w:pPr>
        <w:ind w:left="340" w:right="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Fourth quarter 2017 revenues of $30.0 million net of $0.4 million attributed to the non-cash impact of warrants deducted from revenues, compared to $32.0 million net of $2.0 million attributed to the non-cash impact of warrants deducted from revenues in the prior year</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 year 2017 sales of $114.1 million net of $2.9 million attributed to the non-cash impact of warrants deducted from revenues, compared to $108.7 million net of $2.0 million attributed to the non-cash impact of warrants deducted from revenues in the prior year.</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Fourth quarter GAAP net loss of $0.4 million, or ($0.01) per diluted share; non-GAAP net income of $1.5 million, or $0.04 per diluted share.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 year GAAP net loss of $2.0 million, or ($0.06) per diluted share; non-GAAP net income of $4.0 million, or $0.11 per diluted share.</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Rosh-Ha’Ayin, Israel – February 13, 2018 – </w:t>
      </w:r>
      <w:r>
        <w:rPr>
          <w:rFonts w:ascii="Arial" w:cs="Arial" w:eastAsia="Arial" w:hAnsi="Arial"/>
          <w:sz w:val="18"/>
          <w:szCs w:val="18"/>
          <w:color w:val="auto"/>
        </w:rPr>
        <w:t>Kornit Digital Ltd. (NASDAQ:KRNT), a leading provider of digital printing solutions for the global printed</w:t>
      </w:r>
      <w:r>
        <w:rPr>
          <w:rFonts w:ascii="Arial" w:cs="Arial" w:eastAsia="Arial" w:hAnsi="Arial"/>
          <w:sz w:val="18"/>
          <w:szCs w:val="18"/>
          <w:b w:val="1"/>
          <w:bCs w:val="1"/>
          <w:color w:val="auto"/>
        </w:rPr>
        <w:t xml:space="preserve"> </w:t>
      </w:r>
      <w:r>
        <w:rPr>
          <w:rFonts w:ascii="Arial" w:cs="Arial" w:eastAsia="Arial" w:hAnsi="Arial"/>
          <w:sz w:val="18"/>
          <w:szCs w:val="18"/>
          <w:color w:val="auto"/>
        </w:rPr>
        <w:t>textile industry, today reported results for the fourth quarter and fiscal year ended December 31, 2017.</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Non-GAAP figures in today’s press release are presented using a different methodology compared to previous periods as a result of comments from the US Securities and Exchange Commission. These changes also impact the Company’s guidance methodology.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 will provide additional information in today’s earning call, details of which can be found at the end of today’s press release.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for the fourth quarter of 2017 were $30.0 million, which represents a decrease of $2.0 million compared to the prior year. The non-cash impact of the warrants deducted from revenues amounted to $0.4 million in the fourth quarter of 2017 and $2.0 million in the fourth quarter of 2016. Lower revenues were driven by a large customer who, as previously disclosed, was unable to take a scheduled delivery of a large number of systems due to unforeseen protracted delays in the receipt of regulatory permits.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GAAP net loss in the fourth quarter of 2017 was $0.4 million, or ($0.01) per diluted share, compared to GAAP net income of $0.8 million, or $0.03 per diluted share in the fourth quarter of 2016. On a non-GAAP basis net income was $1.5 million, or $0.04 per diluted share, compared to prior-year non-GAAP net income of $3.0 million, or $0.09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both"/>
        <w:spacing w:after="0" w:line="257" w:lineRule="auto"/>
        <w:rPr>
          <w:sz w:val="20"/>
          <w:szCs w:val="20"/>
          <w:color w:val="auto"/>
        </w:rPr>
      </w:pPr>
      <w:r>
        <w:rPr>
          <w:rFonts w:ascii="Arial" w:cs="Arial" w:eastAsia="Arial" w:hAnsi="Arial"/>
          <w:sz w:val="18"/>
          <w:szCs w:val="18"/>
          <w:color w:val="auto"/>
        </w:rPr>
        <w:t>Gabi Seligsohn, Kornit Digital’s Chief Executive Officer commented, “The second half of 2017 was challenging as the previously announced order delay negatively impacted our results for the year. Customer timing issues notwithstanding, we believe consumer behavior affecting retail business models reached a tipping point in 2017, forcing the supply chain to react and positioning Kornit exceptionally well to capture large scale volume with screen printers. To that end, we generated meaningful interest from high volume printers at our recent trade shows, which underscores the capability of our newest technologies that offer a materially lower cost per print.”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Seligsohn added “We expect a meaningful uptick in our growth rate in 2018 driven by higher adoption rates of our products by screen printers, incremental deliveries on key customer programs and the success of new product introductions including our recently announced Avalanche HD6, which is currently being installed at multiple customer sites. These new systems and upgrade kits offer significant savings on cost per print in conjunction with high definition imaging and improved hand-feel. These growth drivers are supported by improving trends in European and Asian markets and a revamped North America sales team, all of which contribute to our optimism in the year ahead.”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Kornit reported fourth quarter revenues which are net of the non-cash impact of warrants deducted from revenues, of $30.0 million, compared with the prior-year level of $32.0 million. The total non-cash impact of the warrants deducted from revenues was $0.4 million in 2017, and $2.0 million in 2016. Lower sales were the result of previously disclosed program delays associated with permitting at a large customer site.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 GAAP basis, fourth quarter gross profit was $14.5 million, compared with $13.6 million, in the prior-year. Non-GAAP gross profit in the fourth quarter was $14.6 million, or 48.9% of sales, compared with $14.9 million, or 46.6% of sales in the prior-year. Higher gross margins primarily reflected a seasonally stronger contribution from ink and consumables.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 GAAP basis, total operating expenses in the fourth quarter were $15 million, compared to $12.8 million in the prior period. Non-GAAP operating expenses in the fourth quarter increased to $13.5 million, or 45.1% of sales, compared to $11.8 million, or 36.9% of sales in the prior year. The increase in total operating expenses was consistent with the previously stated growth strategy, as the Company continues to execute to its global infrastructure build out and was particularly impacted by costs associated with increased headcount expenses.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Fourth quarter GAAP research and development expenses were $5.6 million, compared to the prior-year period of $5.1 million. Fourth quarter non-GAAP research and development expenses were $5.4 million, or 18.2% of sales, compared to $4.9 million, or 15.5% of sales in the prior-year.</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 GAAP basis, fourth quarter operating loss was $0.5 million, compared to the prior year period operating income of $0.8 million. Non-GAAP operating income in the fourth quarter decreased to $1.1 million, compared to $3.1 million in the prior year. As a percent of sales, adjusted operating margin for the fourth quarter was 3.8% of sales, compared with 9.7% of sales in the prior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 GAAP basis, the Company reported a net loss of $0.4 million, or ($0.01) per diluted share, compared to a net income of $0.8 million, in the fourth quarter of 2016. Non-GAAP net income for the fourth quarter of 2017 was $1.5 million, or $0.04 per diluted share, compared to $3.0 million in the prior year period.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Full Year 2017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Full year 2017 GAAP revenues which are net of the non-cash impact of the warrants deducted from revenues were $114.1 million, compared to revenues of $108.7 million in the prior year. The full year impact from warrants was $2.9 million in 2017, and $2.0 million in 2016. Higher sales compared to the prior year were primarily related to higher volume of products sold the success of new product introductions and incremental sales from services. For the full-year, the Company recorded 89.4% of revenue from products, and 10.6% of revenue from services.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Full year GAAP gross profit was $54.1 million, compared to $49.4 million in the prior year. Non-GAAP gross profit for the full year 2017 was $54.8 million, or 48.1% of sales, compared to $52.6 million, or 48.4% of sales for the full year 2016.</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Full year 2017 operating expenses on a GAAP basis were $56.2 million, compared to $48 million for the full year of 2016. Non-GAAP operating expenses for the full year of 2017 were $50.7 million, or 44.4% of sales, compared to the prior year level of $44 million, or 40.5% of sales. The increase in total operating expenses was consistent with the previously stated growth strategy, as the Company continues to execute to its global infrastructure build out.</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Full year 2017 research and development expenses on a GAAP basis were $20.8 million, compared to the prior year of $17.4 million. Full year non-GAAP research and development expenses were $20.1 million, or 17.6% of sales, compared to $17.0 million, or 15.6% of sales in the prior year.</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Full year 2017 GAAP operating loss decreased to $2.1 million, compared to operating income of $1.4 million in the year ago period. Non-GAAP operating income in the full year 2017 decreased to $4.1 million, compared to the prior year period of $8.6 million.</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a GAAP basis, full year 2017 net losses were $2.0 million, or ($0.06) per diluted share, compared to $0.8 million in the prior year. Non-GAAP full year 2017 net income was $4 million, or $0.04 per diluted share, compared with non-GAAP net income of $7.8 million in the prior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2017, the Company had cash, cash equivalent, short term deposits and marketable securities of $97.5 million. Cash flow from operating activity for fourth quarter 2017 was $12.0 million. Cash flow from operations for the full-year of 2017 were $6.0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2018 Guidance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will discuss the details of its guidance live during its earnings conference call, which will be available for replay via webcast at </w:t>
      </w:r>
      <w:r>
        <w:rPr>
          <w:rFonts w:ascii="Arial" w:cs="Arial" w:eastAsia="Arial" w:hAnsi="Arial"/>
          <w:sz w:val="16"/>
          <w:szCs w:val="16"/>
          <w:u w:val="single" w:color="auto"/>
          <w:color w:val="auto"/>
        </w:rPr>
        <w:t>ir.kornit.com</w:t>
      </w:r>
      <w:r>
        <w:rPr>
          <w:rFonts w:ascii="Arial" w:cs="Arial" w:eastAsia="Arial" w:hAnsi="Arial"/>
          <w:sz w:val="16"/>
          <w:szCs w:val="16"/>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Gabi Seligsohn, the Company’s Chief Executive Officer, and Guy Avidan, the Company’s Chief Financial Officer, will host a conference call today at 5:00 p.m. ET, or 0:00 a.m. Israel time, to discuss the results, followed by a question and answer session for the investment community. A live webcast of the call can be accessed at ir.kornit.com. To access the call, participants may dial toll-free at 1-800-289-0438 or +1-323-794-2423. The toll-free Israeli number is 1 80 921 2883. The confirmation code is 9278278.</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both"/>
        <w:spacing w:after="0" w:line="264" w:lineRule="auto"/>
        <w:rPr>
          <w:sz w:val="20"/>
          <w:szCs w:val="20"/>
          <w:color w:val="auto"/>
        </w:rPr>
      </w:pPr>
      <w:r>
        <w:rPr>
          <w:rFonts w:ascii="Arial" w:cs="Arial" w:eastAsia="Arial" w:hAnsi="Arial"/>
          <w:sz w:val="18"/>
          <w:szCs w:val="18"/>
          <w:color w:val="auto"/>
        </w:rPr>
        <w:t>To listen to a telephonic replay of the conference call, dial toll-free 1-844-512-2921 or +1-412-317-6671 (international) and enter confirmation code 9278278. The telephonic replay will be available beginning at 8:00 p.m. ET on Tuesday, February 13, 2018, and will last through 11:59 p.m. ET on Tuesday, February 27, 2018. The call will also be available for replay via the webcast link on Kornit’s Investor Relations website.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our success in developing, introducing and selling new or improved products and product enhancements, our ability to consummate sales to large accounts with multi-system delivery plans, our ability to fill orders for our systems, our ability to continue to increase sales of our systems and ink and consumables, our ability to leverage our global infrastructure build-out, the development of the market for digital textile printing, availability of alternative ink, competition, sales concentration, changes to our relationships with suppliers, our success in marketing, and those factors referred to under “Risk Factors” in the company’s final prospectus filed with the U.S. Securities and Exchange Commission on January 26, 2017.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Discussion Disclosure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Non-GAAP financial measures consist of GAAP financial measures adjusted to exclude excess cost of acquired inventory, share-based compensation expenses, acquisition related costs, restructuring expenses, onetime tax expenses and amortization of acquired intangible assets. The purpose of such adjustments is to give an indication of our performance exclusive of non-cash charges and other items that are considered by management to be outside of our core operating results. These non-GAAP measures are among the primary factors management uses in planning for and forecasting future periods. Furthermore, the non-GAAP measures are regularly used internally to understand, manage and evaluate our business and make operating decisions, and we believe that they are useful to investors as a consistent and comparable measure of the ongoing performance of our business. However,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Kornit Digital (NASDAQ:KRNT)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ind w:left="472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4"/>
          </w:tcPr>
          <w:p>
            <w:pPr>
              <w:jc w:val="center"/>
              <w:ind w:left="491"/>
              <w:spacing w:after="0"/>
              <w:rPr>
                <w:sz w:val="20"/>
                <w:szCs w:val="20"/>
                <w:color w:val="auto"/>
              </w:rPr>
            </w:pPr>
            <w:r>
              <w:rPr>
                <w:rFonts w:ascii="Arial" w:cs="Arial" w:eastAsia="Arial" w:hAnsi="Arial"/>
                <w:sz w:val="18"/>
                <w:szCs w:val="18"/>
                <w:b w:val="1"/>
                <w:bCs w:val="1"/>
                <w:color w:val="auto"/>
                <w:w w:val="92"/>
              </w:rPr>
              <w:t>Year Ended</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20"/>
                <w:szCs w:val="20"/>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2016</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jc w:val="center"/>
              <w:ind w:right="15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5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101,953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100,818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26,219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29,189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Services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12,135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7,876</w:t>
            </w: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3,731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114,088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108,694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Products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46,483</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11,834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14,282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13,497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12,801</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cost of revenues</w:t>
            </w:r>
          </w:p>
        </w:tc>
        <w:tc>
          <w:tcPr>
            <w:tcW w:w="5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59,977</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59,284</w:t>
            </w: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15,495</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18,360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Gross profit</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54,111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49,410</w:t>
            </w: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14,455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13,627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17,383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Selling and marketing</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21,279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18,338</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5,153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12,259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Restructuring expenses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Operating income (loss)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1,430</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(expenses), net</w:t>
            </w: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(loss) before taxes on income</w:t>
            </w:r>
          </w:p>
        </w:tc>
        <w:tc>
          <w:tcPr>
            <w:tcW w:w="5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(1,631)</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1,476</w:t>
            </w: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(388)</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757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Taxes on income (benefit)</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(loss) per share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(0.06</w:t>
            </w:r>
            <w:r>
              <w:rPr>
                <w:rFonts w:ascii="Arial" w:cs="Arial" w:eastAsia="Arial" w:hAnsi="Arial"/>
                <w:sz w:val="29"/>
                <w:szCs w:val="29"/>
                <w:color w:val="auto"/>
                <w:vertAlign w:val="superscript"/>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 average number of shares used in computing basic net income</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per share</w:t>
            </w:r>
          </w:p>
        </w:tc>
        <w:tc>
          <w:tcPr>
            <w:tcW w:w="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33,574,147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30,562,255</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34,064,165</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30,820,905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(0.06</w:t>
            </w:r>
            <w:r>
              <w:rPr>
                <w:rFonts w:ascii="Arial" w:cs="Arial" w:eastAsia="Arial" w:hAnsi="Arial"/>
                <w:sz w:val="29"/>
                <w:szCs w:val="29"/>
                <w:color w:val="auto"/>
                <w:vertAlign w:val="superscript"/>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Weighted average number of shares used in computing diluted net income</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per share</w:t>
            </w:r>
          </w:p>
        </w:tc>
        <w:tc>
          <w:tcPr>
            <w:tcW w:w="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33,574,147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31,732,532</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34,064,165</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31,850,639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CCEEFF"/>
            </w:tcBorders>
            <w:vMerge w:val="restart"/>
          </w:tcPr>
          <w:p>
            <w:pPr>
              <w:jc w:val="right"/>
              <w:ind w:right="230"/>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9" w:name="page10"/>
    <w:bookmarkEnd w:id="9"/>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RECONCILATION OF GAAP TO NON-GAAP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 and per share data)</w:t>
      </w:r>
    </w:p>
    <w:p>
      <w:pPr>
        <w:sectPr>
          <w:pgSz w:w="11900" w:h="16900" w:orient="portrait"/>
          <w:cols w:equalWidth="0" w:num="1">
            <w:col w:w="11420"/>
          </w:cols>
          <w:pgMar w:left="240" w:top="337" w:right="239" w:bottom="0" w:gutter="0" w:footer="0" w:header="0"/>
        </w:sectPr>
      </w:pPr>
    </w:p>
    <w:p>
      <w:pPr>
        <w:spacing w:after="0" w:line="207"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6122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5" w:lineRule="exact"/>
        <w:rPr>
          <w:sz w:val="20"/>
          <w:szCs w:val="20"/>
          <w:color w:val="auto"/>
        </w:rPr>
      </w:pPr>
    </w:p>
    <w:p>
      <w:pPr>
        <w:ind w:left="6480"/>
        <w:spacing w:after="0"/>
        <w:tabs>
          <w:tab w:leader="none" w:pos="784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16122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39"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16122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14605</wp:posOffset>
            </wp:positionV>
            <wp:extent cx="157797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25"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31750</wp:posOffset>
            </wp:positionV>
            <wp:extent cx="157797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17145</wp:posOffset>
            </wp:positionV>
            <wp:extent cx="15779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8500" w:space="720"/>
            <w:col w:w="2200"/>
          </w:cols>
          <w:pgMar w:left="240" w:top="337" w:right="239" w:bottom="0" w:gutter="0" w:footer="0" w:header="0"/>
          <w:type w:val="continuous"/>
        </w:sectPr>
      </w:pP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GAAP cost of revenues</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59,977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59,284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15,495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Cost of product recorded for share-based compensation (1)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recorded for share-based compensation (1)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Intangible assets amortization (3)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Excess cost on acquired inventory (a)</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(2,471)</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Non-GAAP cost of revenues</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59,248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56,106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15,313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17,086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GAAP gross profit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54,111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49,410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14,455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13,627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Gross profit adjustments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Non-GAAP gross profit</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54,840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52,588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14,637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14,901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GAAP operating expenses</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56,194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47,980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14,997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Expenses recorded for share-based compensation (1)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Acquisition related expenses (2)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(937)</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amortization (3)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one time expense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Non-GAAP operating expenses</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50,699</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43,996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13,505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11,801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GAAP Taxes on income (benefit)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602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Tax effect on to the above non-GAAP adjustments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Impact of the US tax reform (b)</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Non-GAAP Taxes on income (benefit)</w:t>
            </w: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vMerge w:val="continue"/>
            <w:shd w:val="clear" w:color="auto" w:fill="CCEEFF"/>
          </w:tcPr>
          <w:p>
            <w:pPr>
              <w:spacing w:after="0"/>
              <w:rPr>
                <w:sz w:val="21"/>
                <w:szCs w:val="21"/>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40" w:type="dxa"/>
            <w:vAlign w:val="bottom"/>
            <w:vMerge w:val="continue"/>
            <w:shd w:val="clear" w:color="auto" w:fill="CCEEFF"/>
          </w:tcPr>
          <w:p>
            <w:pPr>
              <w:spacing w:after="0"/>
              <w:rPr>
                <w:sz w:val="21"/>
                <w:szCs w:val="21"/>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Expenses recorded for share-based compensation (1)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4,411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2,994</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expenses (2)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Intangible assets amortization (3)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519</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Excess cost on acquired inventory (a)</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one time expense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Tax effect on to the above non-GAAP adjustments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Impact of the US tax reform (b)</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Non-GAAP net income (*)</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3,981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7,822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1,520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GAAP diluted earning (loss) per share</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line="256" w:lineRule="exact"/>
              <w:rPr>
                <w:sz w:val="20"/>
                <w:szCs w:val="20"/>
                <w:color w:val="auto"/>
              </w:rPr>
            </w:pPr>
            <w:r>
              <w:rPr>
                <w:rFonts w:ascii="Arial" w:cs="Arial" w:eastAsia="Arial" w:hAnsi="Arial"/>
                <w:sz w:val="16"/>
                <w:szCs w:val="16"/>
                <w:color w:val="auto"/>
              </w:rPr>
              <w:t>(0.06</w:t>
            </w:r>
            <w:r>
              <w:rPr>
                <w:rFonts w:ascii="Arial" w:cs="Arial" w:eastAsia="Arial" w:hAnsi="Arial"/>
                <w:sz w:val="29"/>
                <w:szCs w:val="29"/>
                <w:color w:val="auto"/>
                <w:vertAlign w:val="superscript"/>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0.03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Non-GAAP diluted earning (loss) per share</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0.11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60" w:type="dxa"/>
            <w:vAlign w:val="bottom"/>
          </w:tcPr>
          <w:p>
            <w:pPr>
              <w:spacing w:after="0" w:line="201" w:lineRule="exact"/>
              <w:rPr>
                <w:sz w:val="20"/>
                <w:szCs w:val="20"/>
                <w:color w:val="auto"/>
              </w:rPr>
            </w:pPr>
            <w:r>
              <w:rPr>
                <w:rFonts w:ascii="Arial" w:cs="Arial" w:eastAsia="Arial" w:hAnsi="Arial"/>
                <w:sz w:val="18"/>
                <w:szCs w:val="18"/>
                <w:color w:val="auto"/>
                <w:w w:val="91"/>
              </w:rPr>
              <w:t>Weighted average number of shares used in computing diluted GAAP net earning</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(loss) per share</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33,574,147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31,732,532</w:t>
            </w:r>
          </w:p>
        </w:tc>
        <w:tc>
          <w:tcPr>
            <w:tcW w:w="2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34,064,165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31,850,639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60" w:type="dxa"/>
            <w:vAlign w:val="bottom"/>
          </w:tcPr>
          <w:p>
            <w:pPr>
              <w:spacing w:after="0" w:line="201" w:lineRule="exact"/>
              <w:rPr>
                <w:sz w:val="20"/>
                <w:szCs w:val="20"/>
                <w:color w:val="auto"/>
              </w:rPr>
            </w:pPr>
            <w:r>
              <w:rPr>
                <w:rFonts w:ascii="Arial" w:cs="Arial" w:eastAsia="Arial" w:hAnsi="Arial"/>
                <w:sz w:val="18"/>
                <w:szCs w:val="18"/>
                <w:color w:val="auto"/>
                <w:w w:val="95"/>
              </w:rPr>
              <w:t>Weighted average number of shares used in computing diluted non GAAP net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earning per share</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34,942,014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32,035,680</w:t>
            </w:r>
          </w:p>
        </w:tc>
        <w:tc>
          <w:tcPr>
            <w:tcW w:w="2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35,130,831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32,145,815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(1) Expenses recorded for share-based compensation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product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Cost of service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654</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4,411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1,218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 Acquisition related expenses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and marketing</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ind w:left="3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337" w:right="239" w:bottom="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6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(3) Intangible assets amortization</w:t>
            </w:r>
          </w:p>
        </w:tc>
        <w:tc>
          <w:tcPr>
            <w:tcW w:w="1160" w:type="dxa"/>
            <w:vAlign w:val="bottom"/>
            <w:tcBorders>
              <w:top w:val="single" w:sz="8" w:color="CCEEFF"/>
              <w:bottom w:val="single" w:sz="8" w:color="auto"/>
            </w:tcBorders>
          </w:tcPr>
          <w:p>
            <w:pPr>
              <w:spacing w:after="0"/>
              <w:rPr>
                <w:sz w:val="3"/>
                <w:szCs w:val="3"/>
                <w:color w:val="auto"/>
              </w:rPr>
            </w:pPr>
          </w:p>
        </w:tc>
        <w:tc>
          <w:tcPr>
            <w:tcW w:w="240" w:type="dxa"/>
            <w:vAlign w:val="bottom"/>
            <w:tcBorders>
              <w:top w:val="single" w:sz="8" w:color="CCEEFF"/>
            </w:tcBorders>
          </w:tcPr>
          <w:p>
            <w:pPr>
              <w:spacing w:after="0"/>
              <w:rPr>
                <w:sz w:val="3"/>
                <w:szCs w:val="3"/>
                <w:color w:val="auto"/>
              </w:rPr>
            </w:pPr>
          </w:p>
        </w:tc>
        <w:tc>
          <w:tcPr>
            <w:tcW w:w="1140" w:type="dxa"/>
            <w:vAlign w:val="bottom"/>
            <w:tcBorders>
              <w:top w:val="single" w:sz="8" w:color="CCEEFF"/>
              <w:bottom w:val="single" w:sz="8" w:color="auto"/>
            </w:tcBorders>
          </w:tcPr>
          <w:p>
            <w:pPr>
              <w:spacing w:after="0"/>
              <w:rPr>
                <w:sz w:val="3"/>
                <w:szCs w:val="3"/>
                <w:color w:val="auto"/>
              </w:rPr>
            </w:pPr>
          </w:p>
        </w:tc>
        <w:tc>
          <w:tcPr>
            <w:tcW w:w="200" w:type="dxa"/>
            <w:vAlign w:val="bottom"/>
            <w:tcBorders>
              <w:top w:val="single" w:sz="8" w:color="CCEEFF"/>
            </w:tcBorders>
          </w:tcPr>
          <w:p>
            <w:pPr>
              <w:spacing w:after="0"/>
              <w:rPr>
                <w:sz w:val="3"/>
                <w:szCs w:val="3"/>
                <w:color w:val="auto"/>
              </w:rPr>
            </w:pPr>
          </w:p>
        </w:tc>
        <w:tc>
          <w:tcPr>
            <w:tcW w:w="1140" w:type="dxa"/>
            <w:vAlign w:val="bottom"/>
            <w:tcBorders>
              <w:top w:val="single" w:sz="8" w:color="CCEEFF"/>
              <w:bottom w:val="single" w:sz="8" w:color="auto"/>
            </w:tcBorders>
          </w:tcPr>
          <w:p>
            <w:pPr>
              <w:spacing w:after="0"/>
              <w:rPr>
                <w:sz w:val="3"/>
                <w:szCs w:val="3"/>
                <w:color w:val="auto"/>
              </w:rPr>
            </w:pPr>
          </w:p>
        </w:tc>
        <w:tc>
          <w:tcPr>
            <w:tcW w:w="220" w:type="dxa"/>
            <w:vAlign w:val="bottom"/>
            <w:tcBorders>
              <w:top w:val="single" w:sz="8" w:color="CCEEFF"/>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product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6080" w:type="dxa"/>
            <w:vAlign w:val="bottom"/>
          </w:tcPr>
          <w:p>
            <w:pPr>
              <w:ind w:left="340"/>
              <w:spacing w:after="0"/>
              <w:rPr>
                <w:sz w:val="20"/>
                <w:szCs w:val="20"/>
                <w:color w:val="auto"/>
              </w:rPr>
            </w:pPr>
            <w:r>
              <w:rPr>
                <w:rFonts w:ascii="Arial" w:cs="Arial" w:eastAsia="Arial" w:hAnsi="Arial"/>
                <w:sz w:val="18"/>
                <w:szCs w:val="18"/>
                <w:color w:val="auto"/>
              </w:rPr>
              <w:t>Selling and marketing</w:t>
            </w:r>
          </w:p>
        </w:tc>
        <w:tc>
          <w:tcPr>
            <w:tcW w:w="1160" w:type="dxa"/>
            <w:vAlign w:val="bottom"/>
          </w:tcPr>
          <w:p>
            <w:pPr>
              <w:jc w:val="right"/>
              <w:spacing w:after="0"/>
              <w:rPr>
                <w:sz w:val="20"/>
                <w:szCs w:val="20"/>
                <w:color w:val="auto"/>
              </w:rPr>
            </w:pPr>
            <w:r>
              <w:rPr>
                <w:rFonts w:ascii="Arial" w:cs="Arial" w:eastAsia="Arial" w:hAnsi="Arial"/>
                <w:sz w:val="18"/>
                <w:szCs w:val="18"/>
                <w:color w:val="auto"/>
              </w:rPr>
              <w:t>1,210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267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608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
        </w:trPr>
        <w:tc>
          <w:tcPr>
            <w:tcW w:w="6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20" w:hanging="452"/>
        <w:spacing w:after="0" w:line="29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Consists of charges to cost of revenues for the difference between the higher carrying cost of the acquired inventory from a distributer purchased on July 1, 2016 which was recorded at fair value and the standard cost of the Company’s inventory, which adversely impacts the Company’s gross profit</w:t>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One-time charge of $355 associated with the enactment of U.S. tax reform due to its unique non-recurring nature</w:t>
      </w:r>
    </w:p>
    <w:p>
      <w:pPr>
        <w:spacing w:after="0" w:line="9" w:lineRule="exact"/>
        <w:rPr>
          <w:sz w:val="20"/>
          <w:szCs w:val="20"/>
          <w:color w:val="auto"/>
        </w:rPr>
      </w:pPr>
    </w:p>
    <w:p>
      <w:pPr>
        <w:ind w:left="46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net income has been updated from prior reports (a) to remove the adjustment for the non-cash impact of the warrants deducted from revenues, and (b) to reflect the impact on taxes on income related to the non-GAAP adjustment.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9"/>
                <w:szCs w:val="19"/>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7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Short term deposit</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marketable securities</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Trade receivables, net</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23,245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receivables and prepaid expenses</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Inventory</w:t>
            </w:r>
          </w:p>
        </w:tc>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34,855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0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Available for sale marketable securities</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68,835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Severance pay fund</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Deferred tax asset</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Intangible assets, net</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assets</w:t>
            </w:r>
          </w:p>
        </w:tc>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40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CURRENT LIABILITIES:</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Employees and payroll accruals</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 and advances from customers</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payables and accrued expenses</w:t>
            </w:r>
          </w:p>
        </w:tc>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0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Accrued severance pay</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Payment obligation related to acquisition</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Total long-term liabilities</w:t>
            </w:r>
          </w:p>
        </w:tc>
        <w:tc>
          <w:tcPr>
            <w:tcW w:w="40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2,155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SHAREHOLDERS’ EQUITY</w:t>
            </w:r>
          </w:p>
        </w:tc>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150,699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107,188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178,374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140,046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40" w:type="dxa"/>
            <w:vAlign w:val="bottom"/>
            <w:vMerge w:val="restart"/>
          </w:tcPr>
          <w:p>
            <w:pPr>
              <w:jc w:val="right"/>
              <w:ind w:right="297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center"/>
              <w:ind w:left="435"/>
              <w:spacing w:after="0"/>
              <w:rPr>
                <w:sz w:val="20"/>
                <w:szCs w:val="20"/>
                <w:color w:val="auto"/>
              </w:rPr>
            </w:pPr>
            <w:r>
              <w:rPr>
                <w:rFonts w:ascii="Arial" w:cs="Arial" w:eastAsia="Arial" w:hAnsi="Arial"/>
                <w:sz w:val="17"/>
                <w:szCs w:val="17"/>
                <w:b w:val="1"/>
                <w:bCs w:val="1"/>
                <w:color w:val="auto"/>
                <w:w w:val="91"/>
              </w:rPr>
              <w:t>Year Ended</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03"/>
              <w:spacing w:after="0"/>
              <w:rPr>
                <w:sz w:val="20"/>
                <w:szCs w:val="20"/>
                <w:color w:val="auto"/>
              </w:rPr>
            </w:pPr>
            <w:r>
              <w:rPr>
                <w:rFonts w:ascii="Arial" w:cs="Arial" w:eastAsia="Arial" w:hAnsi="Arial"/>
                <w:sz w:val="17"/>
                <w:szCs w:val="17"/>
                <w:b w:val="1"/>
                <w:bCs w:val="1"/>
                <w:color w:val="auto"/>
                <w:w w:val="91"/>
              </w:rPr>
              <w:t>Three Months Ended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left="415"/>
              <w:spacing w:after="0"/>
              <w:rPr>
                <w:sz w:val="20"/>
                <w:szCs w:val="20"/>
                <w:color w:val="auto"/>
              </w:rPr>
            </w:pPr>
            <w:r>
              <w:rPr>
                <w:rFonts w:ascii="Arial" w:cs="Arial" w:eastAsia="Arial" w:hAnsi="Arial"/>
                <w:sz w:val="17"/>
                <w:szCs w:val="17"/>
                <w:b w:val="1"/>
                <w:bCs w:val="1"/>
                <w:color w:val="auto"/>
                <w:w w:val="90"/>
              </w:rPr>
              <w:t>December 31,</w:t>
            </w: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left="415"/>
              <w:spacing w:after="0"/>
              <w:rPr>
                <w:sz w:val="20"/>
                <w:szCs w:val="20"/>
                <w:color w:val="auto"/>
              </w:rPr>
            </w:pPr>
            <w:r>
              <w:rPr>
                <w:rFonts w:ascii="Arial" w:cs="Arial" w:eastAsia="Arial" w:hAnsi="Arial"/>
                <w:sz w:val="17"/>
                <w:szCs w:val="17"/>
                <w:b w:val="1"/>
                <w:bCs w:val="1"/>
                <w:color w:val="auto"/>
                <w:w w:val="88"/>
              </w:rPr>
              <w:t>December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2017</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w w:val="89"/>
              </w:rPr>
              <w:t>2016</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2017</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w w:val="84"/>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ind w:left="415"/>
              <w:spacing w:after="0"/>
              <w:rPr>
                <w:sz w:val="20"/>
                <w:szCs w:val="20"/>
                <w:color w:val="auto"/>
              </w:rPr>
            </w:pPr>
            <w:r>
              <w:rPr>
                <w:rFonts w:ascii="Arial" w:cs="Arial" w:eastAsia="Arial" w:hAnsi="Arial"/>
                <w:sz w:val="17"/>
                <w:szCs w:val="17"/>
                <w:b w:val="1"/>
                <w:bCs w:val="1"/>
                <w:color w:val="auto"/>
                <w:w w:val="93"/>
              </w:rPr>
              <w:t>(Unaudited)</w:t>
            </w:r>
          </w:p>
        </w:tc>
        <w:tc>
          <w:tcPr>
            <w:tcW w:w="7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ind w:left="415"/>
              <w:spacing w:after="0"/>
              <w:rPr>
                <w:sz w:val="20"/>
                <w:szCs w:val="20"/>
                <w:color w:val="auto"/>
              </w:rPr>
            </w:pPr>
            <w:r>
              <w:rPr>
                <w:rFonts w:ascii="Arial" w:cs="Arial" w:eastAsia="Arial" w:hAnsi="Arial"/>
                <w:sz w:val="17"/>
                <w:szCs w:val="17"/>
                <w:b w:val="1"/>
                <w:bCs w:val="1"/>
                <w:color w:val="auto"/>
                <w:w w:val="95"/>
              </w:rPr>
              <w:t>(Unaudited)</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760" w:type="dxa"/>
            <w:vAlign w:val="bottom"/>
            <w:gridSpan w:val="4"/>
          </w:tcPr>
          <w:p>
            <w:pPr>
              <w:spacing w:after="0"/>
              <w:rPr>
                <w:sz w:val="20"/>
                <w:szCs w:val="20"/>
                <w:color w:val="auto"/>
              </w:rPr>
            </w:pPr>
            <w:r>
              <w:rPr>
                <w:rFonts w:ascii="Arial" w:cs="Arial" w:eastAsia="Arial" w:hAnsi="Arial"/>
                <w:sz w:val="17"/>
                <w:szCs w:val="17"/>
                <w:color w:val="auto"/>
              </w:rPr>
              <w:t>Cash flows from operating activities: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25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(2,015)</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820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740" w:type="dxa"/>
            <w:vAlign w:val="bottom"/>
            <w:gridSpan w:val="3"/>
          </w:tcPr>
          <w:p>
            <w:pPr>
              <w:spacing w:after="0" w:line="185" w:lineRule="exact"/>
              <w:rPr>
                <w:sz w:val="20"/>
                <w:szCs w:val="20"/>
                <w:color w:val="auto"/>
              </w:rPr>
            </w:pPr>
            <w:r>
              <w:rPr>
                <w:rFonts w:ascii="Arial" w:cs="Arial" w:eastAsia="Arial" w:hAnsi="Arial"/>
                <w:sz w:val="17"/>
                <w:szCs w:val="17"/>
                <w:color w:val="auto"/>
                <w:w w:val="99"/>
              </w:rPr>
              <w:t>Adjustments to reconcile net income (loss) to net cash provided by operating</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tcPr>
          <w:p>
            <w:pPr>
              <w:ind w:left="160"/>
              <w:spacing w:after="0"/>
              <w:rPr>
                <w:sz w:val="20"/>
                <w:szCs w:val="20"/>
                <w:color w:val="auto"/>
              </w:rPr>
            </w:pPr>
            <w:r>
              <w:rPr>
                <w:rFonts w:ascii="Arial" w:cs="Arial" w:eastAsia="Arial" w:hAnsi="Arial"/>
                <w:sz w:val="17"/>
                <w:szCs w:val="17"/>
                <w:color w:val="auto"/>
              </w:rPr>
              <w:t>activities: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4,814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2,964</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1,183</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957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7"/>
                <w:szCs w:val="17"/>
                <w:color w:val="auto"/>
              </w:rPr>
              <w:t>Fair value of warrants deducted from revenues</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2,895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2,030</w:t>
            </w:r>
          </w:p>
        </w:tc>
        <w:tc>
          <w:tcPr>
            <w:tcW w:w="2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393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63"/>
              <w:spacing w:after="0"/>
              <w:rPr>
                <w:sz w:val="20"/>
                <w:szCs w:val="20"/>
                <w:color w:val="auto"/>
              </w:rPr>
            </w:pPr>
            <w:r>
              <w:rPr>
                <w:rFonts w:ascii="Arial" w:cs="Arial" w:eastAsia="Arial" w:hAnsi="Arial"/>
                <w:sz w:val="17"/>
                <w:szCs w:val="17"/>
                <w:color w:val="auto"/>
              </w:rPr>
              <w:t>2,030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Share-based compensation</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4,411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2,994</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1,218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914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7"/>
                <w:szCs w:val="17"/>
                <w:color w:val="auto"/>
              </w:rPr>
              <w:t>Tax benefit related to exercise of stock options</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(71)</w:t>
            </w:r>
          </w:p>
        </w:tc>
        <w:tc>
          <w:tcPr>
            <w:tcW w:w="2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23"/>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Amortization of premium on marketable securities</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546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7"/>
                <w:szCs w:val="17"/>
                <w:color w:val="auto"/>
              </w:rPr>
              <w:t>Realized gain on sale of marketable securities</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2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23"/>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Decrease (increase) in trade receivables</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9,081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(9,258)</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9,811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(2,528)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7"/>
                <w:szCs w:val="17"/>
                <w:color w:val="auto"/>
              </w:rPr>
              <w:t>Decrease (increase) in other receivables and prepaid expenses</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1,100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(411)</w:t>
            </w:r>
          </w:p>
        </w:tc>
        <w:tc>
          <w:tcPr>
            <w:tcW w:w="2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1,502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63"/>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Decrease (increase) in inventory</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(10,629)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(6,061)</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(1,322)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7"/>
                <w:szCs w:val="17"/>
                <w:color w:val="auto"/>
              </w:rPr>
              <w:t>Decrease (increase) in deferred taxes, net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(181)</w:t>
            </w:r>
          </w:p>
        </w:tc>
        <w:tc>
          <w:tcPr>
            <w:tcW w:w="2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516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63"/>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Decrease (increase) in other long term assets</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(217)</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7"/>
                <w:szCs w:val="17"/>
                <w:color w:val="auto"/>
              </w:rPr>
              <w:t>Increase (decrease) in trade payables</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(3,635)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2,819</w:t>
            </w:r>
          </w:p>
        </w:tc>
        <w:tc>
          <w:tcPr>
            <w:tcW w:w="2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(2,097)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63"/>
              <w:spacing w:after="0"/>
              <w:rPr>
                <w:sz w:val="20"/>
                <w:szCs w:val="20"/>
                <w:color w:val="auto"/>
              </w:rPr>
            </w:pPr>
            <w:r>
              <w:rPr>
                <w:rFonts w:ascii="Arial" w:cs="Arial" w:eastAsia="Arial" w:hAnsi="Arial"/>
                <w:sz w:val="17"/>
                <w:szCs w:val="17"/>
                <w:color w:val="auto"/>
              </w:rPr>
              <w:t>1,370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Increase in employees and payroll accruals</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1,550</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554</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1,351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7"/>
                <w:szCs w:val="17"/>
                <w:color w:val="auto"/>
              </w:rPr>
              <w:t>Increase (decrease) in deferred revenues and advances from customers</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675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(248)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63"/>
              <w:spacing w:after="0"/>
              <w:rPr>
                <w:sz w:val="20"/>
                <w:szCs w:val="20"/>
                <w:color w:val="auto"/>
              </w:rPr>
            </w:pPr>
            <w:r>
              <w:rPr>
                <w:rFonts w:ascii="Arial" w:cs="Arial" w:eastAsia="Arial" w:hAnsi="Arial"/>
                <w:sz w:val="17"/>
                <w:szCs w:val="17"/>
                <w:color w:val="auto"/>
              </w:rPr>
              <w:t>377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Increase (decrease) in other payables and accrued expenses</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1,879</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(1,215)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7"/>
                <w:szCs w:val="17"/>
                <w:color w:val="auto"/>
              </w:rPr>
              <w:t>Increase (decrease) in accrued severance pay, net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208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63"/>
              <w:spacing w:after="0"/>
              <w:rPr>
                <w:sz w:val="20"/>
                <w:szCs w:val="20"/>
                <w:color w:val="auto"/>
              </w:rPr>
            </w:pPr>
            <w:r>
              <w:rPr>
                <w:rFonts w:ascii="Arial" w:cs="Arial" w:eastAsia="Arial" w:hAnsi="Arial"/>
                <w:sz w:val="17"/>
                <w:szCs w:val="17"/>
                <w:color w:val="auto"/>
              </w:rPr>
              <w:t>338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Increase (decrease) in other long term liabilities</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296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7"/>
                <w:szCs w:val="17"/>
                <w:color w:val="auto"/>
              </w:rPr>
              <w:t>Loss from sale of property and Equipment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228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63"/>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740" w:type="dxa"/>
            <w:vAlign w:val="bottom"/>
            <w:gridSpan w:val="3"/>
            <w:shd w:val="clear" w:color="auto" w:fill="CCEEFF"/>
          </w:tcPr>
          <w:p>
            <w:pPr>
              <w:spacing w:after="0" w:line="185" w:lineRule="exact"/>
              <w:rPr>
                <w:sz w:val="20"/>
                <w:szCs w:val="20"/>
                <w:color w:val="auto"/>
              </w:rPr>
            </w:pPr>
            <w:r>
              <w:rPr>
                <w:rFonts w:ascii="Arial" w:cs="Arial" w:eastAsia="Arial" w:hAnsi="Arial"/>
                <w:sz w:val="17"/>
                <w:szCs w:val="17"/>
                <w:color w:val="auto"/>
                <w:w w:val="96"/>
              </w:rPr>
              <w:t>Foreign currency translation gain (loss) on inter company balances with foreign</w:t>
            </w: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7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subsidiaries</w:t>
            </w: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531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40" w:type="dxa"/>
            <w:vAlign w:val="bottom"/>
            <w:tcBorders>
              <w:top w:val="single" w:sz="8" w:color="CCEEFF"/>
              <w:bottom w:val="single" w:sz="8" w:color="CCEEFF"/>
            </w:tcBorders>
            <w:gridSpan w:val="3"/>
          </w:tcPr>
          <w:p>
            <w:pPr>
              <w:spacing w:after="0" w:line="192" w:lineRule="exact"/>
              <w:rPr>
                <w:sz w:val="20"/>
                <w:szCs w:val="20"/>
                <w:color w:val="auto"/>
              </w:rPr>
            </w:pPr>
            <w:r>
              <w:rPr>
                <w:rFonts w:ascii="Arial" w:cs="Arial" w:eastAsia="Arial" w:hAnsi="Arial"/>
                <w:sz w:val="17"/>
                <w:szCs w:val="17"/>
                <w:color w:val="auto"/>
              </w:rPr>
              <w:t>Net cash provided by operating activities</w:t>
            </w:r>
          </w:p>
        </w:tc>
        <w:tc>
          <w:tcPr>
            <w:tcW w:w="32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5,990</w:t>
            </w:r>
          </w:p>
        </w:tc>
        <w:tc>
          <w:tcPr>
            <w:tcW w:w="14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956</w:t>
            </w:r>
          </w:p>
        </w:tc>
        <w:tc>
          <w:tcPr>
            <w:tcW w:w="20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11,936</w:t>
            </w:r>
          </w:p>
        </w:tc>
        <w:tc>
          <w:tcPr>
            <w:tcW w:w="14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5,280</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740" w:type="dxa"/>
            <w:vAlign w:val="bottom"/>
            <w:gridSpan w:val="3"/>
          </w:tcPr>
          <w:p>
            <w:pPr>
              <w:spacing w:after="0" w:line="162" w:lineRule="exact"/>
              <w:rPr>
                <w:sz w:val="20"/>
                <w:szCs w:val="20"/>
                <w:color w:val="auto"/>
              </w:rPr>
            </w:pPr>
            <w:r>
              <w:rPr>
                <w:rFonts w:ascii="Arial" w:cs="Arial" w:eastAsia="Arial" w:hAnsi="Arial"/>
                <w:sz w:val="17"/>
                <w:szCs w:val="17"/>
                <w:color w:val="auto"/>
              </w:rPr>
              <w:t>Cash flows from investing activities:</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restart"/>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7"/>
                <w:szCs w:val="17"/>
                <w:color w:val="auto"/>
              </w:rPr>
              <w:t>Purchase of property and equipment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(5,660)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(5,462)</w:t>
            </w:r>
          </w:p>
        </w:tc>
        <w:tc>
          <w:tcPr>
            <w:tcW w:w="2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(1,160)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23"/>
              <w:spacing w:after="0"/>
              <w:rPr>
                <w:sz w:val="20"/>
                <w:szCs w:val="20"/>
                <w:color w:val="auto"/>
              </w:rPr>
            </w:pPr>
            <w:r>
              <w:rPr>
                <w:rFonts w:ascii="Arial" w:cs="Arial" w:eastAsia="Arial" w:hAnsi="Arial"/>
                <w:sz w:val="17"/>
                <w:szCs w:val="17"/>
                <w:color w:val="auto"/>
              </w:rPr>
              <w:t>(975)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Proceeds from sale of property and equipment</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7"/>
                <w:szCs w:val="17"/>
                <w:color w:val="auto"/>
              </w:rPr>
              <w:t>Cash paid in connection with acquisition</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(9,206)</w:t>
            </w:r>
          </w:p>
        </w:tc>
        <w:tc>
          <w:tcPr>
            <w:tcW w:w="2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Proceeds from (investment in) bank deposits, net</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22,000</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(4,500)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7"/>
                <w:szCs w:val="17"/>
                <w:color w:val="auto"/>
              </w:rPr>
              <w:t>Proceeds from sale of marketable securities</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39,353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2,086</w:t>
            </w:r>
          </w:p>
        </w:tc>
        <w:tc>
          <w:tcPr>
            <w:tcW w:w="2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1,041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63"/>
              <w:spacing w:after="0"/>
              <w:rPr>
                <w:sz w:val="20"/>
                <w:szCs w:val="20"/>
                <w:color w:val="auto"/>
              </w:rPr>
            </w:pPr>
            <w:r>
              <w:rPr>
                <w:rFonts w:ascii="Arial" w:cs="Arial" w:eastAsia="Arial" w:hAnsi="Arial"/>
                <w:sz w:val="17"/>
                <w:szCs w:val="17"/>
                <w:color w:val="auto"/>
              </w:rPr>
              <w:t>563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Proceeds from maturity of marketable securities</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7,240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4,500</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3"/>
          </w:tcPr>
          <w:p>
            <w:pPr>
              <w:spacing w:after="0"/>
              <w:rPr>
                <w:sz w:val="20"/>
                <w:szCs w:val="20"/>
                <w:color w:val="auto"/>
              </w:rPr>
            </w:pPr>
            <w:r>
              <w:rPr>
                <w:rFonts w:ascii="Arial" w:cs="Arial" w:eastAsia="Arial" w:hAnsi="Arial"/>
                <w:sz w:val="17"/>
                <w:szCs w:val="17"/>
                <w:color w:val="auto"/>
              </w:rPr>
              <w:t>Purchase of marketable securities</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(83,183)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(11,455)</w:t>
            </w: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(3,928)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3"/>
              <w:spacing w:after="0"/>
              <w:rPr>
                <w:sz w:val="20"/>
                <w:szCs w:val="20"/>
                <w:color w:val="auto"/>
              </w:rPr>
            </w:pPr>
            <w:r>
              <w:rPr>
                <w:rFonts w:ascii="Arial" w:cs="Arial" w:eastAsia="Arial" w:hAnsi="Arial"/>
                <w:sz w:val="17"/>
                <w:szCs w:val="17"/>
                <w:color w:val="auto"/>
              </w:rPr>
              <w:t>(1,891)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Net cash provided by (used in) investing activities</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(46,744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(8,047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(1,303</w:t>
            </w:r>
          </w:p>
        </w:tc>
        <w:tc>
          <w:tcPr>
            <w:tcW w:w="100" w:type="dxa"/>
            <w:vAlign w:val="bottom"/>
            <w:tcBorders>
              <w:top w:val="single" w:sz="8" w:color="CCEEFF"/>
              <w:bottom w:val="single" w:sz="8" w:color="CCEEFF"/>
            </w:tcBorders>
            <w:shd w:val="clear" w:color="auto" w:fill="CCEEFF"/>
          </w:tcPr>
          <w:p>
            <w:pPr>
              <w:jc w:val="right"/>
              <w:ind w:right="23"/>
              <w:spacing w:after="0"/>
              <w:rPr>
                <w:sz w:val="20"/>
                <w:szCs w:val="20"/>
                <w:color w:val="auto"/>
              </w:rPr>
            </w:pPr>
            <w:r>
              <w:rPr>
                <w:rFonts w:ascii="Arial" w:cs="Arial" w:eastAsia="Arial" w:hAnsi="Arial"/>
                <w:sz w:val="7"/>
                <w:szCs w:val="7"/>
                <w:color w:val="auto"/>
                <w:w w:val="83"/>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740" w:type="dxa"/>
            <w:vAlign w:val="bottom"/>
            <w:gridSpan w:val="3"/>
            <w:shd w:val="clear" w:color="auto" w:fill="CCEEFF"/>
          </w:tcPr>
          <w:p>
            <w:pPr>
              <w:spacing w:after="0" w:line="162" w:lineRule="exact"/>
              <w:rPr>
                <w:sz w:val="20"/>
                <w:szCs w:val="20"/>
                <w:color w:val="auto"/>
              </w:rPr>
            </w:pPr>
            <w:r>
              <w:rPr>
                <w:rFonts w:ascii="Arial" w:cs="Arial" w:eastAsia="Arial" w:hAnsi="Arial"/>
                <w:sz w:val="17"/>
                <w:szCs w:val="17"/>
                <w:color w:val="auto"/>
              </w:rPr>
              <w:t>Cash flows from financing activities:</w:t>
            </w: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5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Proceeds from issuance of ordinary shares in a follow on offering, net</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35,077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7"/>
                <w:szCs w:val="17"/>
                <w:color w:val="auto"/>
              </w:rPr>
              <w:t>Exercise of employee stock options</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2,760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958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417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63"/>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Payment of issuance cost related to warrants</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(90)</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7"/>
                <w:szCs w:val="17"/>
                <w:color w:val="auto"/>
              </w:rPr>
              <w:t>Tax benefit related to exercise of stock options</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63"/>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Payment of contingent consideration</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40" w:type="dxa"/>
            <w:vAlign w:val="bottom"/>
            <w:tcBorders>
              <w:top w:val="single" w:sz="8" w:color="CCEEFF"/>
              <w:bottom w:val="single" w:sz="8" w:color="CCEEFF"/>
            </w:tcBorders>
            <w:gridSpan w:val="3"/>
          </w:tcPr>
          <w:p>
            <w:pPr>
              <w:spacing w:after="0" w:line="189" w:lineRule="exact"/>
              <w:rPr>
                <w:sz w:val="20"/>
                <w:szCs w:val="20"/>
                <w:color w:val="auto"/>
              </w:rPr>
            </w:pPr>
            <w:r>
              <w:rPr>
                <w:rFonts w:ascii="Arial" w:cs="Arial" w:eastAsia="Arial" w:hAnsi="Arial"/>
                <w:sz w:val="17"/>
                <w:szCs w:val="17"/>
                <w:color w:val="auto"/>
              </w:rPr>
              <w:t>Net cash provided by financing activities</w:t>
            </w:r>
          </w:p>
        </w:tc>
        <w:tc>
          <w:tcPr>
            <w:tcW w:w="32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36,437</w:t>
            </w:r>
          </w:p>
        </w:tc>
        <w:tc>
          <w:tcPr>
            <w:tcW w:w="14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939</w:t>
            </w:r>
          </w:p>
        </w:tc>
        <w:tc>
          <w:tcPr>
            <w:tcW w:w="20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417</w:t>
            </w:r>
          </w:p>
        </w:tc>
        <w:tc>
          <w:tcPr>
            <w:tcW w:w="14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375</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7"/>
                <w:szCs w:val="17"/>
                <w:color w:val="auto"/>
              </w:rPr>
              <w:t>Foreign currency translation adjustments on cash and cash equivalents</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157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(33)</w:t>
            </w:r>
          </w:p>
        </w:tc>
        <w:tc>
          <w:tcPr>
            <w:tcW w:w="2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33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23"/>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Increase (decrease) in cash and cash equivalents</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(4,317)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4,358</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4,306</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Arial" w:cs="Arial" w:eastAsia="Arial" w:hAnsi="Arial"/>
                <w:sz w:val="17"/>
                <w:szCs w:val="17"/>
                <w:color w:val="auto"/>
              </w:rPr>
              <w:t>Cash and cash equivalents at the beginning of the period</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22,789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18,464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14,290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63"/>
              <w:spacing w:after="0"/>
              <w:rPr>
                <w:sz w:val="20"/>
                <w:szCs w:val="20"/>
                <w:color w:val="auto"/>
              </w:rPr>
            </w:pPr>
            <w:r>
              <w:rPr>
                <w:rFonts w:ascii="Arial" w:cs="Arial" w:eastAsia="Arial" w:hAnsi="Arial"/>
                <w:sz w:val="17"/>
                <w:szCs w:val="17"/>
                <w:color w:val="auto"/>
              </w:rPr>
              <w:t>18,477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40" w:type="dxa"/>
            <w:vAlign w:val="bottom"/>
            <w:gridSpan w:val="3"/>
            <w:vMerge w:val="restart"/>
            <w:shd w:val="clear" w:color="auto" w:fill="CCEEFF"/>
          </w:tcPr>
          <w:p>
            <w:pPr>
              <w:spacing w:after="0"/>
              <w:rPr>
                <w:sz w:val="20"/>
                <w:szCs w:val="20"/>
                <w:color w:val="auto"/>
              </w:rPr>
            </w:pPr>
            <w:r>
              <w:rPr>
                <w:rFonts w:ascii="Arial" w:cs="Arial" w:eastAsia="Arial" w:hAnsi="Arial"/>
                <w:sz w:val="17"/>
                <w:szCs w:val="17"/>
                <w:color w:val="auto"/>
              </w:rPr>
              <w:t>Cash and cash equivalents at the end of the period</w:t>
            </w:r>
          </w:p>
        </w:tc>
        <w:tc>
          <w:tcPr>
            <w:tcW w:w="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740" w:type="dxa"/>
            <w:vAlign w:val="bottom"/>
            <w:gridSpan w:val="3"/>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18,629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22,789</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18,629</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22,789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Non-cash investing and financing activities:</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Purchase of property and equipment on credit</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427</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808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7"/>
                <w:szCs w:val="17"/>
                <w:color w:val="auto"/>
              </w:rPr>
              <w:t>Inventory transferred to be used as property and equipment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397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1,090</w:t>
            </w:r>
          </w:p>
        </w:tc>
        <w:tc>
          <w:tcPr>
            <w:tcW w:w="2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126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gridSpan w:val="2"/>
          </w:tcPr>
          <w:p>
            <w:pPr>
              <w:jc w:val="right"/>
              <w:ind w:right="63"/>
              <w:spacing w:after="0"/>
              <w:rPr>
                <w:sz w:val="20"/>
                <w:szCs w:val="20"/>
                <w:color w:val="auto"/>
              </w:rPr>
            </w:pPr>
            <w:r>
              <w:rPr>
                <w:rFonts w:ascii="Arial" w:cs="Arial" w:eastAsia="Arial" w:hAnsi="Arial"/>
                <w:sz w:val="17"/>
                <w:szCs w:val="17"/>
                <w:color w:val="auto"/>
              </w:rPr>
              <w:t>290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Issuance expenses on credit</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362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03"/>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2019-12-08T12:00:07Z</dcterms:created>
  <dcterms:modified xsi:type="dcterms:W3CDTF">2019-12-08T12:00:07Z</dcterms:modified>
</cp:coreProperties>
</file>