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4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540"/>
        <w:spacing w:after="0"/>
        <w:rPr>
          <w:sz w:val="20"/>
          <w:szCs w:val="20"/>
          <w:color w:val="auto"/>
        </w:rPr>
      </w:pPr>
      <w:r>
        <w:rPr>
          <w:rFonts w:ascii="Arial" w:cs="Arial" w:eastAsia="Arial" w:hAnsi="Arial"/>
          <w:sz w:val="25"/>
          <w:szCs w:val="25"/>
          <w:b w:val="1"/>
          <w:bCs w:val="1"/>
          <w:color w:val="auto"/>
        </w:rPr>
        <w:t>FORM 6-K</w:t>
      </w: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4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5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For the month of December 2018</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Commission File Number: 001-36903</w:t>
      </w:r>
    </w:p>
    <w:p>
      <w:pPr>
        <w:spacing w:after="0" w:line="217" w:lineRule="exact"/>
        <w:rPr>
          <w:sz w:val="24"/>
          <w:szCs w:val="24"/>
          <w:color w:val="auto"/>
        </w:rPr>
      </w:pPr>
    </w:p>
    <w:p>
      <w:pPr>
        <w:jc w:val="center"/>
        <w:ind w:right="-54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3860"/>
        <w:spacing w:after="0" w:line="207" w:lineRule="exact"/>
        <w:tabs>
          <w:tab w:leader="none" w:pos="5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633095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53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On December 3, 2018, Kornit Digital Ltd. (the “Company”) entered into an underwriting agreement (the “Underwriting Agreement”), with Barclays Capital Inc. and Citigroup Global Markets Inc. (the “Underwriters”), and Fortissimo Capital Fund II (Israel), L.P. (“Fortissimo”), relating to an underwritten public offering (the “Offering”), of 3,132,481 shares of the Company being sold by Fortissimo. The offering price to the public is $20.50 per share. The Offering is expected to close on or about December 7, 2018.</w:t>
      </w:r>
    </w:p>
    <w:p>
      <w:pPr>
        <w:spacing w:after="0" w:line="18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foregoing description of the Underwriting Agreement is only a summary and is qualified in its entirety by reference to the Underwriting Agreement, a copy of which is attached as Exhibit 1.1 to this Form 6-K.</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Offering is being made pursuant to the Company’s effective registration statement on Form F-3 (File No. 333-215404), previously filed with the Securities and Exchange Commission (the “SEC”).</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On December 3, 2018, the Company issued a press release titled, “Kornit Announces Launch of Secondary Public Offering of Ordinary Shares.” A copy of this press release is attached as Exhibit 99.1 to this Form 6-K.</w:t>
      </w:r>
    </w:p>
    <w:p>
      <w:pPr>
        <w:spacing w:after="0" w:line="170"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On December 4, 2018, the Company issued a press release titled, “Kornit Announces Pricing of Secondary Public Offering of Ordinary Shares.” A copy of this press release is attached as Exhibit 99.2 to this Form 6-K.</w:t>
      </w:r>
    </w:p>
    <w:p>
      <w:pPr>
        <w:spacing w:after="0" w:line="170"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8"/>
          <w:szCs w:val="18"/>
          <w:color w:val="auto"/>
        </w:rPr>
        <w:t>This Report of Foreign Private Issuer is incorporated by reference in the Company’s registration statements on Form F-3, SEC file number 333-215404, filed with the SEC on January 3, 2017, and on Form S-8, SEC file numbers 333-223794, 333-217039, 333-214015 and 333-203970, filed with the SEC on March 20, 2018, March 30, 2017, October 6, 2016 and May 7, 2015,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December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Financial Officer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740" w:type="dxa"/>
            <w:vAlign w:val="bottom"/>
            <w:gridSpan w:val="3"/>
          </w:tcPr>
          <w:p>
            <w:pPr>
              <w:ind w:left="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1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26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260" w:type="dxa"/>
            <w:vAlign w:val="bottom"/>
            <w:tcBorders>
              <w:top w:val="single" w:sz="8" w:color="auto"/>
              <w:bottom w:val="single" w:sz="8" w:color="0000EE"/>
            </w:tcBorders>
            <w:gridSpan w:val="4"/>
            <w:shd w:val="clear" w:color="auto" w:fill="CCEEFF"/>
          </w:tcPr>
          <w:p>
            <w:pPr>
              <w:spacing w:after="0" w:line="170" w:lineRule="exact"/>
              <w:rPr>
                <w:sz w:val="20"/>
                <w:szCs w:val="20"/>
                <w:color w:val="auto"/>
              </w:rPr>
            </w:pPr>
            <w:r>
              <w:rPr>
                <w:rFonts w:ascii="Arial" w:cs="Arial" w:eastAsia="Arial" w:hAnsi="Arial"/>
                <w:sz w:val="18"/>
                <w:szCs w:val="18"/>
                <w:color w:val="0000EE"/>
                <w:w w:val="93"/>
              </w:rPr>
              <w:t>Underwriting Agreement, dated as of December 3, 2018, by and among the Company, Barclays Capital Inc. and Citigroup Global Markets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0000EE"/>
              </w:rPr>
              <w:t>Inc., and Fortissimo Capital Fund II (Israel), 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520" w:type="dxa"/>
            <w:vAlign w:val="bottom"/>
            <w:tcBorders>
              <w:top w:val="single" w:sz="8" w:color="0000EE"/>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December 3, 2018 and titled, “Kornit Announces Launch of Secondary Public Offering of Ordinary Shares.”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520" w:type="dxa"/>
            <w:vAlign w:val="bottom"/>
            <w:tcBorders>
              <w:top w:val="single" w:sz="8" w:color="0000EE"/>
            </w:tcBorders>
          </w:tcPr>
          <w:p>
            <w:pPr>
              <w:spacing w:after="0"/>
              <w:rPr>
                <w:sz w:val="18"/>
                <w:szCs w:val="18"/>
                <w:color w:val="auto"/>
              </w:rPr>
            </w:pPr>
          </w:p>
        </w:tc>
        <w:tc>
          <w:tcPr>
            <w:tcW w:w="5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7"/>
                <w:szCs w:val="17"/>
                <w:color w:val="auto"/>
              </w:rPr>
            </w:pPr>
          </w:p>
        </w:tc>
        <w:tc>
          <w:tcPr>
            <w:tcW w:w="10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December 4, 2018 and titled, “Kornit Announces Pricing of Secondary Public Offering of Ordinary Shares.”</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200" w:type="dxa"/>
            <w:vAlign w:val="bottom"/>
            <w:tcBorders>
              <w:top w:val="single" w:sz="8" w:color="0000EE"/>
              <w:bottom w:val="single" w:sz="8" w:color="auto"/>
            </w:tcBorders>
            <w:gridSpan w:val="2"/>
          </w:tcPr>
          <w:p>
            <w:pPr>
              <w:ind w:left="4500"/>
              <w:spacing w:after="0"/>
              <w:rPr>
                <w:sz w:val="20"/>
                <w:szCs w:val="20"/>
                <w:color w:val="auto"/>
              </w:rPr>
            </w:pPr>
            <w:r>
              <w:rPr>
                <w:rFonts w:ascii="Arial" w:cs="Arial" w:eastAsia="Arial" w:hAnsi="Arial"/>
                <w:sz w:val="22"/>
                <w:szCs w:val="22"/>
                <w:color w:val="auto"/>
              </w:rPr>
              <w:t>3</w:t>
            </w:r>
          </w:p>
        </w:tc>
        <w:tc>
          <w:tcPr>
            <w:tcW w:w="2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3,132,481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7"/>
          <w:szCs w:val="17"/>
          <w:color w:val="auto"/>
        </w:rPr>
        <w:t>Fortissimo Capital Fund II (Israel), L.P. (the “</w:t>
      </w:r>
      <w:r>
        <w:rPr>
          <w:rFonts w:ascii="Arial" w:cs="Arial" w:eastAsia="Arial" w:hAnsi="Arial"/>
          <w:sz w:val="17"/>
          <w:szCs w:val="17"/>
          <w:b w:val="1"/>
          <w:bCs w:val="1"/>
          <w:color w:val="auto"/>
        </w:rPr>
        <w:t>Selling Shareholder</w:t>
      </w:r>
      <w:r>
        <w:rPr>
          <w:rFonts w:ascii="Arial" w:cs="Arial" w:eastAsia="Arial" w:hAnsi="Arial"/>
          <w:sz w:val="17"/>
          <w:szCs w:val="17"/>
          <w:color w:val="auto"/>
        </w:rPr>
        <w:t>”) proposes to sell an aggregate of 3,132,481 of the Company’s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 par value NIS 0.01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to Barclays Capital Inc. and Citigroup Global Markets Inc. (the “</w:t>
      </w:r>
      <w:r>
        <w:rPr>
          <w:rFonts w:ascii="Arial" w:cs="Arial" w:eastAsia="Arial" w:hAnsi="Arial"/>
          <w:sz w:val="17"/>
          <w:szCs w:val="17"/>
          <w:b w:val="1"/>
          <w:bCs w:val="1"/>
          <w:color w:val="auto"/>
        </w:rPr>
        <w:t>Underwriters</w:t>
      </w:r>
      <w:r>
        <w:rPr>
          <w:rFonts w:ascii="Arial" w:cs="Arial" w:eastAsia="Arial" w:hAnsi="Arial"/>
          <w:sz w:val="17"/>
          <w:szCs w:val="17"/>
          <w:color w:val="auto"/>
        </w:rPr>
        <w:t>”). This Agreement is to confirm the agreement concerning the purchase of the Shares from the Selling Shareholder by the Underwriters.</w:t>
      </w:r>
    </w:p>
    <w:p>
      <w:pPr>
        <w:spacing w:after="0" w:line="162" w:lineRule="exact"/>
        <w:rPr>
          <w:sz w:val="20"/>
          <w:szCs w:val="20"/>
          <w:color w:val="auto"/>
        </w:rPr>
      </w:pPr>
    </w:p>
    <w:p>
      <w:pPr>
        <w:ind w:left="840" w:hanging="184"/>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225" w:lineRule="exact"/>
        <w:rPr>
          <w:rFonts w:ascii="Arial" w:cs="Arial" w:eastAsia="Arial" w:hAnsi="Arial"/>
          <w:sz w:val="18"/>
          <w:szCs w:val="18"/>
          <w:color w:val="auto"/>
        </w:rPr>
      </w:pPr>
    </w:p>
    <w:p>
      <w:pPr>
        <w:jc w:val="both"/>
        <w:ind w:left="660" w:firstLine="645"/>
        <w:spacing w:after="0" w:line="257" w:lineRule="auto"/>
        <w:tabs>
          <w:tab w:leader="none" w:pos="1553" w:val="left"/>
        </w:tabs>
        <w:numPr>
          <w:ilvl w:val="1"/>
          <w:numId w:val="1"/>
        </w:numPr>
        <w:rPr>
          <w:rFonts w:ascii="Arial" w:cs="Arial" w:eastAsia="Arial" w:hAnsi="Arial"/>
          <w:sz w:val="18"/>
          <w:szCs w:val="18"/>
          <w:color w:val="auto"/>
        </w:rPr>
      </w:pPr>
      <w:r>
        <w:rPr>
          <w:rFonts w:ascii="Arial" w:cs="Arial" w:eastAsia="Arial" w:hAnsi="Arial"/>
          <w:sz w:val="18"/>
          <w:szCs w:val="18"/>
          <w:color w:val="auto"/>
        </w:rPr>
        <w:t>A registration statement on Form F-3 (File No. 333-215404) relating to the Shares has (i) been prepared by the Company in 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been filed with the Commission under the Securities Act; and (iii) become effective under the Securities Act. Copies of such registration statement and any amendment thereto have been delivered by the Company to the Underwriters. As used in this Agreement:</w:t>
      </w:r>
    </w:p>
    <w:p>
      <w:pPr>
        <w:spacing w:after="0" w:line="184" w:lineRule="exact"/>
        <w:rPr>
          <w:rFonts w:ascii="Arial" w:cs="Arial" w:eastAsia="Arial" w:hAnsi="Arial"/>
          <w:sz w:val="18"/>
          <w:szCs w:val="18"/>
          <w:color w:val="auto"/>
        </w:rPr>
      </w:pPr>
    </w:p>
    <w:p>
      <w:pPr>
        <w:ind w:left="2160" w:hanging="207"/>
        <w:spacing w:after="0"/>
        <w:tabs>
          <w:tab w:leader="none" w:pos="2160" w:val="left"/>
        </w:tabs>
        <w:numPr>
          <w:ilvl w:val="2"/>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4:15 P.M. (New York City time) December 3, 2018;</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2"/>
          <w:numId w:val="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as of which such registration statement was declared effective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left="1300"/>
        <w:spacing w:after="0"/>
        <w:rPr>
          <w:sz w:val="20"/>
          <w:szCs w:val="20"/>
          <w:color w:val="auto"/>
        </w:rPr>
      </w:pPr>
      <w:r>
        <w:rPr>
          <w:rFonts w:ascii="Arial" w:cs="Arial" w:eastAsia="Arial" w:hAnsi="Arial"/>
          <w:sz w:val="16"/>
          <w:szCs w:val="16"/>
          <w:color w:val="auto"/>
        </w:rPr>
        <w:t>(iii)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each “issuer free writing prospectus” (as defined in Rule 433 under the Securities</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640" w:firstLine="653"/>
        <w:spacing w:after="0" w:line="282" w:lineRule="auto"/>
        <w:tabs>
          <w:tab w:leader="none" w:pos="1593"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under the Securities Act;</w:t>
      </w:r>
    </w:p>
    <w:p>
      <w:pPr>
        <w:spacing w:after="0" w:line="161" w:lineRule="exact"/>
        <w:rPr>
          <w:rFonts w:ascii="Arial" w:cs="Arial" w:eastAsia="Arial" w:hAnsi="Arial"/>
          <w:sz w:val="18"/>
          <w:szCs w:val="18"/>
          <w:color w:val="auto"/>
        </w:rPr>
      </w:pPr>
    </w:p>
    <w:p>
      <w:pPr>
        <w:jc w:val="both"/>
        <w:ind w:left="640" w:firstLine="653"/>
        <w:spacing w:after="0" w:line="314" w:lineRule="auto"/>
        <w:tabs>
          <w:tab w:leader="none" w:pos="1556"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Pricing Disclosure Package</w:t>
      </w:r>
      <w:r>
        <w:rPr>
          <w:rFonts w:ascii="Arial" w:cs="Arial" w:eastAsia="Arial" w:hAnsi="Arial"/>
          <w:sz w:val="16"/>
          <w:szCs w:val="16"/>
          <w:color w:val="auto"/>
        </w:rPr>
        <w:t>” means, as of the Applicable Time, the Preliminary Prospectus, together with the information included in Schedule IV hereto and each Issuer Free Writing Prospectus filed or used by the Company on or before the Applicable Time, other than a road show that is an Issuer Free Writing Prospectus but is not required to be filed under Rule 433 under the Securities Act;</w:t>
      </w:r>
    </w:p>
    <w:p>
      <w:pPr>
        <w:spacing w:after="0" w:line="142" w:lineRule="exact"/>
        <w:rPr>
          <w:rFonts w:ascii="Arial" w:cs="Arial" w:eastAsia="Arial" w:hAnsi="Arial"/>
          <w:sz w:val="16"/>
          <w:szCs w:val="16"/>
          <w:color w:val="auto"/>
        </w:rPr>
      </w:pPr>
    </w:p>
    <w:p>
      <w:pPr>
        <w:ind w:left="640" w:firstLine="653"/>
        <w:spacing w:after="0" w:line="282" w:lineRule="auto"/>
        <w:tabs>
          <w:tab w:leader="none" w:pos="1593"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Shares, as filed with the Commission pursuant to Rule 424(b) under the Securities Act;</w:t>
      </w:r>
    </w:p>
    <w:p>
      <w:pPr>
        <w:spacing w:after="0" w:line="161" w:lineRule="exact"/>
        <w:rPr>
          <w:rFonts w:ascii="Arial" w:cs="Arial" w:eastAsia="Arial" w:hAnsi="Arial"/>
          <w:sz w:val="18"/>
          <w:szCs w:val="18"/>
          <w:color w:val="auto"/>
        </w:rPr>
      </w:pPr>
    </w:p>
    <w:p>
      <w:pPr>
        <w:jc w:val="both"/>
        <w:ind w:left="640" w:firstLine="653"/>
        <w:spacing w:after="0" w:line="314" w:lineRule="auto"/>
        <w:tabs>
          <w:tab w:leader="none" w:pos="1643"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such registration statement, as amended as of the Effective Date, including any Preliminary Prospectus or the Prospectus, all exhibits to such registration statement, the documents incorporated by reference therein and including the information deemed by virtue of Rule 430A under the Securities Act to be part of such registration statement as of the Effective Date;</w:t>
      </w:r>
    </w:p>
    <w:p>
      <w:pPr>
        <w:spacing w:after="0" w:line="142" w:lineRule="exact"/>
        <w:rPr>
          <w:rFonts w:ascii="Arial" w:cs="Arial" w:eastAsia="Arial" w:hAnsi="Arial"/>
          <w:sz w:val="16"/>
          <w:szCs w:val="16"/>
          <w:color w:val="auto"/>
        </w:rPr>
      </w:pPr>
    </w:p>
    <w:p>
      <w:pPr>
        <w:ind w:left="640" w:firstLine="653"/>
        <w:spacing w:after="0" w:line="282" w:lineRule="auto"/>
        <w:tabs>
          <w:tab w:leader="none" w:pos="1706"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 and</w:t>
      </w:r>
    </w:p>
    <w:p>
      <w:pPr>
        <w:spacing w:after="0" w:line="161" w:lineRule="exact"/>
        <w:rPr>
          <w:rFonts w:ascii="Arial" w:cs="Arial" w:eastAsia="Arial" w:hAnsi="Arial"/>
          <w:sz w:val="18"/>
          <w:szCs w:val="18"/>
          <w:color w:val="auto"/>
        </w:rPr>
      </w:pPr>
    </w:p>
    <w:p>
      <w:pPr>
        <w:ind w:left="640" w:firstLine="653"/>
        <w:spacing w:after="0" w:line="282" w:lineRule="auto"/>
        <w:tabs>
          <w:tab w:leader="none" w:pos="1674"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Securities Act.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reference to any Preliminary Prospectus or the Prospectus shall be deemed to refer to and include any documents incorporated by reference therein pursuant to Form F-3 under the Securities Act as of the date of the Preliminary Prospectus or the Prospectus, as the case may be. Any reference to the amendment or supplement to any Preliminary Prospectus or the Prospectus shall be deemed to refer to and include any document filed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after the date of the Preliminary Prospectus or the Prospectus, as the case may be, and before the date of such amendment or supplement and incorporated by reference in the Preliminary Prospectus or the Prospectus, as the case may be; and any reference to any amendment to the Registration Statement shall be deemed to include any document filed with the Commission pursuant to Section 13(a) or 15(d) of the Exchange Act after the Effective Date and before the date of such amendment that is incorporated by reference in the Registration Statement. The Commission has not issued any order preventing or suspending the use of any Preliminary Prospectus or the Prospectus or suspending the effectiveness of the Registration Statement, and no proceeding or examination for such purpose has been instituted or threatened by the Commission. The Commission has not notified the Company of any objection to the use of the form of the Registration Statement or any post-effective amendment thereto.</w:t>
      </w:r>
    </w:p>
    <w:p>
      <w:pPr>
        <w:spacing w:after="0" w:line="39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6" w:name="page7"/>
    <w:bookmarkEnd w:id="6"/>
    <w:p>
      <w:pPr>
        <w:jc w:val="both"/>
        <w:ind w:left="-540" w:firstLine="645"/>
        <w:spacing w:after="0" w:line="312" w:lineRule="auto"/>
        <w:tabs>
          <w:tab w:leader="none" w:pos="377" w:val="left"/>
        </w:tabs>
        <w:numPr>
          <w:ilvl w:val="0"/>
          <w:numId w:val="3"/>
        </w:numPr>
        <w:rPr>
          <w:rFonts w:ascii="Arial" w:cs="Arial" w:eastAsia="Arial" w:hAnsi="Arial"/>
          <w:sz w:val="16"/>
          <w:szCs w:val="16"/>
          <w:color w:val="auto"/>
        </w:rPr>
      </w:pPr>
      <w:r>
        <w:rPr>
          <w:rFonts w:ascii="Arial" w:cs="Arial" w:eastAsia="Arial" w:hAnsi="Arial"/>
          <w:sz w:val="16"/>
          <w:szCs w:val="16"/>
          <w:color w:val="auto"/>
        </w:rPr>
        <w:t>From the time of initial filing of the Registration Statement with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540" w:firstLine="645"/>
        <w:spacing w:after="0" w:line="277" w:lineRule="auto"/>
        <w:tabs>
          <w:tab w:leader="none" w:pos="3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 has not engaged in any Testing-the-Waters Communication and (ii) has not authorized anyone other than the Underwriters to engage in Testing-the-Waters Communications.</w:t>
      </w:r>
    </w:p>
    <w:p>
      <w:pPr>
        <w:spacing w:after="0" w:line="170" w:lineRule="exact"/>
        <w:rPr>
          <w:rFonts w:ascii="Arial" w:cs="Arial" w:eastAsia="Arial" w:hAnsi="Arial"/>
          <w:sz w:val="18"/>
          <w:szCs w:val="18"/>
          <w:color w:val="auto"/>
        </w:rPr>
      </w:pPr>
    </w:p>
    <w:p>
      <w:pPr>
        <w:jc w:val="both"/>
        <w:ind w:left="-540" w:firstLine="645"/>
        <w:spacing w:after="0" w:line="286" w:lineRule="auto"/>
        <w:tabs>
          <w:tab w:leader="none" w:pos="363"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Company was not at the time of initial filing of the Registration Statement and at the earliest time thereafter that the Company or another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and is not on the date hereof and will not be on the Delivery Date, an “ineligible issuer” (as defined in Rule 405 under the Securities Act).</w:t>
      </w:r>
    </w:p>
    <w:p>
      <w:pPr>
        <w:spacing w:after="0" w:line="165" w:lineRule="exact"/>
        <w:rPr>
          <w:rFonts w:ascii="Arial" w:cs="Arial" w:eastAsia="Arial" w:hAnsi="Arial"/>
          <w:sz w:val="17"/>
          <w:szCs w:val="17"/>
          <w:color w:val="auto"/>
        </w:rPr>
      </w:pPr>
    </w:p>
    <w:p>
      <w:pPr>
        <w:jc w:val="both"/>
        <w:ind w:left="-540" w:firstLine="645"/>
        <w:spacing w:after="0" w:line="291"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Registration Statement conformed and will conform in all material respects on the Effective Date and on the Delivery Date, and any amendment to the Registration Statement filed after the date hereof will conform in all material respects when filed, to the requirements of the Securities Act and the rules and regulations thereunder. The Preliminary Prospectus conformed, and the Prospectus will conform, in all material respects when filed with the Commission pursuant to Rule 424(b) under the Securities Act and on the Delivery Date to the requirements of the Securities Act and the rules and regulations thereunder. The documents incorporated by reference in any Preliminary Prospectus or the Prospectus conformed, and any further documents so incorporated will conform, when filed with the Commission, in all material respects to the requirements of the Exchange Act or the Securities Act, as applicable, and the rules and regulations of the Commission thereunder.</w:t>
      </w:r>
    </w:p>
    <w:p>
      <w:pPr>
        <w:spacing w:after="0" w:line="167" w:lineRule="exact"/>
        <w:rPr>
          <w:rFonts w:ascii="Arial" w:cs="Arial" w:eastAsia="Arial" w:hAnsi="Arial"/>
          <w:sz w:val="16"/>
          <w:szCs w:val="16"/>
          <w:color w:val="auto"/>
        </w:rPr>
      </w:pPr>
    </w:p>
    <w:p>
      <w:pPr>
        <w:jc w:val="both"/>
        <w:ind w:left="-540" w:firstLine="645"/>
        <w:spacing w:after="0" w:line="257" w:lineRule="auto"/>
        <w:tabs>
          <w:tab w:leader="none" w:pos="33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Company through the Underwriters by or on behalf of either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540" w:firstLine="645"/>
        <w:spacing w:after="0" w:line="257" w:lineRule="auto"/>
        <w:tabs>
          <w:tab w:leader="none" w:pos="36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or as of the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Underwriters by or on behalf of either Underwriter specifically for inclusion therein, which information is specified in Section 10(f).</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7" w:name="page8"/>
    <w:bookmarkEnd w:id="7"/>
    <w:p>
      <w:pPr>
        <w:jc w:val="both"/>
        <w:ind w:left="-540" w:firstLine="645"/>
        <w:spacing w:after="0" w:line="286" w:lineRule="auto"/>
        <w:tabs>
          <w:tab w:leader="none" w:pos="36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documents incorporated by reference in any Preliminary Prospectus or the Prospectus did not, and any further documents filed and incorporated by reference therein will not, when filed with the Commission, contain an untrue statement of a material fact or omit to state a material fact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jc w:val="both"/>
        <w:ind w:left="-540" w:firstLine="645"/>
        <w:spacing w:after="0" w:line="257" w:lineRule="auto"/>
        <w:tabs>
          <w:tab w:leader="none" w:pos="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Underwriters by or on behalf of either Underwriter specifically for inclusion therein, which information is specified in Section 10(f).</w:t>
      </w:r>
    </w:p>
    <w:p>
      <w:pPr>
        <w:spacing w:after="0" w:line="188" w:lineRule="exact"/>
        <w:rPr>
          <w:rFonts w:ascii="Arial" w:cs="Arial" w:eastAsia="Arial" w:hAnsi="Arial"/>
          <w:sz w:val="18"/>
          <w:szCs w:val="18"/>
          <w:color w:val="auto"/>
        </w:rPr>
      </w:pPr>
    </w:p>
    <w:p>
      <w:pPr>
        <w:jc w:val="both"/>
        <w:ind w:left="-540" w:firstLine="645"/>
        <w:spacing w:after="0" w:line="255"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Underwriters by or on behalf of either Underwriter specifically for inclusion therein, which information is specified in Section 10(f).</w:t>
      </w:r>
    </w:p>
    <w:p>
      <w:pPr>
        <w:spacing w:after="0" w:line="193" w:lineRule="exact"/>
        <w:rPr>
          <w:rFonts w:ascii="Arial" w:cs="Arial" w:eastAsia="Arial" w:hAnsi="Arial"/>
          <w:sz w:val="18"/>
          <w:szCs w:val="18"/>
          <w:color w:val="auto"/>
        </w:rPr>
      </w:pPr>
    </w:p>
    <w:p>
      <w:pPr>
        <w:ind w:left="360" w:hanging="255"/>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540" w:firstLine="645"/>
        <w:spacing w:after="0" w:line="273"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Shares that would constitute an Issuer Free Writing Prospectus without the prior written consent of the Underwriters. The Company has retained in accordance with the Securities Act and the rules and regulations thereunder all Issuer Free Writing Prospectuses that were not required to be filed pursuant to the Securities Act and the rules and regulations thereunder.</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jc w:val="both"/>
        <w:ind w:left="-540" w:firstLine="645"/>
        <w:spacing w:after="0" w:line="268" w:lineRule="auto"/>
        <w:tabs>
          <w:tab w:leader="none" w:pos="41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each of its subsidiaries have been duly organized, are validly existing and, to the extent such concept is applicable,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could not, in the aggregate,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The Company and each of its subsidiaries have all power and authority necessary to own or hold their properties and to conduct the businesses in which they are engaged. The Company does not own or control, directly or indirectly, any corporation, association or other entity other than the subsidiaries listed in Exhibit 8.1 to the Company’s Annual Report on Form 20-F for the year ended December 31, 2017. None of the subsidiaries of the Company (other than Kornit Digital Technologies Ltd., Kornit Digital Europe GmbH and Kornit Digital North America Inc. (collectively, the “</w:t>
      </w:r>
      <w:r>
        <w:rPr>
          <w:rFonts w:ascii="Arial" w:cs="Arial" w:eastAsia="Arial" w:hAnsi="Arial"/>
          <w:sz w:val="17"/>
          <w:szCs w:val="17"/>
          <w:b w:val="1"/>
          <w:bCs w:val="1"/>
          <w:color w:val="auto"/>
        </w:rPr>
        <w:t>Significant Subsidiaries</w:t>
      </w:r>
      <w:r>
        <w:rPr>
          <w:rFonts w:ascii="Arial" w:cs="Arial" w:eastAsia="Arial" w:hAnsi="Arial"/>
          <w:sz w:val="17"/>
          <w:szCs w:val="17"/>
          <w:color w:val="auto"/>
        </w:rPr>
        <w:t>”)) is a “significant subsidiary” (as defined in Rule 405 under the Securities Act). The Company and its sole Israeli subsidiary, Kornit Digital Technologies Ltd., are not currently designated as a “breaching company” (within the meaning of the Israeli Companies Law 5759-1999) by the Registrar of Companies of the State of Israel, nor has a proceeding been instituted by the Registrar of Companies in Israel for the dissolution of the Company or Kornit Digital Technologies Ltd.</w:t>
      </w:r>
    </w:p>
    <w:p>
      <w:pPr>
        <w:spacing w:after="0" w:line="185" w:lineRule="exact"/>
        <w:rPr>
          <w:rFonts w:ascii="Arial" w:cs="Arial" w:eastAsia="Arial" w:hAnsi="Arial"/>
          <w:sz w:val="17"/>
          <w:szCs w:val="17"/>
          <w:color w:val="auto"/>
        </w:rPr>
      </w:pPr>
    </w:p>
    <w:p>
      <w:pPr>
        <w:jc w:val="both"/>
        <w:ind w:left="-540" w:firstLine="645"/>
        <w:spacing w:after="0" w:line="288" w:lineRule="auto"/>
        <w:tabs>
          <w:tab w:leader="none" w:pos="36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each of the Preliminary Prospectus and the Prospectus, and all of the issued share capital of the Company (including the Shares to be sold by the Selling Shareholder) has been duly authorized and validly issued, is fully paid and non-assessable, conforms to the description thereof contained in the Preliminary Prospectus and was issued in compliance with Israeli securities laws and, to the extent applicable, other foreign and U.S. federal and state securities laws and not in violation of any preemptive right, resale right, right of first refusal or similar right. All of the Company’s options, warrants and other rights to purchase or exchange any securities for shares of the Company have been duly authorized and validly issued, conform to the description thereof contained in the Preliminary Prospectus and were issued in compliance with Israeli securities laws and, to the extent applicable, other foreign or U.S. federal and state securities laws. All of the issued share capital or other ownership interest of each subsidiary of the Company have been duly authorized and validly issued, are fully paid and non-assessable and are owned directly or indirectly by the Company, free and clear of all liens, encumbrances, equities or claims, except for such liens, encumbrances, equities or claims as could not, individually or in the aggregate, reasonably be expected to have a Material Adverse Effect.</w:t>
      </w:r>
    </w:p>
    <w:p>
      <w:pPr>
        <w:spacing w:after="0" w:line="169" w:lineRule="exact"/>
        <w:rPr>
          <w:rFonts w:ascii="Arial" w:cs="Arial" w:eastAsia="Arial" w:hAnsi="Arial"/>
          <w:sz w:val="16"/>
          <w:szCs w:val="16"/>
          <w:color w:val="auto"/>
        </w:rPr>
      </w:pPr>
    </w:p>
    <w:p>
      <w:pPr>
        <w:jc w:val="both"/>
        <w:ind w:left="-540" w:firstLine="645"/>
        <w:spacing w:after="0" w:line="259" w:lineRule="auto"/>
        <w:tabs>
          <w:tab w:leader="none" w:pos="3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to be issued and sold by the Company to the Underwriters hereunder have been duly authorized and, upon payment and delivery in accordance with this Agreement, will be validly issued, fully paid and non-assessable, will conform in all material respects to the description thereof contained in the Preliminary Prospectus, will be issued in compliance with federal and state securities laws and will be free of statutory and contractual preemptive rights, rights of first refusal and similar rights.</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jc w:val="both"/>
        <w:ind w:left="-540" w:firstLine="645"/>
        <w:spacing w:after="0" w:line="270" w:lineRule="auto"/>
        <w:tabs>
          <w:tab w:leader="none" w:pos="363"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grants and issuances of the Company’s shares to its, or its subsidiaries’, employees were made pursuant to an employee benefit plan, qualified share option plan or other equity compensation plan. With respect to any share options granted (the “</w:t>
      </w:r>
      <w:r>
        <w:rPr>
          <w:rFonts w:ascii="Arial" w:cs="Arial" w:eastAsia="Arial" w:hAnsi="Arial"/>
          <w:sz w:val="17"/>
          <w:szCs w:val="17"/>
          <w:b w:val="1"/>
          <w:bCs w:val="1"/>
          <w:color w:val="auto"/>
        </w:rPr>
        <w:t>Share Options</w:t>
      </w:r>
      <w:r>
        <w:rPr>
          <w:rFonts w:ascii="Arial" w:cs="Arial" w:eastAsia="Arial" w:hAnsi="Arial"/>
          <w:sz w:val="17"/>
          <w:szCs w:val="17"/>
          <w:color w:val="auto"/>
        </w:rPr>
        <w:t>”) (i) each Share Option purported to be issued under Section 102 of the Israel Tax Ordinance qualifies for treatment under that section and for treatment under the capital gains track, (ii) each Share Option intended to qualify as an “incentive stock option” under Section 422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so qualifies in all material respects, and (iii) each grant of a Share Option was duly authorized no later than the date on which the grant of such Share Option was by its terms to be effective by all necessary corporate action, in each case, in all material respects,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w:t>
      </w:r>
    </w:p>
    <w:p>
      <w:pPr>
        <w:spacing w:after="0" w:line="181" w:lineRule="exact"/>
        <w:rPr>
          <w:rFonts w:ascii="Arial" w:cs="Arial" w:eastAsia="Arial" w:hAnsi="Arial"/>
          <w:sz w:val="17"/>
          <w:szCs w:val="17"/>
          <w:color w:val="auto"/>
        </w:rPr>
      </w:pPr>
    </w:p>
    <w:p>
      <w:pPr>
        <w:ind w:left="-540" w:firstLine="645"/>
        <w:spacing w:after="0" w:line="342" w:lineRule="auto"/>
        <w:tabs>
          <w:tab w:leader="none" w:pos="37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and obtained all requisite corporate approvals to execute, deliver and perform its obligations under this Agreement. This Agreement has been duly and validly authorized, executed and delivered by the Company.</w:t>
      </w:r>
    </w:p>
    <w:p>
      <w:pPr>
        <w:spacing w:after="0" w:line="123" w:lineRule="exact"/>
        <w:rPr>
          <w:rFonts w:ascii="Arial" w:cs="Arial" w:eastAsia="Arial" w:hAnsi="Arial"/>
          <w:sz w:val="16"/>
          <w:szCs w:val="16"/>
          <w:color w:val="auto"/>
        </w:rPr>
      </w:pPr>
    </w:p>
    <w:p>
      <w:pPr>
        <w:jc w:val="both"/>
        <w:ind w:left="-540" w:firstLine="645"/>
        <w:spacing w:after="0" w:line="287" w:lineRule="auto"/>
        <w:tabs>
          <w:tab w:leader="none" w:pos="33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issue and sale of the Shares, the execution, delivery and performance of this Agreement by the Company, the consummation of the transactions contemplated hereby and the application of the proceeds from the sale of the Shares as described under “Use of Proceeds” in the Preliminary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for purposes of clauses (i) and (iii) above, any such conflict, breach, violation, default, lien, charge or encumbrance that would not, individually or in the aggregate, reasonably be expected to have a Material Adverse Effect and could not, individually or in the aggregate, reasonably be expected to have a material adverse effect on the Underwriters’ ability to consummate the transactions contemplated hereby.</w:t>
      </w:r>
    </w:p>
    <w:p>
      <w:pPr>
        <w:spacing w:after="0" w:line="168" w:lineRule="exact"/>
        <w:rPr>
          <w:rFonts w:ascii="Arial" w:cs="Arial" w:eastAsia="Arial" w:hAnsi="Arial"/>
          <w:sz w:val="16"/>
          <w:szCs w:val="16"/>
          <w:color w:val="auto"/>
        </w:rPr>
      </w:pPr>
    </w:p>
    <w:p>
      <w:pPr>
        <w:jc w:val="both"/>
        <w:ind w:left="-540" w:firstLine="645"/>
        <w:spacing w:after="0" w:line="255" w:lineRule="auto"/>
        <w:tabs>
          <w:tab w:leader="none" w:pos="384"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has any outstanding obligations to the National Authority of Technological Innovation (formerly the Office of the Chief Scientist) of the Ministry of Economy and Industry of the State of Israel (“</w:t>
      </w:r>
      <w:r>
        <w:rPr>
          <w:rFonts w:ascii="Arial" w:cs="Arial" w:eastAsia="Arial" w:hAnsi="Arial"/>
          <w:sz w:val="18"/>
          <w:szCs w:val="18"/>
          <w:b w:val="1"/>
          <w:bCs w:val="1"/>
          <w:color w:val="auto"/>
        </w:rPr>
        <w:t>NATI</w:t>
      </w:r>
      <w:r>
        <w:rPr>
          <w:rFonts w:ascii="Arial" w:cs="Arial" w:eastAsia="Arial" w:hAnsi="Arial"/>
          <w:sz w:val="18"/>
          <w:szCs w:val="18"/>
          <w:color w:val="auto"/>
        </w:rPr>
        <w:t>”) except as set forth in each of the Preliminary Prospectus and Prospectus nor (ii) is in violation with respect to any instrument of approval granted to it by the Investment Center of the Ministry of Economy of the State of Israel (the “</w:t>
      </w:r>
      <w:r>
        <w:rPr>
          <w:rFonts w:ascii="Arial" w:cs="Arial" w:eastAsia="Arial" w:hAnsi="Arial"/>
          <w:sz w:val="18"/>
          <w:szCs w:val="18"/>
          <w:b w:val="1"/>
          <w:bCs w:val="1"/>
          <w:color w:val="auto"/>
        </w:rPr>
        <w:t>Investment Center</w:t>
      </w:r>
      <w:r>
        <w:rPr>
          <w:rFonts w:ascii="Arial" w:cs="Arial" w:eastAsia="Arial" w:hAnsi="Arial"/>
          <w:sz w:val="18"/>
          <w:szCs w:val="18"/>
          <w:color w:val="auto"/>
        </w:rPr>
        <w:t>”) or by NATI. The Company has not received from the Investment Center any notice denying, revoking or adversely modifying any “approved enterprise” or “benefited enterprise” or “preferred enterprise” status with respect to any of the Company’s facilities or operations (including, in all such cases, notice of proceedings or investigations related thereto).</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0" w:name="page11"/>
    <w:bookmarkEnd w:id="10"/>
    <w:p>
      <w:pPr>
        <w:jc w:val="both"/>
        <w:ind w:left="-540" w:firstLine="645"/>
        <w:spacing w:after="0" w:line="290" w:lineRule="auto"/>
        <w:tabs>
          <w:tab w:leader="none" w:pos="323"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court or governmental agency or body having jurisdiction over the Company or any of its subsidiaries or any of their properties or assets is required for the sale of the Shares, the execution, delivery and performance of this Agreement by the Company, the consummation of the transactions contemplated hereby, the application of the proceeds from the sale of the Shares as described under “Use of Proceeds” in the Preliminary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purchase and sale of the Shares by the Underwriters; (iii) the filing of certain information with the Registrar of Companies in the State of Israel, following the Closing, regarding the transfer of the Shares; and (iv) the transaction notification to NASDAQ.</w:t>
      </w:r>
    </w:p>
    <w:p>
      <w:pPr>
        <w:spacing w:after="0" w:line="166" w:lineRule="exact"/>
        <w:rPr>
          <w:rFonts w:ascii="Arial" w:cs="Arial" w:eastAsia="Arial" w:hAnsi="Arial"/>
          <w:sz w:val="16"/>
          <w:szCs w:val="16"/>
          <w:color w:val="auto"/>
        </w:rPr>
      </w:pPr>
    </w:p>
    <w:p>
      <w:pPr>
        <w:jc w:val="both"/>
        <w:ind w:left="-540" w:firstLine="645"/>
        <w:spacing w:after="0" w:line="257" w:lineRule="auto"/>
        <w:tabs>
          <w:tab w:leader="none" w:pos="3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historical financial statements (including the related notes and supporting schedules) included or incorporated by reference in the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188" w:lineRule="exact"/>
        <w:rPr>
          <w:rFonts w:ascii="Arial" w:cs="Arial" w:eastAsia="Arial" w:hAnsi="Arial"/>
          <w:sz w:val="18"/>
          <w:szCs w:val="18"/>
          <w:color w:val="auto"/>
        </w:rPr>
      </w:pPr>
    </w:p>
    <w:p>
      <w:pPr>
        <w:jc w:val="both"/>
        <w:ind w:left="-540" w:firstLine="645"/>
        <w:spacing w:after="0" w:line="312" w:lineRule="auto"/>
        <w:tabs>
          <w:tab w:leader="none" w:pos="363" w:val="left"/>
        </w:tabs>
        <w:numPr>
          <w:ilvl w:val="0"/>
          <w:numId w:val="7"/>
        </w:numPr>
        <w:rPr>
          <w:rFonts w:ascii="Arial" w:cs="Arial" w:eastAsia="Arial" w:hAnsi="Arial"/>
          <w:sz w:val="16"/>
          <w:szCs w:val="16"/>
          <w:color w:val="auto"/>
        </w:rPr>
      </w:pPr>
      <w:r>
        <w:rPr>
          <w:rFonts w:ascii="Arial" w:cs="Arial" w:eastAsia="Arial" w:hAnsi="Arial"/>
          <w:sz w:val="16"/>
          <w:szCs w:val="16"/>
          <w:color w:val="auto"/>
        </w:rPr>
        <w:t>Kost Forer Gabbay &amp; Kasierer, a member of Ernst &amp; Young Global, who have certified certain financial statements of the Company and its consolidated subsidiaries, whose report appears in the Preliminary Prospectus, or is incorporated therein, and who have delivered the initial letter referred to in Section 9(i) hereof, are independent public accountants as required by the Securities Act and the rules and regulations thereunder.</w:t>
      </w:r>
    </w:p>
    <w:p>
      <w:pPr>
        <w:spacing w:after="0" w:line="146" w:lineRule="exact"/>
        <w:rPr>
          <w:rFonts w:ascii="Arial" w:cs="Arial" w:eastAsia="Arial" w:hAnsi="Arial"/>
          <w:sz w:val="16"/>
          <w:szCs w:val="16"/>
          <w:color w:val="auto"/>
        </w:rPr>
      </w:pPr>
    </w:p>
    <w:p>
      <w:pPr>
        <w:jc w:val="both"/>
        <w:ind w:left="-540" w:firstLine="645"/>
        <w:spacing w:after="0" w:line="286" w:lineRule="auto"/>
        <w:tabs>
          <w:tab w:leader="none" w:pos="40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control over financial reporting (as such term is defined in Rule 13a-15(f) of the Exchange Act) that complies with the requirements of the Exchange Act and that has been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in the United States. The Company and each of its subsidiaries maintain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(iv) the recorded accountability for the Company’s assets is compared with existing assets at reasonable intervals and appropriate action is taken with respect to any differences, and (v) the interactive data in eXtensible Business Reporting Language included or incorporated by reference in the Pricing Disclosure Package and the Prospectus fairly present the information called for in all material respects and are prepared in accordance with the Commission’s rules and guidelines applicable thereto. As of the date of the most recent balance sheet of the Company and its consolidated subsidiaries reviewed or audited by Kost Forer Gabbay &amp; Kasierer, a member of Ernst &amp; Young Global, and the audit committee of the board of directors of the Company, there were no material weaknesses in the Company’s internal controls.</w:t>
      </w:r>
    </w:p>
    <w:p>
      <w:pPr>
        <w:spacing w:after="0" w:line="38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 w:name="page12"/>
    <w:bookmarkEnd w:id="11"/>
    <w:p>
      <w:pPr>
        <w:jc w:val="both"/>
        <w:ind w:left="-540" w:firstLine="645"/>
        <w:spacing w:after="0" w:line="255" w:lineRule="auto"/>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(i) The Company and its subsidiaries maintain disclosure controls and procedures (as such term is defined in Rule 13a-15(e) under the Exchange Act), (ii) such disclosure controls and procedures are designed to ensure that the information required to be disclosed by the Company in reports that it files or submits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 controls and procedures are effective in all material respects to perform the functions for which they were established.</w:t>
      </w:r>
    </w:p>
    <w:p>
      <w:pPr>
        <w:spacing w:after="0" w:line="193" w:lineRule="exact"/>
        <w:rPr>
          <w:rFonts w:ascii="Arial" w:cs="Arial" w:eastAsia="Arial" w:hAnsi="Arial"/>
          <w:sz w:val="18"/>
          <w:szCs w:val="18"/>
          <w:color w:val="auto"/>
        </w:rPr>
      </w:pPr>
    </w:p>
    <w:p>
      <w:pPr>
        <w:jc w:val="both"/>
        <w:ind w:left="-540" w:firstLine="645"/>
        <w:spacing w:after="0" w:line="255" w:lineRule="auto"/>
        <w:tabs>
          <w:tab w:leader="none" w:pos="377"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reviewed or audited by Kost Forer Gabbay &amp; Kasierer, a member of Ernst &amp; Young Global, (i) the Company has not been advised of or become aware of (A) any material weakness or significant deficiency in internal controls of the Company or its subsidiaries, and (B) any fraud, whether or not material, that involves management or other employees who have a significant role in the internal controls of the Company and each of its subsidiaries; and (ii) there have been no significant adverse changes in internal controls or in other factors that could significantly affect internal controls, including any corrective actions with regard to significant deficiencies and material weaknesses.</w:t>
      </w:r>
    </w:p>
    <w:p>
      <w:pPr>
        <w:spacing w:after="0" w:line="193" w:lineRule="exact"/>
        <w:rPr>
          <w:rFonts w:ascii="Arial" w:cs="Arial" w:eastAsia="Arial" w:hAnsi="Arial"/>
          <w:sz w:val="18"/>
          <w:szCs w:val="18"/>
          <w:color w:val="auto"/>
        </w:rPr>
      </w:pPr>
    </w:p>
    <w:p>
      <w:pPr>
        <w:ind w:left="-540" w:firstLine="645"/>
        <w:spacing w:after="0" w:line="342" w:lineRule="auto"/>
        <w:tabs>
          <w:tab w:leader="none" w:pos="35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applicable provision of the Sarbanes-Oxley Act of 2002 and the rules and regulations promulgated in connection therewith.</w:t>
      </w:r>
    </w:p>
    <w:p>
      <w:pPr>
        <w:spacing w:after="0" w:line="124" w:lineRule="exact"/>
        <w:rPr>
          <w:sz w:val="20"/>
          <w:szCs w:val="20"/>
          <w:color w:val="auto"/>
        </w:rPr>
      </w:pPr>
    </w:p>
    <w:p>
      <w:pPr>
        <w:jc w:val="both"/>
        <w:ind w:left="-540" w:firstLine="645"/>
        <w:spacing w:after="0" w:line="287" w:lineRule="auto"/>
        <w:tabs>
          <w:tab w:leader="none" w:pos="433" w:val="left"/>
        </w:tabs>
        <w:numPr>
          <w:ilvl w:val="0"/>
          <w:numId w:val="9"/>
        </w:numPr>
        <w:rPr>
          <w:rFonts w:ascii="Arial" w:cs="Arial" w:eastAsia="Arial" w:hAnsi="Arial"/>
          <w:sz w:val="16"/>
          <w:szCs w:val="16"/>
          <w:color w:val="auto"/>
        </w:rPr>
      </w:pPr>
      <w:r>
        <w:rPr>
          <w:rFonts w:ascii="Arial" w:cs="Arial" w:eastAsia="Arial" w:hAnsi="Arial"/>
          <w:sz w:val="16"/>
          <w:szCs w:val="16"/>
          <w:color w:val="auto"/>
        </w:rPr>
        <w:t>Since the date of the latest audited financial statements included or incorporated by reference in the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except as set forth in the Preliminary Prospectus, (iii) incurred any material liability or obligation, direct or contingent, other than liabilities and obligations that were incurred in the ordinary course of business or otherwise set forth in the Preliminary Prospectus, (iv) entered into any material transaction not in the ordinary course of business, except as set forth in the Preliminary Prospectus or (v) declared or paid any dividend on its share capital, and since such date, there has not been any change in the share capital (other than the issuance of ordinary shares, if any, pursuant to share option plans or other equity compensation plans or arrangements described in the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 w:name="page13"/>
    <w:bookmarkEnd w:id="12"/>
    <w:p>
      <w:pPr>
        <w:jc w:val="both"/>
        <w:ind w:left="-540" w:firstLine="645"/>
        <w:spacing w:after="0" w:line="273" w:lineRule="auto"/>
        <w:tabs>
          <w:tab w:leader="none" w:pos="4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are described in the Preliminary Prospectus or such as do not materially affect the value of such property and do not materially interfere with the use made and proposed to be made of such property by the Company and its subsidiaries.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178" w:lineRule="exact"/>
        <w:rPr>
          <w:rFonts w:ascii="Arial" w:cs="Arial" w:eastAsia="Arial" w:hAnsi="Arial"/>
          <w:sz w:val="17"/>
          <w:szCs w:val="17"/>
          <w:color w:val="auto"/>
        </w:rPr>
      </w:pPr>
    </w:p>
    <w:p>
      <w:pPr>
        <w:jc w:val="both"/>
        <w:ind w:left="-540" w:firstLine="645"/>
        <w:spacing w:after="0" w:line="290" w:lineRule="auto"/>
        <w:tabs>
          <w:tab w:leader="none" w:pos="43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each of its subsidiaries have such permits, licenses, patents, franchises, certificates of need and other approvals or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under applicable law to own their properties and conduct their businesses in the manner described in the Preliminary Prospectus, except for any of the foregoing that would not, in the aggregate, reasonably be expected to have a Material Adverse Effect. The Company and each of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66" w:lineRule="exact"/>
        <w:rPr>
          <w:rFonts w:ascii="Arial" w:cs="Arial" w:eastAsia="Arial" w:hAnsi="Arial"/>
          <w:sz w:val="16"/>
          <w:szCs w:val="16"/>
          <w:color w:val="auto"/>
        </w:rPr>
      </w:pPr>
    </w:p>
    <w:p>
      <w:pPr>
        <w:jc w:val="both"/>
        <w:ind w:left="-540" w:firstLine="645"/>
        <w:spacing w:after="0" w:line="273" w:lineRule="auto"/>
        <w:tabs>
          <w:tab w:leader="none" w:pos="453"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a Material Adverse Effect, (i) the Company and each of its subsidiaries owns or possesses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and (ii) the Company and each of its subsidiaries has no reason to believe that the conduct of their respective businesses will conflict with, and has not received any notice of any claim of conflict with, any such rights of others.</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 w:name="page14"/>
    <w:bookmarkEnd w:id="13"/>
    <w:p>
      <w:pPr>
        <w:jc w:val="both"/>
        <w:ind w:left="-540" w:firstLine="645"/>
        <w:spacing w:after="0" w:line="312" w:lineRule="auto"/>
        <w:tabs>
          <w:tab w:leader="none" w:pos="4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the Company and its subsidiaries (i) have suffered no information security incidents, (ii) have taken commercially reasonable steps to secure their information technology systems and the data thereon, and (iii) have complied with all applicable data protection laws, regulations, and contractual obligations.</w:t>
      </w:r>
    </w:p>
    <w:p>
      <w:pPr>
        <w:spacing w:after="0" w:line="146" w:lineRule="exact"/>
        <w:rPr>
          <w:rFonts w:ascii="Arial" w:cs="Arial" w:eastAsia="Arial" w:hAnsi="Arial"/>
          <w:sz w:val="16"/>
          <w:szCs w:val="16"/>
          <w:color w:val="auto"/>
        </w:rPr>
      </w:pPr>
    </w:p>
    <w:p>
      <w:pPr>
        <w:jc w:val="both"/>
        <w:ind w:left="-540" w:firstLine="645"/>
        <w:spacing w:after="0" w:line="257" w:lineRule="auto"/>
        <w:tabs>
          <w:tab w:leader="none" w:pos="4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could,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8" w:lineRule="exact"/>
        <w:rPr>
          <w:rFonts w:ascii="Arial" w:cs="Arial" w:eastAsia="Arial" w:hAnsi="Arial"/>
          <w:sz w:val="18"/>
          <w:szCs w:val="18"/>
          <w:color w:val="auto"/>
        </w:rPr>
      </w:pPr>
    </w:p>
    <w:p>
      <w:pPr>
        <w:jc w:val="both"/>
        <w:ind w:left="-540" w:firstLine="645"/>
        <w:spacing w:after="0" w:line="273" w:lineRule="auto"/>
        <w:tabs>
          <w:tab w:leader="none" w:pos="4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are no contracts or other documents required to be described in the Registration Statement or the Preliminary Prospectus or filed as exhibits to the Registration Statement, that are not described and filed as required. The statements made in the Preliminary Prospectus, insofar as they purport to constitute summaries of the terms of the contracts and other documents described and filed,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 except as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jc w:val="both"/>
        <w:ind w:left="-540" w:firstLine="645"/>
        <w:spacing w:after="0" w:line="293" w:lineRule="auto"/>
        <w:tabs>
          <w:tab w:leader="none" w:pos="4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statements made, or incorporated by reference, in the Preliminary Prospectus under the captions “Item 4 – Information on the Company – Business Overview”, “Item 6 – Directors, Senior Management and Employees”, “Underwriting”, “Description of Ordinary Shares”, “Item 5 - Operating and Financial Review and Prospects - Taxation and Israeli Government Programs Applicable to our Company”, “U.S. and Israeli Tax Consequences for our Shareholders” and “Enforceability of Civil Liabilities”, insofar as they purport to constitute summaries of the terms of statutes, rules or regulations, legal or governmental proceedings or contracts and other documents described therein, constitute accurate summaries of the terms of such statutes, rules and regulations, legal and governmental proceedings and contracts and other documents in all material respects.</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 w:name="page15"/>
    <w:bookmarkEnd w:id="14"/>
    <w:p>
      <w:pPr>
        <w:jc w:val="both"/>
        <w:ind w:left="-540" w:firstLine="645"/>
        <w:spacing w:after="0" w:line="288"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its subsidiaries carry, or are covered by, insurance from insurers of recognized financial responsibility in such amounts and covering such risks as is reasonably believed by the Company to be adequate for the conduct of their respective businesses and the value of their respective properties and as is customary for companies engaged in similar businesses in similar industries. All policies of insurance of the Company and its subsidiaries are in full force and effect; the Company and each of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69" w:lineRule="exact"/>
        <w:rPr>
          <w:rFonts w:ascii="Arial" w:cs="Arial" w:eastAsia="Arial" w:hAnsi="Arial"/>
          <w:sz w:val="16"/>
          <w:szCs w:val="16"/>
          <w:color w:val="auto"/>
        </w:rPr>
      </w:pPr>
    </w:p>
    <w:p>
      <w:pPr>
        <w:ind w:left="-540" w:firstLine="645"/>
        <w:spacing w:after="0" w:line="342" w:lineRule="auto"/>
        <w:tabs>
          <w:tab w:leader="none" w:pos="3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relationship, direct or indirect, exists between or among the Company, on the one hand, and the directors, officers, shareholders, customers or suppliers of the Company, on the other hand, that is required to be described in the Preliminary Prospectus which is not so described.</w:t>
      </w:r>
    </w:p>
    <w:p>
      <w:pPr>
        <w:spacing w:after="0" w:line="123" w:lineRule="exact"/>
        <w:rPr>
          <w:rFonts w:ascii="Arial" w:cs="Arial" w:eastAsia="Arial" w:hAnsi="Arial"/>
          <w:sz w:val="16"/>
          <w:szCs w:val="16"/>
          <w:color w:val="auto"/>
        </w:rPr>
      </w:pPr>
    </w:p>
    <w:p>
      <w:pPr>
        <w:jc w:val="both"/>
        <w:ind w:left="-540" w:firstLine="645"/>
        <w:spacing w:after="0" w:line="259" w:lineRule="auto"/>
        <w:tabs>
          <w:tab w:leader="none" w:pos="4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and extension orders applicable to their employees in the State of Israel.</w:t>
      </w:r>
    </w:p>
    <w:p>
      <w:pPr>
        <w:spacing w:after="0" w:line="186" w:lineRule="exact"/>
        <w:rPr>
          <w:rFonts w:ascii="Arial" w:cs="Arial" w:eastAsia="Arial" w:hAnsi="Arial"/>
          <w:sz w:val="18"/>
          <w:szCs w:val="18"/>
          <w:color w:val="auto"/>
        </w:rPr>
      </w:pPr>
    </w:p>
    <w:p>
      <w:pPr>
        <w:jc w:val="both"/>
        <w:ind w:left="-540" w:firstLine="645"/>
        <w:spacing w:after="0" w:line="290" w:lineRule="auto"/>
        <w:tabs>
          <w:tab w:leader="none" w:pos="4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articles of association,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could not, individually or in the aggregate, reasonably be expected to have a Material Adverse Effect.</w:t>
      </w:r>
    </w:p>
    <w:p>
      <w:pPr>
        <w:spacing w:after="0" w:line="375"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 w:name="page16"/>
    <w:bookmarkEnd w:id="15"/>
    <w:p>
      <w:pPr>
        <w:jc w:val="both"/>
        <w:ind w:left="-540" w:firstLine="645"/>
        <w:spacing w:after="0" w:line="267" w:lineRule="auto"/>
        <w:tabs>
          <w:tab w:leader="none" w:pos="5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its subsidiaries (i) are, and at all times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applicable to such entity, which compliance includes, without limitation, obtaining, maintaining and complying with all permits and authorizations and approvals required by Environmental Laws to conduct their respective businesses, and (ii) have not received notice or otherwise have knowledge of any actual or alleged violation of Environmental Laws, or of any actual or potential liability for or other obligation concerning the presence, disposal or release of hazardous or toxic substances or wastes, pollutants or contaminants, except, for purposes of clauses (i) and (ii) above, where such non-compliance, violation, liability, or other obligation would not, in the aggregate, reasonably be expected to have a Material Adverse Effect. Except as described in the Preliminary Prospectus,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and its subsidiaries, and (z) none of the Company and its subsidiaries anticipates material capital expenditures relating to Environmental Laws.</w:t>
      </w:r>
    </w:p>
    <w:p>
      <w:pPr>
        <w:spacing w:after="0" w:line="192" w:lineRule="exact"/>
        <w:rPr>
          <w:rFonts w:ascii="Arial" w:cs="Arial" w:eastAsia="Arial" w:hAnsi="Arial"/>
          <w:sz w:val="17"/>
          <w:szCs w:val="17"/>
          <w:color w:val="auto"/>
        </w:rPr>
      </w:pPr>
    </w:p>
    <w:p>
      <w:pPr>
        <w:jc w:val="both"/>
        <w:ind w:left="-540" w:firstLine="645"/>
        <w:spacing w:after="0" w:line="255" w:lineRule="auto"/>
        <w:tabs>
          <w:tab w:leader="none" w:pos="4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each of its subsidiaries have: (i) timely filed all federal, state, local and foreign income and all other material tax returns required to be filed through the date hereof, subject to permitted extensions, and such returns are true, correct and complete in all material respects, and (ii) timely paid all material taxes due, except as may be being contested in good faith and by appropriate proceedings and for which adequate reserves have been made under GAAP. The Company does not have any knowledge of any tax deficiencies that have been, or would reasonably be expected to be asserted against the Company or any of its subsidiaries, that could, in the aggregate, reasonably be expected to have a Material Adverse Effect.</w:t>
      </w:r>
    </w:p>
    <w:p>
      <w:pPr>
        <w:spacing w:after="0" w:line="193" w:lineRule="exact"/>
        <w:rPr>
          <w:rFonts w:ascii="Arial" w:cs="Arial" w:eastAsia="Arial" w:hAnsi="Arial"/>
          <w:sz w:val="18"/>
          <w:szCs w:val="18"/>
          <w:color w:val="auto"/>
        </w:rPr>
      </w:pPr>
    </w:p>
    <w:p>
      <w:pPr>
        <w:jc w:val="both"/>
        <w:ind w:left="-540" w:firstLine="645"/>
        <w:spacing w:after="0" w:line="259"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pending, or threatened in writing, audit, examination, investigation, assessment, claim or other proceeding by any governmental authority with respect to the qualification of the Company or any of its subsidiaries as an Industrial Company or an Industrial Enterprise, as the case may be, pursuant to the Law for the Encouragement of Industry (Taxes), 5729-1969 or the Law for the Encouragement of Capital Investments, 5719-1959, respectively.</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 w:name="page17"/>
    <w:bookmarkEnd w:id="16"/>
    <w:p>
      <w:pPr>
        <w:jc w:val="both"/>
        <w:ind w:left="-540" w:firstLine="645"/>
        <w:spacing w:after="0" w:line="286" w:lineRule="auto"/>
        <w:tabs>
          <w:tab w:leader="none" w:pos="4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Each “employee benefit plan” (within the meaning of Section 3(3) of the Employee Retirement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Code)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171" w:lineRule="exact"/>
        <w:rPr>
          <w:rFonts w:ascii="Arial" w:cs="Arial" w:eastAsia="Arial" w:hAnsi="Arial"/>
          <w:sz w:val="16"/>
          <w:szCs w:val="16"/>
          <w:color w:val="auto"/>
        </w:rPr>
      </w:pPr>
    </w:p>
    <w:p>
      <w:pPr>
        <w:ind w:left="-540" w:firstLine="645"/>
        <w:spacing w:after="0" w:line="277" w:lineRule="auto"/>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Preliminary Prospectus or incorporated by reference are based on or derived from sources that the Company believes to be reliable in all material respects.</w:t>
      </w:r>
    </w:p>
    <w:p>
      <w:pPr>
        <w:spacing w:after="0" w:line="170" w:lineRule="exact"/>
        <w:rPr>
          <w:rFonts w:ascii="Arial" w:cs="Arial" w:eastAsia="Arial" w:hAnsi="Arial"/>
          <w:sz w:val="18"/>
          <w:szCs w:val="18"/>
          <w:color w:val="auto"/>
        </w:rPr>
      </w:pPr>
    </w:p>
    <w:p>
      <w:pPr>
        <w:jc w:val="both"/>
        <w:ind w:left="-540" w:firstLine="645"/>
        <w:spacing w:after="0" w:line="257" w:lineRule="auto"/>
        <w:tabs>
          <w:tab w:leader="none" w:pos="3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and as of the Delivery Date and, after giving effect to the offer and sale of the Shares and the application of the proceeds therefrom as described under “Use of Proceeds” in the Preliminary Prospectus and the Prospectus, none of them will be, (i) an “investment company” or a company “controlled” by an “investment company” within the meaning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and the rules and regulations of the Commission thereunder, or (ii) a “business development company” (as defined in Section 2(a)(48) of the Investment Company Act).</w:t>
      </w:r>
    </w:p>
    <w:p>
      <w:pPr>
        <w:spacing w:after="0" w:line="188" w:lineRule="exact"/>
        <w:rPr>
          <w:rFonts w:ascii="Arial" w:cs="Arial" w:eastAsia="Arial" w:hAnsi="Arial"/>
          <w:sz w:val="18"/>
          <w:szCs w:val="18"/>
          <w:color w:val="auto"/>
        </w:rPr>
      </w:pPr>
    </w:p>
    <w:p>
      <w:pPr>
        <w:jc w:val="both"/>
        <w:ind w:left="-540" w:firstLine="645"/>
        <w:spacing w:after="0" w:line="276" w:lineRule="auto"/>
        <w:tabs>
          <w:tab w:leader="none" w:pos="4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Except as described in the Preliminary Prospectus, there are no contracts, agreements or understandings between the Company and any person granting such person the right (other than rights that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72" w:lineRule="exact"/>
        <w:rPr>
          <w:rFonts w:ascii="Arial" w:cs="Arial" w:eastAsia="Arial" w:hAnsi="Arial"/>
          <w:sz w:val="17"/>
          <w:szCs w:val="17"/>
          <w:color w:val="auto"/>
        </w:rPr>
      </w:pPr>
    </w:p>
    <w:p>
      <w:pPr>
        <w:jc w:val="both"/>
        <w:ind w:left="-540" w:firstLine="645"/>
        <w:spacing w:after="0" w:line="264" w:lineRule="auto"/>
        <w:tabs>
          <w:tab w:leader="none" w:pos="3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Shares.</w:t>
      </w:r>
    </w:p>
    <w:p>
      <w:pPr>
        <w:spacing w:after="0" w:line="181" w:lineRule="exact"/>
        <w:rPr>
          <w:rFonts w:ascii="Arial" w:cs="Arial" w:eastAsia="Arial" w:hAnsi="Arial"/>
          <w:sz w:val="18"/>
          <w:szCs w:val="18"/>
          <w:color w:val="auto"/>
        </w:rPr>
      </w:pPr>
    </w:p>
    <w:p>
      <w:pPr>
        <w:ind w:left="-540" w:right="20" w:firstLine="645"/>
        <w:spacing w:after="0" w:line="308" w:lineRule="auto"/>
        <w:tabs>
          <w:tab w:leader="none" w:pos="4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not sold or issued any securities that would be integrated with the offering of the Shares contemplated by this Agreement pursuant to the Securities Act, the rules and regulations thereunder or the interpretations thereof by the Commission.</w:t>
      </w:r>
    </w:p>
    <w:p>
      <w:pPr>
        <w:spacing w:after="0" w:line="35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7" w:name="page18"/>
    <w:bookmarkEnd w:id="17"/>
    <w:p>
      <w:pPr>
        <w:jc w:val="both"/>
        <w:ind w:left="4" w:firstLine="645"/>
        <w:spacing w:after="0" w:line="264" w:lineRule="auto"/>
        <w:tabs>
          <w:tab w:leader="none" w:pos="10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4" w:firstLine="645"/>
        <w:spacing w:after="0" w:line="276" w:lineRule="auto"/>
        <w:tabs>
          <w:tab w:leader="none" w:pos="11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Assuming the Underwriters have not offered the Shares other than in accordance with their obligations under Section 6(c) or otherwise engaged in solicitation, advertising or any other action constituting an offer to the public under the Israeli Securities Law 5728-1968, as amended, (the “</w:t>
      </w:r>
      <w:r>
        <w:rPr>
          <w:rFonts w:ascii="Arial" w:cs="Arial" w:eastAsia="Arial" w:hAnsi="Arial"/>
          <w:sz w:val="17"/>
          <w:szCs w:val="17"/>
          <w:b w:val="1"/>
          <w:bCs w:val="1"/>
          <w:color w:val="auto"/>
        </w:rPr>
        <w:t>Israeli Securities Law</w:t>
      </w:r>
      <w:r>
        <w:rPr>
          <w:rFonts w:ascii="Arial" w:cs="Arial" w:eastAsia="Arial" w:hAnsi="Arial"/>
          <w:sz w:val="17"/>
          <w:szCs w:val="17"/>
          <w:color w:val="auto"/>
        </w:rPr>
        <w:t>”) in Israel, the Company has not engaged in any form of solicitation, advertising or any other action constituting an offer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172" w:lineRule="exact"/>
        <w:rPr>
          <w:rFonts w:ascii="Arial" w:cs="Arial" w:eastAsia="Arial" w:hAnsi="Arial"/>
          <w:sz w:val="17"/>
          <w:szCs w:val="17"/>
          <w:color w:val="auto"/>
        </w:rPr>
      </w:pPr>
    </w:p>
    <w:p>
      <w:pPr>
        <w:ind w:left="4" w:firstLine="645"/>
        <w:spacing w:after="0" w:line="277" w:lineRule="auto"/>
        <w:tabs>
          <w:tab w:leader="none" w:pos="10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have been approved for listing, subject to official notice of issuance and evidence of satisfactory distribution on, The NASDAQ Global Select Market.</w:t>
      </w:r>
    </w:p>
    <w:p>
      <w:pPr>
        <w:spacing w:after="0" w:line="170" w:lineRule="exact"/>
        <w:rPr>
          <w:rFonts w:ascii="Arial" w:cs="Arial" w:eastAsia="Arial" w:hAnsi="Arial"/>
          <w:sz w:val="18"/>
          <w:szCs w:val="18"/>
          <w:color w:val="auto"/>
        </w:rPr>
      </w:pPr>
    </w:p>
    <w:p>
      <w:pPr>
        <w:jc w:val="both"/>
        <w:ind w:left="4" w:firstLine="645"/>
        <w:spacing w:after="0" w:line="259" w:lineRule="auto"/>
        <w:tabs>
          <w:tab w:leader="none" w:pos="9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not distributed and, prior to the later to occur of the Delivery Date and completion of the distribution of the Shares, will not distribute any offering material in connection with the offering and sale of the Shares other than any Preliminary Prospectus, the Prospectus, any Issuer Free Writing Prospectus to which the Underwriters have consented in accordance with Section 1(k) or 6(a)(vi) and any Issuer Free Writing Prospectus set forth on Schedule VI hereto.</w:t>
      </w:r>
    </w:p>
    <w:p>
      <w:pPr>
        <w:spacing w:after="0" w:line="186" w:lineRule="exact"/>
        <w:rPr>
          <w:rFonts w:ascii="Arial" w:cs="Arial" w:eastAsia="Arial" w:hAnsi="Arial"/>
          <w:sz w:val="18"/>
          <w:szCs w:val="18"/>
          <w:color w:val="auto"/>
        </w:rPr>
      </w:pPr>
    </w:p>
    <w:p>
      <w:pPr>
        <w:jc w:val="both"/>
        <w:ind w:left="4" w:firstLine="645"/>
        <w:spacing w:after="0" w:line="259" w:lineRule="auto"/>
        <w:tabs>
          <w:tab w:leader="none" w:pos="9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Israeli, federal or state law relating to discrimination in the hiring, promotion or pay of employees, nor any applicable Israeli, federal or state wage and hour laws, nor any state law precluding the denial of credit due to the neighborhood in which a property is situated, the violation of any of which could reasonably be expected to have a Material Adverse Effect.</w:t>
      </w:r>
    </w:p>
    <w:p>
      <w:pPr>
        <w:spacing w:after="0" w:line="187" w:lineRule="exact"/>
        <w:rPr>
          <w:sz w:val="20"/>
          <w:szCs w:val="20"/>
          <w:color w:val="auto"/>
        </w:rPr>
      </w:pPr>
    </w:p>
    <w:p>
      <w:pPr>
        <w:jc w:val="both"/>
        <w:ind w:left="4" w:firstLine="645"/>
        <w:spacing w:after="0" w:line="288" w:lineRule="auto"/>
        <w:tabs>
          <w:tab w:leader="none" w:pos="1056" w:val="left"/>
        </w:tabs>
        <w:numPr>
          <w:ilvl w:val="1"/>
          <w:numId w:val="16"/>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other person acting on behalf of the Company or any of its subsidiaries, has in the course of its actions for, or on behalf of, the Company or any of its subsidiaries: (i) used any corporate funds for any unlawful contribution, gift, entertainment or other unlawful expense relating to political activity;</w:t>
      </w:r>
    </w:p>
    <w:p>
      <w:pPr>
        <w:jc w:val="both"/>
        <w:ind w:left="4" w:hanging="4"/>
        <w:spacing w:after="0" w:line="281" w:lineRule="auto"/>
        <w:tabs>
          <w:tab w:leader="none" w:pos="2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made any direct or indirect unlawful payment to any foreign or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w:t>
      </w:r>
    </w:p>
    <w:p>
      <w:pPr>
        <w:spacing w:after="0" w:line="1" w:lineRule="exact"/>
        <w:rPr>
          <w:rFonts w:ascii="Arial" w:cs="Arial" w:eastAsia="Arial" w:hAnsi="Arial"/>
          <w:sz w:val="16"/>
          <w:szCs w:val="16"/>
          <w:color w:val="auto"/>
        </w:rPr>
      </w:pPr>
    </w:p>
    <w:p>
      <w:pPr>
        <w:jc w:val="both"/>
        <w:ind w:left="4" w:hanging="4"/>
        <w:spacing w:after="0" w:line="252"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FCPA, Section 291 and 291A of the Israeli Penal Law 5733-1973, the U.K. Bribery Act 2010, as amended, or any other applicable anti-bribery statute or regulation; or (iv) made any bribe, rebate, payoff, influence payment, kickback or other unlawful payment to any domestic government official, foreign official or employee; and the Company and its subsidiaries and the Company’s controlled affiliates have conducted their respective businesses in compliance with the FCPA, Sections 291 and 291A of the Israeli Penal Law 5733-1973, U.K. Bribery Act 2010, and all other applicable anti-bribery statutes and regulations, and have instituted and maintain policies and procedures designed to promote continued compliance therewith.</w:t>
      </w:r>
    </w:p>
    <w:p>
      <w:pPr>
        <w:spacing w:after="0" w:line="200" w:lineRule="exact"/>
        <w:rPr>
          <w:sz w:val="20"/>
          <w:szCs w:val="20"/>
          <w:color w:val="auto"/>
        </w:rPr>
      </w:pPr>
    </w:p>
    <w:p>
      <w:pPr>
        <w:spacing w:after="0" w:line="203"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8" w:name="page19"/>
    <w:bookmarkEnd w:id="18"/>
    <w:p>
      <w:pPr>
        <w:jc w:val="both"/>
        <w:ind w:left="-540" w:firstLine="645"/>
        <w:spacing w:after="0" w:line="273" w:lineRule="auto"/>
        <w:tabs>
          <w:tab w:leader="none" w:pos="5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jc w:val="both"/>
        <w:ind w:left="-540" w:firstLine="645"/>
        <w:spacing w:after="0" w:line="268" w:lineRule="auto"/>
        <w:tabs>
          <w:tab w:leader="none" w:pos="5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controlled affiliate of the Company or any of its subsidiaries is (i) currently subject to any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U.S. Department of State,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w:t>
      </w:r>
      <w:r>
        <w:rPr>
          <w:rFonts w:ascii="Arial" w:cs="Arial" w:eastAsia="Arial" w:hAnsi="Arial"/>
          <w:sz w:val="17"/>
          <w:szCs w:val="17"/>
          <w:b w:val="1"/>
          <w:bCs w:val="1"/>
          <w:color w:val="auto"/>
        </w:rPr>
        <w:t>EU</w:t>
      </w:r>
      <w:r>
        <w:rPr>
          <w:rFonts w:ascii="Arial" w:cs="Arial" w:eastAsia="Arial" w:hAnsi="Arial"/>
          <w:sz w:val="17"/>
          <w:szCs w:val="17"/>
          <w:color w:val="auto"/>
        </w:rPr>
        <w:t>”),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or (ii) located, organized or ordinarily resident in a country that is the subject of comprehensive country-wide Sanctions (including, without limitation, the Crimea region of the Ukraine, Cuba, Iran, North Korea and Syria); and the Company will not directly or indirectly use the proceeds of the offering, or lend, contribute or otherwise make available such proceeds to any subsidiary, joint venture partner or other person or entity, for the purpose of financing the activities of any person that is the target of Sanctions, or in any country or territory that currently is the subject or target of comprehensive country-wide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that at the time of the dealing or transaction is or was the subject or target of Sanctions or in any country or territory that at the time of the dealing or transaction is or was the subject or target of comprehensive Sanctions, in violation of applicable Sanctions.</w:t>
      </w:r>
    </w:p>
    <w:p>
      <w:pPr>
        <w:spacing w:after="0" w:line="187" w:lineRule="exact"/>
        <w:rPr>
          <w:rFonts w:ascii="Arial" w:cs="Arial" w:eastAsia="Arial" w:hAnsi="Arial"/>
          <w:sz w:val="17"/>
          <w:szCs w:val="17"/>
          <w:color w:val="auto"/>
        </w:rPr>
      </w:pPr>
    </w:p>
    <w:p>
      <w:pPr>
        <w:ind w:left="-540" w:right="20" w:firstLine="645"/>
        <w:spacing w:after="0" w:line="277" w:lineRule="auto"/>
        <w:tabs>
          <w:tab w:leader="none" w:pos="5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described in the Preliminary Prospectus, no approvals are currently required in the State of Israel in order for the Company to pay dividends or other distributions declared by the Company to the holders of Underlying Securities.</w:t>
      </w:r>
    </w:p>
    <w:p>
      <w:pPr>
        <w:spacing w:after="0" w:line="170" w:lineRule="exact"/>
        <w:rPr>
          <w:rFonts w:ascii="Arial" w:cs="Arial" w:eastAsia="Arial" w:hAnsi="Arial"/>
          <w:sz w:val="18"/>
          <w:szCs w:val="18"/>
          <w:color w:val="auto"/>
        </w:rPr>
      </w:pPr>
    </w:p>
    <w:p>
      <w:pPr>
        <w:jc w:val="both"/>
        <w:ind w:left="-540" w:firstLine="645"/>
        <w:spacing w:after="0" w:line="257" w:lineRule="auto"/>
        <w:tabs>
          <w:tab w:leader="none" w:pos="5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qualifications and assumptions set forth in the Pricing Disclosure Package, the Registration Statement and the Prospectus, the Company does not believe it was, for its most recently completed taxable year, a “passive foreign investment company” (as defined in Section 1297 of the Code, and the regulations promulgated thereunder). Based on the Company’s current projected income, assets and activities, the Company does not expect to be classified as a “passive foreign investment company” for the taxable year starting on January 1, 2018 or for any foreseeable subsequent taxable year.</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9" w:name="page20"/>
    <w:bookmarkEnd w:id="19"/>
    <w:p>
      <w:pPr>
        <w:jc w:val="both"/>
        <w:ind w:left="660" w:firstLine="645"/>
        <w:spacing w:after="0" w:line="286" w:lineRule="auto"/>
        <w:tabs>
          <w:tab w:leader="none" w:pos="16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none of the issuance, delivery and sale of the Shares by the Company or the execution and delivery of this Agreement will be subject to any tax (including interest and penalties) imposed on the Underwriters by the State of Israel or any political subdivision thereof whether imposed directly or through withholding.</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of its properties or assets has any immunity from the jurisdiction of any court or from any legal process (whether through service or notice, attachment to prior judgment, attachment in aid of execution or otherwise) under the laws of the State of Israel.</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7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disclosed in the Pricing Disclosure Package and the Prospectus, for a period of twelve months prior to and including the date hereof, the Company has not offered or sold any of its securities in Israel except under the employee benefit plans, qualified share option plans or other equity compensation plans or arrangements existing on the date hereof, including the exercise of options granted under such plans, and disclosed in the Pricing Disclosure Package and the Prospectus.</w:t>
      </w:r>
    </w:p>
    <w:p>
      <w:pPr>
        <w:spacing w:after="0" w:line="186" w:lineRule="exact"/>
        <w:rPr>
          <w:rFonts w:ascii="Arial" w:cs="Arial" w:eastAsia="Arial" w:hAnsi="Arial"/>
          <w:sz w:val="18"/>
          <w:szCs w:val="18"/>
          <w:color w:val="auto"/>
        </w:rPr>
      </w:pPr>
    </w:p>
    <w:p>
      <w:pPr>
        <w:ind w:left="1620" w:hanging="315"/>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qualifies as a “foreign private issuer” within the meaning of Rule 405 under the Act.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duly designated Kornit Digital North America, Inc. as its authorized agent to receive service of process as set forth 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21.</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Underwriters or counsel for the Underwriters pursuant to this Agreement in connection with the offering of the Shares shall be deemed a representation and warranty by the Company, as to matters covered thereby, to each Underwriter.</w:t>
      </w:r>
    </w:p>
    <w:p>
      <w:pPr>
        <w:spacing w:after="0" w:line="124"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Warranties and Agreements of the Selling Shareholder. </w:t>
      </w:r>
      <w:r>
        <w:rPr>
          <w:rFonts w:ascii="Arial" w:cs="Arial" w:eastAsia="Arial" w:hAnsi="Arial"/>
          <w:sz w:val="17"/>
          <w:szCs w:val="17"/>
          <w:color w:val="auto"/>
        </w:rPr>
        <w:t>The Selling Shareholder represents, warrants and agrees that:</w:t>
      </w:r>
    </w:p>
    <w:p>
      <w:pPr>
        <w:spacing w:after="0" w:line="236" w:lineRule="exact"/>
        <w:rPr>
          <w:rFonts w:ascii="Arial" w:cs="Arial" w:eastAsia="Arial" w:hAnsi="Arial"/>
          <w:sz w:val="17"/>
          <w:szCs w:val="17"/>
          <w:color w:val="auto"/>
        </w:rPr>
      </w:pPr>
    </w:p>
    <w:p>
      <w:pPr>
        <w:jc w:val="both"/>
        <w:ind w:left="660" w:firstLine="645"/>
        <w:spacing w:after="0" w:line="264" w:lineRule="auto"/>
        <w:tabs>
          <w:tab w:leader="none" w:pos="15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Neither the Selling Shareholder nor any person acting on behalf of the Selling Shareholder (other than, if applicable, the Company and the Underwriters) has made any offer relating to the Shares which would constitute a “free writing prospectus” (as defined in Rule 405 under the Securities Act).</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1563"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Selling Shareholder has good and valid title to the Shares to be sold by the Selling Shareholder hereunder on the Delivery Date and any “security entitlement” within the meaning of Section 8-501 of the New York Uniform Commercial Code (the “</w:t>
      </w:r>
      <w:r>
        <w:rPr>
          <w:rFonts w:ascii="Arial" w:cs="Arial" w:eastAsia="Arial" w:hAnsi="Arial"/>
          <w:sz w:val="17"/>
          <w:szCs w:val="17"/>
          <w:b w:val="1"/>
          <w:bCs w:val="1"/>
          <w:color w:val="auto"/>
        </w:rPr>
        <w:t>UCC</w:t>
      </w:r>
      <w:r>
        <w:rPr>
          <w:rFonts w:ascii="Arial" w:cs="Arial" w:eastAsia="Arial" w:hAnsi="Arial"/>
          <w:sz w:val="17"/>
          <w:szCs w:val="17"/>
          <w:color w:val="auto"/>
        </w:rPr>
        <w:t>”) in respect thereof, free and clear of all liens, encumbrances, equities, community property rights, restrictions on transfer or claims.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4" w:right="20" w:firstLine="645"/>
        <w:spacing w:after="0" w:line="277" w:lineRule="auto"/>
        <w:tabs>
          <w:tab w:leader="none" w:pos="897"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obligations of the Selling Shareholder hereunder shall not be terminated by any act of the Selling Shareholder, by operation of law or the occurrence of any other event, except as otherwise provided hereunder.</w:t>
      </w:r>
    </w:p>
    <w:p>
      <w:pPr>
        <w:spacing w:after="0" w:line="170" w:lineRule="exact"/>
        <w:rPr>
          <w:rFonts w:ascii="Arial" w:cs="Arial" w:eastAsia="Arial" w:hAnsi="Arial"/>
          <w:sz w:val="18"/>
          <w:szCs w:val="18"/>
          <w:color w:val="auto"/>
        </w:rPr>
      </w:pPr>
    </w:p>
    <w:p>
      <w:pPr>
        <w:jc w:val="both"/>
        <w:ind w:left="4" w:firstLine="645"/>
        <w:spacing w:after="0" w:line="286" w:lineRule="auto"/>
        <w:tabs>
          <w:tab w:leader="none" w:pos="907" w:val="left"/>
        </w:tabs>
        <w:numPr>
          <w:ilvl w:val="1"/>
          <w:numId w:val="21"/>
        </w:numPr>
        <w:rPr>
          <w:rFonts w:ascii="Arial" w:cs="Arial" w:eastAsia="Arial" w:hAnsi="Arial"/>
          <w:sz w:val="16"/>
          <w:szCs w:val="16"/>
          <w:color w:val="auto"/>
        </w:rPr>
      </w:pPr>
      <w:r>
        <w:rPr>
          <w:rFonts w:ascii="Arial" w:cs="Arial" w:eastAsia="Arial" w:hAnsi="Arial"/>
          <w:sz w:val="16"/>
          <w:szCs w:val="16"/>
          <w:color w:val="auto"/>
        </w:rPr>
        <w:t>Upon payment for the Shares to be sold by the Selling Shareholder, delivery of such Shares, as directed by the Underwriters, to Cede &amp; Co. (“</w:t>
      </w:r>
      <w:r>
        <w:rPr>
          <w:rFonts w:ascii="Arial" w:cs="Arial" w:eastAsia="Arial" w:hAnsi="Arial"/>
          <w:sz w:val="16"/>
          <w:szCs w:val="16"/>
          <w:b w:val="1"/>
          <w:bCs w:val="1"/>
          <w:color w:val="auto"/>
        </w:rPr>
        <w:t>Cede</w:t>
      </w:r>
      <w:r>
        <w:rPr>
          <w:rFonts w:ascii="Arial" w:cs="Arial" w:eastAsia="Arial" w:hAnsi="Arial"/>
          <w:sz w:val="16"/>
          <w:szCs w:val="16"/>
          <w:color w:val="auto"/>
        </w:rPr>
        <w:t>”) or such other nominee as may be designated by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registration of such Shares in the name of Cede or such other nominee and the crediting of such Shares on the books of DTC to securities accounts of the Underwriters (i) DTC will acquire good and valid title to such Shares free and clear of all liens, encumbrances, equities, community property rights, restrictions on transfer or claims,</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72" w:val="left"/>
        </w:tabs>
        <w:numPr>
          <w:ilvl w:val="0"/>
          <w:numId w:val="22"/>
        </w:numPr>
        <w:rPr>
          <w:rFonts w:ascii="Arial" w:cs="Arial" w:eastAsia="Arial" w:hAnsi="Arial"/>
          <w:sz w:val="17"/>
          <w:szCs w:val="17"/>
          <w:color w:val="auto"/>
        </w:rPr>
      </w:pPr>
      <w:r>
        <w:rPr>
          <w:rFonts w:ascii="Arial" w:cs="Arial" w:eastAsia="Arial" w:hAnsi="Arial"/>
          <w:sz w:val="17"/>
          <w:szCs w:val="17"/>
          <w:color w:val="auto"/>
        </w:rPr>
        <w:t>DTC shall be a “protected purchaser” of such Shares within the meaning of Section 8-303 of the UCC, (iii) under Section 8-501 of the UCC, the Underwriters will acquire a valid security entitlement in respect of such Shares, and (iv) an action based on an adverse claim to such securities entitlement, whether framed in conversion, replevin, constructive trust, equitable lien or other theory may not be asserted against the Underwriters with respect to such security entitlement. For purposes of this representation, the Selling Shareholder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Underwriters on the records of DTC will have been made pursuant to the UCC.</w:t>
      </w:r>
    </w:p>
    <w:p>
      <w:pPr>
        <w:spacing w:after="0" w:line="184" w:lineRule="exact"/>
        <w:rPr>
          <w:rFonts w:ascii="Arial" w:cs="Arial" w:eastAsia="Arial" w:hAnsi="Arial"/>
          <w:sz w:val="17"/>
          <w:szCs w:val="17"/>
          <w:color w:val="auto"/>
        </w:rPr>
      </w:pPr>
    </w:p>
    <w:p>
      <w:pPr>
        <w:ind w:left="884" w:hanging="235"/>
        <w:spacing w:after="0"/>
        <w:tabs>
          <w:tab w:leader="none" w:pos="8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64" w:hanging="215"/>
        <w:spacing w:after="0"/>
        <w:tabs>
          <w:tab w:leader="none" w:pos="8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Selling Shareholder has full right, power and authority, corporate or otherwise, to enter into this Agreement.</w:t>
      </w:r>
    </w:p>
    <w:p>
      <w:pPr>
        <w:spacing w:after="0" w:line="225" w:lineRule="exact"/>
        <w:rPr>
          <w:rFonts w:ascii="Arial" w:cs="Arial" w:eastAsia="Arial" w:hAnsi="Arial"/>
          <w:sz w:val="18"/>
          <w:szCs w:val="18"/>
          <w:color w:val="auto"/>
        </w:rPr>
      </w:pPr>
    </w:p>
    <w:p>
      <w:pPr>
        <w:ind w:left="904" w:hanging="255"/>
        <w:spacing w:after="0"/>
        <w:tabs>
          <w:tab w:leader="none" w:pos="9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or on behalf of the Selling Shareholder.</w:t>
      </w:r>
    </w:p>
    <w:p>
      <w:pPr>
        <w:spacing w:after="0" w:line="225" w:lineRule="exact"/>
        <w:rPr>
          <w:rFonts w:ascii="Arial" w:cs="Arial" w:eastAsia="Arial" w:hAnsi="Arial"/>
          <w:sz w:val="18"/>
          <w:szCs w:val="18"/>
          <w:color w:val="auto"/>
        </w:rPr>
      </w:pPr>
    </w:p>
    <w:p>
      <w:pPr>
        <w:ind w:left="904" w:hanging="255"/>
        <w:spacing w:after="0"/>
        <w:tabs>
          <w:tab w:leader="none" w:pos="90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 w:firstLine="645"/>
        <w:spacing w:after="0" w:line="255" w:lineRule="auto"/>
        <w:tabs>
          <w:tab w:leader="none" w:pos="86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sale of the Shares to be sold by the Selling Shareholder, the execution, delivery and performance of this Agreement by the Selling Shareholder and the consummation by the Selling Shareholder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the Selling Shareholder is a party or by which the Selling Shareholder is bound or to which any of the property or assets of the Selling Shareholder is subject, or (ii) result in any violation of any statute or any judgment, order, decree, rule or regulation of any court or governmental agency or body having jurisdiction over the Selling Shareholder or the property or assets of the Selling Shareholder.</w:t>
      </w:r>
    </w:p>
    <w:p>
      <w:pPr>
        <w:spacing w:after="0" w:line="39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1" w:name="page22"/>
    <w:bookmarkEnd w:id="21"/>
    <w:p>
      <w:pPr>
        <w:jc w:val="both"/>
        <w:ind w:left="-540" w:firstLine="645"/>
        <w:spacing w:after="0" w:line="254" w:lineRule="auto"/>
        <w:tabs>
          <w:tab w:leader="none" w:pos="3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or registration with, any court or governmental agency or body having jurisdiction over the Selling Shareholder or the property or assets of the Selling Shareholder is required for the sale of the Shares by the Selling Shareholder, the execution, delivery and performance of this Agreement by the Selling Shareholder and the consummation by the Selling Shareholder of the transactions contemplated hereby, except for (i) the registration of the Shares under the Securities Act and such consents, approvals, authorizations, orders, filings, registrations or qualifications as may be required under the Exchange Act and applicable state or foreign securities laws in connection with the purchase and sale of the Shares by the Underwriters (including but not limited to, the approval by and rules of the FINRA and the rules of the NASDAQ Stock Market LLC) and (ii) such consents, approvals, authorizations and orders that have been already obtained.</w:t>
      </w:r>
    </w:p>
    <w:p>
      <w:pPr>
        <w:spacing w:after="0" w:line="192" w:lineRule="exact"/>
        <w:rPr>
          <w:rFonts w:ascii="Arial" w:cs="Arial" w:eastAsia="Arial" w:hAnsi="Arial"/>
          <w:sz w:val="18"/>
          <w:szCs w:val="18"/>
          <w:color w:val="auto"/>
        </w:rPr>
      </w:pPr>
    </w:p>
    <w:p>
      <w:pPr>
        <w:jc w:val="both"/>
        <w:ind w:left="-540" w:firstLine="645"/>
        <w:spacing w:after="0" w:line="255" w:lineRule="auto"/>
        <w:tabs>
          <w:tab w:leader="none" w:pos="3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To the knowledge of the Selling Shareholder, 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representations and warranties set forth in this subsection (k)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w:t>
      </w:r>
    </w:p>
    <w:p>
      <w:pPr>
        <w:spacing w:after="0" w:line="193" w:lineRule="exact"/>
        <w:rPr>
          <w:rFonts w:ascii="Arial" w:cs="Arial" w:eastAsia="Arial" w:hAnsi="Arial"/>
          <w:sz w:val="18"/>
          <w:szCs w:val="18"/>
          <w:color w:val="auto"/>
        </w:rPr>
      </w:pPr>
    </w:p>
    <w:p>
      <w:pPr>
        <w:jc w:val="both"/>
        <w:ind w:left="-540" w:firstLine="645"/>
        <w:spacing w:after="0" w:line="273" w:lineRule="auto"/>
        <w:tabs>
          <w:tab w:leader="none" w:pos="3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To the knowledge of the Selling Shareholder, the Prospectus will not, as of its date or as of the Delivery Date,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(l) apply only to statements or omissions made in reliance upon and in conformity with information relating to the Selling Shareholder furnished in writing by or on behalf of the Selling Shareholder expressly for use in the Prospectus, it being understood that the only such information furnished by the Selling Shareholder consists of the statements contained with respect to the Selling Shareholder under the caption “Selling shareholder”.</w:t>
      </w:r>
    </w:p>
    <w:p>
      <w:pPr>
        <w:spacing w:after="0" w:line="178" w:lineRule="exact"/>
        <w:rPr>
          <w:rFonts w:ascii="Arial" w:cs="Arial" w:eastAsia="Arial" w:hAnsi="Arial"/>
          <w:sz w:val="17"/>
          <w:szCs w:val="17"/>
          <w:color w:val="auto"/>
        </w:rPr>
      </w:pPr>
    </w:p>
    <w:p>
      <w:pPr>
        <w:jc w:val="both"/>
        <w:ind w:left="-540" w:firstLine="645"/>
        <w:spacing w:after="0" w:line="293" w:lineRule="auto"/>
        <w:tabs>
          <w:tab w:leader="none" w:pos="4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To the knowledge of the Selling Shareholder,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representations and warranties set forth in this subsection (m) apply only to statements or omissions made in reliance upon and in conformity with information relating to the Selling Shareholder furnished in writing by or on behalf of the Selling Shareholder expressly for use in the Pricing Disclosure Package, it being understood that the only such information furnished by the Selling Shareholder consists of the statements contained with respect to the Selling Shareholder under the caption “Selling shareholder”.</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2" w:name="page23"/>
    <w:bookmarkEnd w:id="22"/>
    <w:p>
      <w:pPr>
        <w:jc w:val="both"/>
        <w:ind w:left="660" w:firstLine="645"/>
        <w:spacing w:after="0" w:line="272" w:lineRule="auto"/>
        <w:tabs>
          <w:tab w:leader="none" w:pos="15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To the knowledge of the Selling Shareholder, the Pricing Disclosure Package, when taken together with each Issuer Free Writing Prospectus listed in Schedule V hereto,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representations and warranties set forth in this subsection (n) apply only to statements or omissions made in reliance upon and in conformity with information relating to the Selling Shareholder furnished in writing by or on behalf of the Selling Shareholder expressly for use in the Pricing Disclosure Package (or any Issuer Free Writing Package), it being understood that the only such information furnished by the Selling Shareholder consists of the statements contained with respect to the Selling Shareholder under the caption “Selling shareholder”.</w:t>
      </w:r>
    </w:p>
    <w:p>
      <w:pPr>
        <w:spacing w:after="0" w:line="177" w:lineRule="exact"/>
        <w:rPr>
          <w:rFonts w:ascii="Arial" w:cs="Arial" w:eastAsia="Arial" w:hAnsi="Arial"/>
          <w:sz w:val="17"/>
          <w:szCs w:val="17"/>
          <w:color w:val="auto"/>
        </w:rPr>
      </w:pPr>
    </w:p>
    <w:p>
      <w:pPr>
        <w:ind w:left="660" w:firstLine="645"/>
        <w:spacing w:after="0" w:line="277" w:lineRule="auto"/>
        <w:tabs>
          <w:tab w:leader="none" w:pos="15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Selling Shareholder is not prompted to sell Shares by any material non-public information concerning the Company that is not set forth in the Registration Statement, the Pricing Disclosure Package or the Prospectus.</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156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Assuming that the Underwriters are not otherwise subject to taxation in the State of Israel, other than any withholding taxes which may be necessary pursuant to Israeli law on account of gains of the Selling Shareholder arising under clauses (1) and (2) below, no stamp or other issuance of transfer taxes or duties and no capital gains, income or other taxes are payable by or on behalf of the Underwriters, or otherwise imposed on any payments made to the Underwriters, to the State of Israel or to any political subdivision or taxing authority thereof in connection with (1) the execution, delivery or performance of this Agreement by the Selling Shareholder, or (2) the sale or delivery of the Shares to be sold by the Selling Shareholder to or for the respective accounts of the Underwriters as disclosed in the Registration Statement, the Pricing Disclosure Package and the Prospectus, and pursuant to the terms of this Agreement.</w:t>
      </w:r>
    </w:p>
    <w:p>
      <w:pPr>
        <w:spacing w:after="0" w:line="177" w:lineRule="exact"/>
        <w:rPr>
          <w:rFonts w:ascii="Arial" w:cs="Arial" w:eastAsia="Arial" w:hAnsi="Arial"/>
          <w:sz w:val="17"/>
          <w:szCs w:val="17"/>
          <w:color w:val="auto"/>
        </w:rPr>
      </w:pPr>
    </w:p>
    <w:p>
      <w:pPr>
        <w:jc w:val="both"/>
        <w:ind w:left="660" w:firstLine="645"/>
        <w:spacing w:after="0" w:line="257" w:lineRule="auto"/>
        <w:tabs>
          <w:tab w:leader="none" w:pos="15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Selling Shareholder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In addition, the Selling Shareholder has not engaged in any form of solicitation, advertising or any other action constituting an offer to the public under the Israeli Securities Law in connection with the transactions contemplated hereby which would require the publication of a prospectus in the State of Israel under the laws of the State of Israel.</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5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Selling Shareholder is not (1) an employee benefit plan subject to Title I of ERISA, (2) a plan or account subject to Section 4975 of the Code or (3) an entity deemed to hold “plan assets” of any such plan or account under Section 3(42) of ERISA, 29 C.F.R. 2510.3-101, or otherwise.</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Any certificate signed by the Selling Shareholder and delivered to the Underwriters or counsel for the Underwriters in connection with the offering of the Shares shall be deemed a representation and warranty by the Selling Shareholder, as to matters covered thereby, to each Underwriter.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56"/>
        <w:spacing w:after="0" w:line="272" w:lineRule="auto"/>
        <w:tabs>
          <w:tab w:leader="none" w:pos="828"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Purchase of the Shares by the Underwriters</w:t>
      </w:r>
      <w:r>
        <w:rPr>
          <w:rFonts w:ascii="Arial" w:cs="Arial" w:eastAsia="Arial" w:hAnsi="Arial"/>
          <w:sz w:val="17"/>
          <w:szCs w:val="17"/>
          <w:color w:val="auto"/>
        </w:rPr>
        <w:t>. On the basis of the representations, warranties and covenants contained in, and subject to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of, this Agreement, the Selling Shareholder agrees to sell 3,132,481 Shares to the Underwriters, and each of the Underwriters, severally and not jointly, agrees to purchase the number of Shares set forth opposite that Underwriter’s name in Schedule I hereto. Each Underwriter shall be obligated to purchase from the Selling Shareholder that number of Shares that represents the same proportion of the number of Shares to be sold by the Selling Shareholder as the number of Shares set forth opposite the name of such Underwriter in Schedule I represents to the total number of Shares to be purchased by all of the Underwriters pursuant to this Agreement. The respective purchase obligations of the Underwriters with respect to the Shares shall be rounded among the Underwriters to avoid fractional shares, as the Underwriters may determine.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payable by the Underwriters for the Shares is $20.00 per share.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Selling Shareholder is not obligated to deliver any of the Shares on the Delivery Date, except upon payment for all such Shares to be purchased on the Delivery Date as provided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i w:val="1"/>
          <w:iCs w:val="1"/>
          <w:color w:val="auto"/>
        </w:rPr>
        <w:t>Offering of Shares by the Underwriters</w:t>
      </w:r>
      <w:r>
        <w:rPr>
          <w:rFonts w:ascii="Arial" w:cs="Arial" w:eastAsia="Arial" w:hAnsi="Arial"/>
          <w:sz w:val="16"/>
          <w:szCs w:val="16"/>
          <w:color w:val="auto"/>
        </w:rPr>
        <w:t>. The several Underwriters propose to offer the Shares for sale to the public initially at a price of $20.50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jc w:val="both"/>
        <w:ind w:firstLine="656"/>
        <w:spacing w:after="0" w:line="254" w:lineRule="auto"/>
        <w:tabs>
          <w:tab w:leader="none" w:pos="82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Delivery of and Payment for the Shares</w:t>
      </w:r>
      <w:r>
        <w:rPr>
          <w:rFonts w:ascii="Arial" w:cs="Arial" w:eastAsia="Arial" w:hAnsi="Arial"/>
          <w:sz w:val="18"/>
          <w:szCs w:val="18"/>
          <w:color w:val="auto"/>
        </w:rPr>
        <w:t>. Delivery of and payment for the Shares shall be made at 10:00 A.M., New York City time, on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full business day following the date of this Agreement or at such other date or place as shall be determined by agreement between the Underwriters, the Selling Shareholder and the Company. This date and time are sometimes referred to as the “</w:t>
      </w:r>
      <w:r>
        <w:rPr>
          <w:rFonts w:ascii="Arial" w:cs="Arial" w:eastAsia="Arial" w:hAnsi="Arial"/>
          <w:sz w:val="18"/>
          <w:szCs w:val="18"/>
          <w:b w:val="1"/>
          <w:bCs w:val="1"/>
          <w:color w:val="auto"/>
        </w:rPr>
        <w:t>Delivery Date</w:t>
      </w:r>
      <w:r>
        <w:rPr>
          <w:rFonts w:ascii="Arial" w:cs="Arial" w:eastAsia="Arial" w:hAnsi="Arial"/>
          <w:sz w:val="18"/>
          <w:szCs w:val="18"/>
          <w:color w:val="auto"/>
        </w:rPr>
        <w:t>”. Delivery of the Shares shall be made to the Underwriters for the account of each Underwriter against payment by the Underwriters and of the respective aggregate purchase prices of the Shares being sold by the Selling Shareholder to or upon the order of the Selling Shareholder of the purchase price by wire transfer in immediately available funds to the accounts specified by the Selling Shareholder. Time shall be of the essence, and delivery at the time and place specified pursuant to this Agreement is a further condition of the obligation of each Underwriter hereunder. The Selling Shareholder shall deliver the Shares through the facilities of the DTC unless the Underwriters shall otherwise instruct.</w:t>
      </w:r>
    </w:p>
    <w:p>
      <w:pPr>
        <w:spacing w:after="0" w:line="192" w:lineRule="exact"/>
        <w:rPr>
          <w:rFonts w:ascii="Arial" w:cs="Arial" w:eastAsia="Arial" w:hAnsi="Arial"/>
          <w:sz w:val="18"/>
          <w:szCs w:val="18"/>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225" w:lineRule="exact"/>
        <w:rPr>
          <w:rFonts w:ascii="Arial" w:cs="Arial" w:eastAsia="Arial" w:hAnsi="Arial"/>
          <w:sz w:val="18"/>
          <w:szCs w:val="18"/>
          <w:color w:val="auto"/>
        </w:rPr>
      </w:pPr>
    </w:p>
    <w:p>
      <w:pPr>
        <w:jc w:val="both"/>
        <w:ind w:left="1300" w:firstLine="653"/>
        <w:spacing w:after="0" w:line="287" w:lineRule="auto"/>
        <w:tabs>
          <w:tab w:leader="none" w:pos="2163"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Underwriters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Underwriters, promptly after it receives notice thereof, of the time when any amendment or supplement to the Registration Statement or the Prospectus has been filed and to furnish the Underwriters with copies thereof; to advise the Underwriters,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best efforts to obtain its withdrawal.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left="100" w:firstLine="653"/>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furnish promptly upon request to each of the Underwriters and to counsel for the Underwriters a signed copy of the Registration Statement as originally filed with the Commission, and each amendment thereto filed with the Commission, including all consents and exhibits filed therewith.</w:t>
      </w:r>
    </w:p>
    <w:p>
      <w:pPr>
        <w:spacing w:after="0" w:line="181" w:lineRule="exact"/>
        <w:rPr>
          <w:rFonts w:ascii="Arial" w:cs="Arial" w:eastAsia="Arial" w:hAnsi="Arial"/>
          <w:sz w:val="18"/>
          <w:szCs w:val="18"/>
          <w:color w:val="auto"/>
        </w:rPr>
      </w:pPr>
    </w:p>
    <w:p>
      <w:pPr>
        <w:jc w:val="both"/>
        <w:ind w:left="100" w:firstLine="653"/>
        <w:spacing w:after="0" w:line="287" w:lineRule="auto"/>
        <w:tabs>
          <w:tab w:leader="none" w:pos="10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deliver promptly to the Underwriters such number of the following documents as the Underwriters shall reasonably request: (A) conformed copies of the Registration Statement as originally filed with the Commission and each amendment thereto (in each case excluding exhibits other than this Agreement and the computation of per share earnings), (B) the Preliminary Prospectus, the Prospectus and any amended or supplemented Prospectus, (C) each Issuer Free Writing Prospectus, and (D) any document incorporated by reference in any Preliminary Prospectus or the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Underwriters and, upon their request, to file such document and to prepare and furnish without charge to each Underwriter and to any dealer in securities as many copies as the Underwriters may from time to time reasonably request of an amended or supplemented Prospectus that will correct such statement or omission or effect such compliance.</w:t>
      </w:r>
    </w:p>
    <w:p>
      <w:pPr>
        <w:spacing w:after="0" w:line="168" w:lineRule="exact"/>
        <w:rPr>
          <w:rFonts w:ascii="Arial" w:cs="Arial" w:eastAsia="Arial" w:hAnsi="Arial"/>
          <w:sz w:val="16"/>
          <w:szCs w:val="16"/>
          <w:color w:val="auto"/>
        </w:rPr>
      </w:pPr>
    </w:p>
    <w:p>
      <w:pPr>
        <w:ind w:left="100" w:right="20" w:firstLine="653"/>
        <w:spacing w:after="0" w:line="308" w:lineRule="auto"/>
        <w:tabs>
          <w:tab w:leader="none" w:pos="10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file promptly with the Commission any amendment or supplement to the Registration Statement or the Prospectus that may, in the judgment of the Company or the Underwriters, be required by the Securities Act or requested by the Commission.</w:t>
      </w:r>
    </w:p>
    <w:p>
      <w:pPr>
        <w:spacing w:after="0" w:line="146" w:lineRule="exact"/>
        <w:rPr>
          <w:rFonts w:ascii="Arial" w:cs="Arial" w:eastAsia="Arial" w:hAnsi="Arial"/>
          <w:sz w:val="17"/>
          <w:szCs w:val="17"/>
          <w:color w:val="auto"/>
        </w:rPr>
      </w:pPr>
    </w:p>
    <w:p>
      <w:pPr>
        <w:jc w:val="both"/>
        <w:ind w:left="100" w:firstLine="653"/>
        <w:spacing w:after="0" w:line="259" w:lineRule="auto"/>
        <w:tabs>
          <w:tab w:leader="none" w:pos="10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Underwriters and counsel for the Underwriters and not to file any such amendment or supplement to which the Underwriters shall reasonably object.</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5" w:name="page26"/>
    <w:bookmarkEnd w:id="25"/>
    <w:p>
      <w:pPr>
        <w:ind w:left="100" w:firstLine="653"/>
        <w:spacing w:after="0" w:line="277" w:lineRule="auto"/>
        <w:tabs>
          <w:tab w:leader="none" w:pos="10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Underwriters.</w:t>
      </w:r>
    </w:p>
    <w:p>
      <w:pPr>
        <w:spacing w:after="0" w:line="170" w:lineRule="exact"/>
        <w:rPr>
          <w:rFonts w:ascii="Arial" w:cs="Arial" w:eastAsia="Arial" w:hAnsi="Arial"/>
          <w:sz w:val="18"/>
          <w:szCs w:val="18"/>
          <w:color w:val="auto"/>
        </w:rPr>
      </w:pPr>
    </w:p>
    <w:p>
      <w:pPr>
        <w:jc w:val="both"/>
        <w:ind w:left="100" w:firstLine="653"/>
        <w:spacing w:after="0" w:line="253" w:lineRule="auto"/>
        <w:tabs>
          <w:tab w:leader="none" w:pos="11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Underwriters and, upon their request, to file such document and to prepare and furnish without charge to each Underwriter as many copies as the Underwriters may from time to time reasonably request of an amended or supplemented Issuer Free Writing Prospectus that will correct such conflict, statement or omission or effect such compliance.</w:t>
      </w:r>
    </w:p>
    <w:p>
      <w:pPr>
        <w:spacing w:after="0" w:line="197" w:lineRule="exact"/>
        <w:rPr>
          <w:rFonts w:ascii="Arial" w:cs="Arial" w:eastAsia="Arial" w:hAnsi="Arial"/>
          <w:sz w:val="18"/>
          <w:szCs w:val="18"/>
          <w:color w:val="auto"/>
        </w:rPr>
      </w:pPr>
    </w:p>
    <w:p>
      <w:pPr>
        <w:jc w:val="both"/>
        <w:ind w:left="100" w:firstLine="653"/>
        <w:spacing w:after="0" w:line="276" w:lineRule="auto"/>
        <w:tabs>
          <w:tab w:leader="none" w:pos="11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410 days or, if the fourth quarter following the fiscal quarter that includes the Effective Date is the last fiscal quarter of the Company’s fiscal year, 455 days after the end of the Company’s current fiscal quarter), to make generally available to the Company’s security holders and to deliver to the Underwriters an earnings statement of the Company and its subsidiaries (which need not be audited) complying with Section 11(a) of the Securities Act and the rules and regulations thereunder (including, at the option of the Company, Rule 158).</w:t>
      </w:r>
    </w:p>
    <w:p>
      <w:pPr>
        <w:spacing w:after="0" w:line="172" w:lineRule="exact"/>
        <w:rPr>
          <w:rFonts w:ascii="Arial" w:cs="Arial" w:eastAsia="Arial" w:hAnsi="Arial"/>
          <w:sz w:val="17"/>
          <w:szCs w:val="17"/>
          <w:color w:val="auto"/>
        </w:rPr>
      </w:pPr>
    </w:p>
    <w:p>
      <w:pPr>
        <w:jc w:val="both"/>
        <w:ind w:left="100" w:firstLine="653"/>
        <w:spacing w:after="0" w:line="273" w:lineRule="auto"/>
        <w:tabs>
          <w:tab w:leader="none" w:pos="10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Promptly from time to time to take such action as the Underwriters may reasonably request to qualify the Shares for offering and sale under the securities or Blue Sky laws of Canada and such other jurisdictions as the Underwriters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6" w:name="page27"/>
    <w:bookmarkEnd w:id="26"/>
    <w:p>
      <w:pPr>
        <w:jc w:val="both"/>
        <w:ind w:left="100" w:firstLine="653"/>
        <w:spacing w:after="0" w:line="283" w:lineRule="auto"/>
        <w:tabs>
          <w:tab w:leader="none" w:pos="10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For a period commencing on the date hereof and ending on the 30th day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not to, directly or indirectly, (A) offer for sale, sell, pledge, or otherwise dispose of (or enter into any transaction or device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or could be expected to, result in the disposition by any person at any time in the future of) any Ordinary Shares or securities convertible into or exercisable or exchangeable for Ordinary Shares (other than (i) the Shares, (ii) Ordinary Shares or other securities issued pursuant to employee benefit plans, qualified share option plans or other employee compensation plans existing on the date hereof (“</w:t>
      </w:r>
      <w:r>
        <w:rPr>
          <w:rFonts w:ascii="Arial" w:cs="Arial" w:eastAsia="Arial" w:hAnsi="Arial"/>
          <w:sz w:val="16"/>
          <w:szCs w:val="16"/>
          <w:b w:val="1"/>
          <w:bCs w:val="1"/>
          <w:color w:val="auto"/>
        </w:rPr>
        <w:t>Existing Plans</w:t>
      </w:r>
      <w:r>
        <w:rPr>
          <w:rFonts w:ascii="Arial" w:cs="Arial" w:eastAsia="Arial" w:hAnsi="Arial"/>
          <w:sz w:val="16"/>
          <w:szCs w:val="16"/>
          <w:color w:val="auto"/>
        </w:rPr>
        <w:t xml:space="preserve">”) or upon exercise of currently outstanding options, warrants or rights and (iii) Ordinary Shares or other securities issued in connection with acquisitions, strategic partnerships or lending, leasing or other commercial transactions (including joint ventures, marketing or distribution arrangements, collaboration agreements or intellectual property license agreements) in an amount not to exceed 5% of the Company’s outstanding Ordinary Shares as of the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Ordinary Shares or other securities executes and delivers a lock-up agreement in the form of Exhibit A hereto), or sell or grant options, rights or warrants with respect to any Ordinary Shares or securities convertible into or exchangeable for Ordinary Shares (other than the grant of options or rights pursuant to Existing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recipient of such options or rights executes and delivers a lock-up agreement in the form of Exhibit A hereto), (B) enter into any swap or other derivatives transaction that transfers to another, in whole or in part, any of the economic benefits or risks of ownership of such Ordinary Shares, whether any such transaction described in clause (A) or</w:t>
      </w:r>
    </w:p>
    <w:p>
      <w:pPr>
        <w:spacing w:after="0" w:line="6" w:lineRule="exact"/>
        <w:rPr>
          <w:rFonts w:ascii="Arial" w:cs="Arial" w:eastAsia="Arial" w:hAnsi="Arial"/>
          <w:sz w:val="16"/>
          <w:szCs w:val="16"/>
          <w:color w:val="auto"/>
        </w:rPr>
      </w:pPr>
    </w:p>
    <w:p>
      <w:pPr>
        <w:jc w:val="both"/>
        <w:ind w:left="100" w:firstLine="5"/>
        <w:spacing w:after="0" w:line="252" w:lineRule="auto"/>
        <w:tabs>
          <w:tab w:leader="none" w:pos="39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above is to be settled by delivery of Ordinary Shares or other securities, in cash or otherwise, (C) file or cause to be filed a registration statement, including any amendments thereto, with respect to the registration of any Ordinary Shares or securities convertible, exercisable or exchangeable into Ordinary Shares or any other securities of the Company (other than any registration statement on Form S-8), or (D) publicly disclose the intention to do any of the foregoing, in each case without the prior written consent of Barclays Capital Inc. and Citigroup Global Markets Inc., on behalf of the Underwriters, and to cause each officer, director and shareholder of the Company set forth on Schedule III hereto to furnish to the Underwriters, prior to the Delivery Date, a letter or letters, substantially in the form of Exhibit A hereto (the “</w:t>
      </w:r>
      <w:r>
        <w:rPr>
          <w:rFonts w:ascii="Arial" w:cs="Arial" w:eastAsia="Arial" w:hAnsi="Arial"/>
          <w:sz w:val="18"/>
          <w:szCs w:val="18"/>
          <w:b w:val="1"/>
          <w:bCs w:val="1"/>
          <w:color w:val="auto"/>
        </w:rPr>
        <w:t>Lock-Up Agreements</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100" w:firstLine="653"/>
        <w:spacing w:after="0" w:line="259" w:lineRule="auto"/>
        <w:tabs>
          <w:tab w:leader="none" w:pos="105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will promptly notify the Underwriters if the Company ceases to be an Emerging Growth Company at any time prior to the later of (A) the time when a prospectus relating to the offering or sale of the Shares or any other securities relating thereto is not required by the Securities Act to be delivered (whether physically or through compliance with Rule 172 under the Securities Act or any similar rule) and (B) completion of the Lock-Up Period.</w:t>
      </w:r>
    </w:p>
    <w:p>
      <w:pPr>
        <w:spacing w:after="0" w:line="186" w:lineRule="exact"/>
        <w:rPr>
          <w:rFonts w:ascii="Arial" w:cs="Arial" w:eastAsia="Arial" w:hAnsi="Arial"/>
          <w:sz w:val="18"/>
          <w:szCs w:val="18"/>
          <w:color w:val="auto"/>
        </w:rPr>
      </w:pPr>
    </w:p>
    <w:p>
      <w:pPr>
        <w:jc w:val="both"/>
        <w:ind w:left="100" w:firstLine="653"/>
        <w:spacing w:after="0" w:line="264" w:lineRule="auto"/>
        <w:tabs>
          <w:tab w:leader="none" w:pos="111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39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7" w:name="page28"/>
    <w:bookmarkEnd w:id="27"/>
    <w:p>
      <w:pPr>
        <w:ind w:left="644" w:firstLine="653"/>
        <w:spacing w:after="0" w:line="308" w:lineRule="auto"/>
        <w:tabs>
          <w:tab w:leader="none" w:pos="1697" w:val="left"/>
        </w:tabs>
        <w:numPr>
          <w:ilvl w:val="2"/>
          <w:numId w:val="31"/>
        </w:numPr>
        <w:rPr>
          <w:rFonts w:ascii="Arial" w:cs="Arial" w:eastAsia="Arial" w:hAnsi="Arial"/>
          <w:sz w:val="17"/>
          <w:szCs w:val="17"/>
          <w:color w:val="auto"/>
        </w:rPr>
      </w:pPr>
      <w:r>
        <w:rPr>
          <w:rFonts w:ascii="Arial" w:cs="Arial" w:eastAsia="Arial" w:hAnsi="Arial"/>
          <w:sz w:val="17"/>
          <w:szCs w:val="17"/>
          <w:color w:val="auto"/>
        </w:rPr>
        <w:t>The Company will do and perform all things required or necessary to be done and performed under this Agreement by it prior to each Delivery Date, and to satisfy all conditions precedent to the Underwriters’ obligations hereunder to purchase the Shares.</w:t>
      </w:r>
    </w:p>
    <w:p>
      <w:pPr>
        <w:spacing w:after="0" w:line="146" w:lineRule="exact"/>
        <w:rPr>
          <w:rFonts w:ascii="Arial" w:cs="Arial" w:eastAsia="Arial" w:hAnsi="Arial"/>
          <w:sz w:val="17"/>
          <w:szCs w:val="17"/>
          <w:color w:val="auto"/>
        </w:rPr>
      </w:pPr>
    </w:p>
    <w:p>
      <w:pPr>
        <w:jc w:val="both"/>
        <w:ind w:left="4" w:firstLine="645"/>
        <w:spacing w:after="0" w:line="293" w:lineRule="auto"/>
        <w:tabs>
          <w:tab w:leader="none" w:pos="90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6"/>
          <w:szCs w:val="16"/>
          <w:b w:val="1"/>
          <w:bCs w:val="1"/>
          <w:color w:val="auto"/>
        </w:rPr>
        <w:t>Permitted Issuer</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no such consent shall be required with respect to any such issuer information contained in any document filed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with the Commission prior to the use of such free writing prospectus, and (ii) “issuer information”, as used in this Section 6(b), shall not be deemed to include information prepared by or on behalf of such Underwriter on the basis of or derived from issuer information.</w:t>
      </w:r>
    </w:p>
    <w:p>
      <w:pPr>
        <w:spacing w:after="0" w:line="164" w:lineRule="exact"/>
        <w:rPr>
          <w:rFonts w:ascii="Arial" w:cs="Arial" w:eastAsia="Arial" w:hAnsi="Arial"/>
          <w:sz w:val="16"/>
          <w:szCs w:val="16"/>
          <w:color w:val="auto"/>
        </w:rPr>
      </w:pPr>
    </w:p>
    <w:p>
      <w:pPr>
        <w:jc w:val="both"/>
        <w:ind w:left="4" w:firstLine="645"/>
        <w:spacing w:after="0" w:line="289" w:lineRule="auto"/>
        <w:tabs>
          <w:tab w:leader="none" w:pos="8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Each Underwriter severally agrees that other than as set forth in this Section 6(c), it will not offer any Shares to offerees in Israel, other than to investors listed in the First Addendum to the Israeli Securities Law (the “</w:t>
      </w:r>
      <w:r>
        <w:rPr>
          <w:rFonts w:ascii="Arial" w:cs="Arial" w:eastAsia="Arial" w:hAnsi="Arial"/>
          <w:sz w:val="16"/>
          <w:szCs w:val="16"/>
          <w:b w:val="1"/>
          <w:bCs w:val="1"/>
          <w:color w:val="auto"/>
        </w:rPr>
        <w:t>Addendum</w:t>
      </w:r>
      <w:r>
        <w:rPr>
          <w:rFonts w:ascii="Arial" w:cs="Arial" w:eastAsia="Arial" w:hAnsi="Arial"/>
          <w:sz w:val="16"/>
          <w:szCs w:val="16"/>
          <w:color w:val="auto"/>
        </w:rPr>
        <w:t>”). The Company and the Selling Shareholder acknowledge, understand and agree that Shares may be sold in Israel only by the Underwriters and only to such Israeli investors listed in the Addendum; all of whom are to be specifically identified and approved by the Underwriters, and provided further that as a prerequisite to sale of Shares by the Underwriters to such Israeli investors, each of them shall be required to submit written confirmation to the Underwriters, the Company and the Selling Shareholder that such investor (i) falls within the scope of the Addendum; and (ii) is acquiring the Shares being offered to it for investment for its own account or, if applicable, for investment for clients who are institutional investors and in any event not as a nominee, market maker or agent and not with a view to, or for the resale in connection with, any distribution thereof. The Underwriters, the Company and the Selling Shareholder acknowledge and agree that any failure to comply with the above procedure may result in a violation of Israeli Securities Law.</w:t>
      </w:r>
    </w:p>
    <w:p>
      <w:pPr>
        <w:spacing w:after="0" w:line="166" w:lineRule="exact"/>
        <w:rPr>
          <w:rFonts w:ascii="Arial" w:cs="Arial" w:eastAsia="Arial" w:hAnsi="Arial"/>
          <w:sz w:val="16"/>
          <w:szCs w:val="16"/>
          <w:color w:val="auto"/>
        </w:rPr>
      </w:pPr>
    </w:p>
    <w:p>
      <w:pPr>
        <w:ind w:left="184" w:hanging="184"/>
        <w:spacing w:after="0"/>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Further Agreements of the Selling Shareholder. </w:t>
      </w:r>
      <w:r>
        <w:rPr>
          <w:rFonts w:ascii="Arial" w:cs="Arial" w:eastAsia="Arial" w:hAnsi="Arial"/>
          <w:sz w:val="18"/>
          <w:szCs w:val="18"/>
          <w:color w:val="auto"/>
        </w:rPr>
        <w:t>The Selling Shareholder agrees:</w:t>
      </w:r>
    </w:p>
    <w:p>
      <w:pPr>
        <w:spacing w:after="0" w:line="225" w:lineRule="exact"/>
        <w:rPr>
          <w:rFonts w:ascii="Arial" w:cs="Arial" w:eastAsia="Arial" w:hAnsi="Arial"/>
          <w:sz w:val="18"/>
          <w:szCs w:val="18"/>
          <w:color w:val="auto"/>
        </w:rPr>
      </w:pPr>
    </w:p>
    <w:p>
      <w:pPr>
        <w:ind w:left="884" w:hanging="235"/>
        <w:spacing w:after="0"/>
        <w:tabs>
          <w:tab w:leader="none" w:pos="884"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execute and deliver to Barclays Capital Inc. and Citigroup Global Markets Inc. a lock-up agreement in the form of Exhibit A hereto.</w:t>
      </w:r>
    </w:p>
    <w:p>
      <w:pPr>
        <w:spacing w:after="0" w:line="248" w:lineRule="exact"/>
        <w:rPr>
          <w:rFonts w:ascii="Arial" w:cs="Arial" w:eastAsia="Arial" w:hAnsi="Arial"/>
          <w:sz w:val="16"/>
          <w:szCs w:val="16"/>
          <w:color w:val="auto"/>
        </w:rPr>
      </w:pPr>
    </w:p>
    <w:p>
      <w:pPr>
        <w:jc w:val="both"/>
        <w:ind w:left="4" w:firstLine="645"/>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Selling Shareholder nor any person acting on behalf of the Selling Shareholder (other than, if applicable, the Company and the Underwriters) has made any offer relating to the Shares which would constitute a “free writing prospectus” (as defined in Rule 405 under the Securities Act), relating to the Shares.</w:t>
      </w:r>
    </w:p>
    <w:p>
      <w:pPr>
        <w:spacing w:after="0" w:line="39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28" w:name="page29"/>
    <w:bookmarkEnd w:id="28"/>
    <w:p>
      <w:pPr>
        <w:jc w:val="both"/>
        <w:ind w:left="660" w:firstLine="645"/>
        <w:spacing w:after="0" w:line="288" w:lineRule="auto"/>
        <w:tabs>
          <w:tab w:leader="none" w:pos="1553"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deliver to the Underwriters prior to the Delivery Date a properly completed and executed United States Treasury Department Form W-8 (if the Selling Shareholder is a non-United States person) or Form W-9 (if the Selling Shareholder is a United States person) and a Valid Certificate issued by the Israeli tax authority (the “</w:t>
      </w:r>
      <w:r>
        <w:rPr>
          <w:rFonts w:ascii="Arial" w:cs="Arial" w:eastAsia="Arial" w:hAnsi="Arial"/>
          <w:sz w:val="16"/>
          <w:szCs w:val="16"/>
          <w:b w:val="1"/>
          <w:bCs w:val="1"/>
          <w:color w:val="auto"/>
        </w:rPr>
        <w:t>ITA</w:t>
      </w:r>
      <w:r>
        <w:rPr>
          <w:rFonts w:ascii="Arial" w:cs="Arial" w:eastAsia="Arial" w:hAnsi="Arial"/>
          <w:sz w:val="16"/>
          <w:szCs w:val="16"/>
          <w:color w:val="auto"/>
        </w:rPr>
        <w:t>”), if obtained. A “Valid Certificate” shall be a valid certification or ruling issued by the ITA,</w:t>
      </w:r>
    </w:p>
    <w:p>
      <w:pPr>
        <w:jc w:val="both"/>
        <w:ind w:left="660" w:hanging="4"/>
        <w:spacing w:after="0" w:line="255" w:lineRule="auto"/>
        <w:tabs>
          <w:tab w:leader="none" w:pos="9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exempting from the duty to withhold Israeli Taxes, (y) determining the applicable rate of Israeli tax to be withheld, or (z) providing any other instructions regarding the payment or withholding. The Underwriters may, at their reasonable discretion, withhold (or not withhold) Israeli taxes in accordance with Israeli law or a Valid Certificate, if obtained, through the Company’s withholding tax file.</w:t>
      </w:r>
    </w:p>
    <w:p>
      <w:pPr>
        <w:spacing w:after="0" w:line="190" w:lineRule="exact"/>
        <w:rPr>
          <w:rFonts w:ascii="Arial" w:cs="Arial" w:eastAsia="Arial" w:hAnsi="Arial"/>
          <w:sz w:val="18"/>
          <w:szCs w:val="18"/>
          <w:color w:val="auto"/>
        </w:rPr>
      </w:pPr>
    </w:p>
    <w:p>
      <w:pPr>
        <w:jc w:val="both"/>
        <w:ind w:left="660" w:firstLine="645"/>
        <w:spacing w:after="0" w:line="264" w:lineRule="auto"/>
        <w:tabs>
          <w:tab w:leader="none" w:pos="15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Selling Shareholder will not take, directly or indirectly, any action designed to or that has constituted or that reasonably would be expected to cause or result in the stabilization or manipulation of the price of any security of the Company in connection with the offering of the Shares.</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6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Selling Shareholder will do and perform all things required or necessary to be done and performed under this Agreement by the Selling Shareholder prior to each Delivery Date, and to satisfy all conditions precedent to the Underwriters’ obligations hereunder to purchase the Shares.</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53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Selling Shareholder acknowledges, understands and agrees that Shares may be sold in Israel only by the Underwriters and only to such Israeli investors listed in the Addendum.</w:t>
      </w:r>
    </w:p>
    <w:p>
      <w:pPr>
        <w:spacing w:after="0" w:line="170" w:lineRule="exact"/>
        <w:rPr>
          <w:sz w:val="20"/>
          <w:szCs w:val="20"/>
          <w:color w:val="auto"/>
        </w:rPr>
      </w:pPr>
    </w:p>
    <w:p>
      <w:pPr>
        <w:jc w:val="both"/>
        <w:ind w:firstLine="656"/>
        <w:spacing w:after="0" w:line="285" w:lineRule="auto"/>
        <w:tabs>
          <w:tab w:leader="none" w:pos="86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agrees, whether or not the transactions contemplated by this Agreement are consummated or this Agreement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terminated, to pay all expenses, costs, fees and taxes incident to and in connection with (a) the authorization, issuance, sale and delivery of the Shares and any stamp duties or other taxes payable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Shares; (e) the listing of the Shares on The NASDAQ Global Select Market and/or any other exchange; (f) the qualification of the Shares under the securities laws of the several jurisdictions as provided in Section 6(a)(ix) and the preparation, printing and distribution of a Blue Sky Memorandum (including related fees and expenses of counsel to the Underwriters, which shall not exceed $15,000); (g) the investor presentations on any “road show” or any Testing-the-Waters Communication, undertaken in connection with the marketing of the Shares, including, without limitation, expenses associated with any electronic road show, travel and lodging expenses of the representatives and officers of the Company and 50% of the cost of any aircraft chartered in connection with the road show; and (h) all other costs and expenses incident to the performance of the obligations of the Company and the Selling Shareholder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provided in this Section 8 and in Section 13, the Underwriters shall pay their own costs and expenses, including the costs and expenses of their counsel, any transfer taxes on the Shares which they may sell and the expenses of advertising any offering of the Shares made by the Underwriters, and the travel and lodging expenses of their representatives including 50% of the cost of any aircraft chartered in connection with the roadshow.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56"/>
        <w:spacing w:after="0" w:line="286" w:lineRule="auto"/>
        <w:tabs>
          <w:tab w:leader="none" w:pos="828"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Conditions of Underwriters’ Obligations</w:t>
      </w:r>
      <w:r>
        <w:rPr>
          <w:rFonts w:ascii="Arial" w:cs="Arial" w:eastAsia="Arial" w:hAnsi="Arial"/>
          <w:sz w:val="17"/>
          <w:szCs w:val="17"/>
          <w:color w:val="auto"/>
        </w:rPr>
        <w:t>. The respective obligations of the Underwriters hereunder are subject to the accuracy, when made and on</w:t>
      </w:r>
      <w:r>
        <w:rPr>
          <w:rFonts w:ascii="Arial" w:cs="Arial" w:eastAsia="Arial" w:hAnsi="Arial"/>
          <w:sz w:val="17"/>
          <w:szCs w:val="17"/>
          <w:i w:val="1"/>
          <w:iCs w:val="1"/>
          <w:color w:val="auto"/>
        </w:rPr>
        <w:t xml:space="preserve"> </w:t>
      </w:r>
      <w:r>
        <w:rPr>
          <w:rFonts w:ascii="Arial" w:cs="Arial" w:eastAsia="Arial" w:hAnsi="Arial"/>
          <w:sz w:val="17"/>
          <w:szCs w:val="17"/>
          <w:color w:val="auto"/>
        </w:rPr>
        <w:t>each Delivery Date, of the representations and warranties of the Company and the Selling Shareholder contained herein, to the performance by the Company and the Selling Shareholder of their respective obligations hereunder, and to each of the following additional terms and conditions:</w:t>
      </w:r>
    </w:p>
    <w:p>
      <w:pPr>
        <w:spacing w:after="0" w:line="165" w:lineRule="exact"/>
        <w:rPr>
          <w:rFonts w:ascii="Arial" w:cs="Arial" w:eastAsia="Arial" w:hAnsi="Arial"/>
          <w:sz w:val="17"/>
          <w:szCs w:val="17"/>
          <w:color w:val="auto"/>
        </w:rPr>
      </w:pPr>
    </w:p>
    <w:p>
      <w:pPr>
        <w:jc w:val="both"/>
        <w:ind w:left="660" w:firstLine="645"/>
        <w:spacing w:after="0" w:line="272" w:lineRule="auto"/>
        <w:tabs>
          <w:tab w:leader="none" w:pos="1553"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Prospectus shall have been timely filed with the Commission in accordance with Section 6(a)(i).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77" w:lineRule="exact"/>
        <w:rPr>
          <w:rFonts w:ascii="Arial" w:cs="Arial" w:eastAsia="Arial" w:hAnsi="Arial"/>
          <w:sz w:val="17"/>
          <w:szCs w:val="17"/>
          <w:color w:val="auto"/>
        </w:rPr>
      </w:pPr>
    </w:p>
    <w:p>
      <w:pPr>
        <w:jc w:val="both"/>
        <w:ind w:left="660" w:firstLine="645"/>
        <w:spacing w:after="0" w:line="312" w:lineRule="auto"/>
        <w:tabs>
          <w:tab w:leader="none" w:pos="1563"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 Underwriter shall have discovered and disclosed to the Company on or prior to the Delivery Date that the Registration Statement, the Prospectus or the Pricing Disclosure Package, or any amendment or supplement thereto, contains an untrue statement of a fact which is material or omits to state a fact which is material and is required to be stated therein or is necessary to make the statements therein not misleading.</w:t>
      </w:r>
    </w:p>
    <w:p>
      <w:pPr>
        <w:spacing w:after="0" w:line="146" w:lineRule="exact"/>
        <w:rPr>
          <w:rFonts w:ascii="Arial" w:cs="Arial" w:eastAsia="Arial" w:hAnsi="Arial"/>
          <w:sz w:val="16"/>
          <w:szCs w:val="16"/>
          <w:color w:val="auto"/>
        </w:rPr>
      </w:pPr>
    </w:p>
    <w:p>
      <w:pPr>
        <w:jc w:val="both"/>
        <w:ind w:left="660" w:firstLine="645"/>
        <w:spacing w:after="0" w:line="257" w:lineRule="auto"/>
        <w:tabs>
          <w:tab w:leader="none" w:pos="15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and the Selling Shareholder shall have furnished to such counsel all documents and information that they may reasonably request to enable them to pass upon such matters.</w:t>
      </w:r>
    </w:p>
    <w:p>
      <w:pPr>
        <w:spacing w:after="0" w:line="188" w:lineRule="exact"/>
        <w:rPr>
          <w:rFonts w:ascii="Arial" w:cs="Arial" w:eastAsia="Arial" w:hAnsi="Arial"/>
          <w:sz w:val="18"/>
          <w:szCs w:val="18"/>
          <w:color w:val="auto"/>
        </w:rPr>
      </w:pPr>
    </w:p>
    <w:p>
      <w:pPr>
        <w:ind w:left="660" w:firstLine="645"/>
        <w:spacing w:after="0" w:line="308" w:lineRule="auto"/>
        <w:tabs>
          <w:tab w:leader="none" w:pos="1577" w:val="left"/>
        </w:tabs>
        <w:numPr>
          <w:ilvl w:val="1"/>
          <w:numId w:val="37"/>
        </w:numPr>
        <w:rPr>
          <w:rFonts w:ascii="Arial" w:cs="Arial" w:eastAsia="Arial" w:hAnsi="Arial"/>
          <w:sz w:val="17"/>
          <w:szCs w:val="17"/>
          <w:color w:val="auto"/>
        </w:rPr>
      </w:pPr>
      <w:r>
        <w:rPr>
          <w:rFonts w:ascii="Arial" w:cs="Arial" w:eastAsia="Arial" w:hAnsi="Arial"/>
          <w:sz w:val="17"/>
          <w:szCs w:val="17"/>
          <w:color w:val="auto"/>
        </w:rPr>
        <w:t>White &amp; Case LLP shall have furnished to the Underwriters its written opinion and negative assurance letter, as U.S. counsel to the Company, addressed to the Underwriters and dated the Delivery Date, in form and substance reasonably satisfactory to the Underwriters.</w:t>
      </w:r>
    </w:p>
    <w:p>
      <w:pPr>
        <w:spacing w:after="0" w:line="146" w:lineRule="exact"/>
        <w:rPr>
          <w:rFonts w:ascii="Arial" w:cs="Arial" w:eastAsia="Arial" w:hAnsi="Arial"/>
          <w:sz w:val="17"/>
          <w:szCs w:val="17"/>
          <w:color w:val="auto"/>
        </w:rPr>
      </w:pPr>
    </w:p>
    <w:p>
      <w:pPr>
        <w:jc w:val="both"/>
        <w:ind w:left="660" w:firstLine="645"/>
        <w:spacing w:after="0" w:line="264" w:lineRule="auto"/>
        <w:tabs>
          <w:tab w:leader="none" w:pos="15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Meitar Liquornik Geva Leshem Tal shall have furnished to the Underwriters its written opinion, as Israeli counsel to the Company and the Selling Shareholder, addressed to the Underwriters and dated the Delivery Date, in form and substance reasonably satisfactory to the Underwriters.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4" w:right="20" w:firstLine="645"/>
        <w:spacing w:after="0" w:line="308" w:lineRule="auto"/>
        <w:tabs>
          <w:tab w:leader="none" w:pos="877" w:val="left"/>
        </w:tabs>
        <w:numPr>
          <w:ilvl w:val="1"/>
          <w:numId w:val="38"/>
        </w:numPr>
        <w:rPr>
          <w:rFonts w:ascii="Arial" w:cs="Arial" w:eastAsia="Arial" w:hAnsi="Arial"/>
          <w:sz w:val="17"/>
          <w:szCs w:val="17"/>
          <w:color w:val="auto"/>
        </w:rPr>
      </w:pPr>
      <w:r>
        <w:rPr>
          <w:rFonts w:ascii="Arial" w:cs="Arial" w:eastAsia="Arial" w:hAnsi="Arial"/>
          <w:sz w:val="17"/>
          <w:szCs w:val="17"/>
          <w:color w:val="auto"/>
        </w:rPr>
        <w:t>G.E. Ehrlich (1995) Ltd. shall have furnished to the Underwriters its written opinion, as intellectual property counsel to the Company, addressed to the Underwriters and dated the Delivery Date, in form and substance reasonably satisfactory to the Underwriters.</w:t>
      </w:r>
    </w:p>
    <w:p>
      <w:pPr>
        <w:spacing w:after="0" w:line="146" w:lineRule="exact"/>
        <w:rPr>
          <w:rFonts w:ascii="Arial" w:cs="Arial" w:eastAsia="Arial" w:hAnsi="Arial"/>
          <w:sz w:val="17"/>
          <w:szCs w:val="17"/>
          <w:color w:val="auto"/>
        </w:rPr>
      </w:pPr>
    </w:p>
    <w:p>
      <w:pPr>
        <w:jc w:val="both"/>
        <w:ind w:left="4" w:firstLine="645"/>
        <w:spacing w:after="0" w:line="302" w:lineRule="auto"/>
        <w:tabs>
          <w:tab w:leader="none" w:pos="907"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Underwriters shall have received from Skadden, Arps, Slate, Meagher &amp; Flom LLP, as U.S. counsel to the Underwriters, its written opinion and negative assurance letter, dated the Delivery Date, with respect to the issuance and sale of the Shares, the Registration Statement, the Prospectus and the Pricing Disclosure Package and other related matters as the Underwriters may reasonably require, and the Company shall have furnished to such counsel such documents as they reasonably request for the purpose of enabling them to pass upon such matters.</w:t>
      </w:r>
    </w:p>
    <w:p>
      <w:pPr>
        <w:spacing w:after="0" w:line="154" w:lineRule="exact"/>
        <w:rPr>
          <w:rFonts w:ascii="Arial" w:cs="Arial" w:eastAsia="Arial" w:hAnsi="Arial"/>
          <w:sz w:val="16"/>
          <w:szCs w:val="16"/>
          <w:color w:val="auto"/>
        </w:rPr>
      </w:pPr>
    </w:p>
    <w:p>
      <w:pPr>
        <w:jc w:val="both"/>
        <w:ind w:left="4" w:firstLine="645"/>
        <w:spacing w:after="0" w:line="279" w:lineRule="auto"/>
        <w:tabs>
          <w:tab w:leader="none" w:pos="9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Underwriters shall have received from Gross, Kleinhendler, Hodak, Halevy, Greenberg, Shenhav &amp; Co., as Israeli counsel to the Underwriters, its written opinion, dated the Delivery Date, with respect to the issuance and sale of the Shares, the Registration Statement, the Prospectus and the Pricing Disclosure Package and other related matters as the Underwriters may reasonably require, and the Company shall have furnished to such counsel such documents as they reasonably request for the purpose of enabling them to pass upon such matters.</w:t>
      </w:r>
    </w:p>
    <w:p>
      <w:pPr>
        <w:spacing w:after="0" w:line="171" w:lineRule="exact"/>
        <w:rPr>
          <w:rFonts w:ascii="Arial" w:cs="Arial" w:eastAsia="Arial" w:hAnsi="Arial"/>
          <w:sz w:val="17"/>
          <w:szCs w:val="17"/>
          <w:color w:val="auto"/>
        </w:rPr>
      </w:pPr>
    </w:p>
    <w:p>
      <w:pPr>
        <w:ind w:left="864" w:hanging="215"/>
        <w:spacing w:after="0"/>
        <w:tabs>
          <w:tab w:leader="none" w:pos="864" w:val="left"/>
        </w:tabs>
        <w:numPr>
          <w:ilvl w:val="1"/>
          <w:numId w:val="38"/>
        </w:numPr>
        <w:rPr>
          <w:rFonts w:ascii="Arial" w:cs="Arial" w:eastAsia="Arial" w:hAnsi="Arial"/>
          <w:sz w:val="16"/>
          <w:szCs w:val="16"/>
          <w:color w:val="auto"/>
        </w:rPr>
      </w:pPr>
      <w:r>
        <w:rPr>
          <w:rFonts w:ascii="Arial" w:cs="Arial" w:eastAsia="Arial" w:hAnsi="Arial"/>
          <w:sz w:val="16"/>
          <w:szCs w:val="16"/>
          <w:color w:val="auto"/>
        </w:rPr>
        <w:t>At the time of execution of this Agreement, the Underwriters shall have received from Kost Forer Gabbay &amp; Kasierer, a member of Ernst</w:t>
      </w:r>
    </w:p>
    <w:p>
      <w:pPr>
        <w:spacing w:after="0" w:line="46" w:lineRule="exact"/>
        <w:rPr>
          <w:rFonts w:ascii="Arial" w:cs="Arial" w:eastAsia="Arial" w:hAnsi="Arial"/>
          <w:sz w:val="16"/>
          <w:szCs w:val="16"/>
          <w:color w:val="auto"/>
        </w:rPr>
      </w:pPr>
    </w:p>
    <w:p>
      <w:pPr>
        <w:jc w:val="both"/>
        <w:ind w:left="4" w:hanging="4"/>
        <w:spacing w:after="0" w:line="252"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Young Global, a letter, in form and substance satisfactory to the Underwriters,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Preliminary Prospectus, as of a date not more than three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93" w:lineRule="exact"/>
        <w:rPr>
          <w:rFonts w:ascii="Arial" w:cs="Arial" w:eastAsia="Arial" w:hAnsi="Arial"/>
          <w:sz w:val="18"/>
          <w:szCs w:val="18"/>
          <w:color w:val="auto"/>
        </w:rPr>
      </w:pPr>
    </w:p>
    <w:p>
      <w:pPr>
        <w:jc w:val="both"/>
        <w:ind w:left="4" w:firstLine="645"/>
        <w:spacing w:after="0" w:line="253" w:lineRule="auto"/>
        <w:tabs>
          <w:tab w:leader="none" w:pos="867"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With respect to the letter of Kost Forer Gabbay &amp; Kasierer, a member of Ernst &amp; Young Global referred to in the preceding paragraph and delivered to the Underwriters concurrently with the execution of this Agreement (the “</w:t>
      </w:r>
      <w:r>
        <w:rPr>
          <w:rFonts w:ascii="Arial" w:cs="Arial" w:eastAsia="Arial" w:hAnsi="Arial"/>
          <w:sz w:val="18"/>
          <w:szCs w:val="18"/>
          <w:b w:val="1"/>
          <w:bCs w:val="1"/>
          <w:color w:val="auto"/>
        </w:rPr>
        <w:t>initial letter</w:t>
      </w:r>
      <w:r>
        <w:rPr>
          <w:rFonts w:ascii="Arial" w:cs="Arial" w:eastAsia="Arial" w:hAnsi="Arial"/>
          <w:sz w:val="18"/>
          <w:szCs w:val="18"/>
          <w:color w:val="auto"/>
        </w:rPr>
        <w:t>”), the Company shall have furnished to the Underwriters a letter (the “</w:t>
      </w:r>
      <w:r>
        <w:rPr>
          <w:rFonts w:ascii="Arial" w:cs="Arial" w:eastAsia="Arial" w:hAnsi="Arial"/>
          <w:sz w:val="18"/>
          <w:szCs w:val="18"/>
          <w:b w:val="1"/>
          <w:bCs w:val="1"/>
          <w:color w:val="auto"/>
        </w:rPr>
        <w:t>bring-down letter</w:t>
      </w:r>
      <w:r>
        <w:rPr>
          <w:rFonts w:ascii="Arial" w:cs="Arial" w:eastAsia="Arial" w:hAnsi="Arial"/>
          <w:sz w:val="18"/>
          <w:szCs w:val="18"/>
          <w:color w:val="auto"/>
        </w:rPr>
        <w:t>”) of such accountants, addressed to the Underwriters and dated the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200" w:lineRule="exact"/>
        <w:rPr>
          <w:sz w:val="20"/>
          <w:szCs w:val="20"/>
          <w:color w:val="auto"/>
        </w:rPr>
      </w:pPr>
    </w:p>
    <w:p>
      <w:pPr>
        <w:spacing w:after="0" w:line="20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1" w:name="page32"/>
    <w:bookmarkEnd w:id="31"/>
    <w:p>
      <w:pPr>
        <w:ind w:left="-540" w:right="20" w:firstLine="645"/>
        <w:spacing w:after="0" w:line="308" w:lineRule="auto"/>
        <w:tabs>
          <w:tab w:leader="none" w:pos="3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 shall have furnished to the Underwriters a certificate, dated the Delivery Date, of its Chief Executive Officer and its Chief Financial Officer as to such matters as the Underwriters may reasonably request, including, without limitation, a statement:</w:t>
      </w:r>
    </w:p>
    <w:p>
      <w:pPr>
        <w:spacing w:after="0" w:line="146" w:lineRule="exact"/>
        <w:rPr>
          <w:rFonts w:ascii="Arial" w:cs="Arial" w:eastAsia="Arial" w:hAnsi="Arial"/>
          <w:sz w:val="17"/>
          <w:szCs w:val="17"/>
          <w:color w:val="auto"/>
        </w:rPr>
      </w:pPr>
    </w:p>
    <w:p>
      <w:pPr>
        <w:jc w:val="both"/>
        <w:ind w:left="100" w:right="20" w:firstLine="653"/>
        <w:spacing w:after="0" w:line="264" w:lineRule="auto"/>
        <w:tabs>
          <w:tab w:leader="none" w:pos="96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That the representations, warranties and agreements of the Company in Section 1 are true and correct on and as of the Delivery Date, and the Company has complied with all its agreements contained herein and satisfied all the conditions on its part to be performed or satisfied hereunder at or prior to the Delivery Date;</w:t>
      </w:r>
    </w:p>
    <w:p>
      <w:pPr>
        <w:spacing w:after="0" w:line="181" w:lineRule="exact"/>
        <w:rPr>
          <w:rFonts w:ascii="Arial" w:cs="Arial" w:eastAsia="Arial" w:hAnsi="Arial"/>
          <w:sz w:val="18"/>
          <w:szCs w:val="18"/>
          <w:color w:val="auto"/>
        </w:rPr>
      </w:pPr>
    </w:p>
    <w:p>
      <w:pPr>
        <w:jc w:val="both"/>
        <w:ind w:left="100" w:firstLine="653"/>
        <w:spacing w:after="0" w:line="286" w:lineRule="auto"/>
        <w:tabs>
          <w:tab w:leader="none" w:pos="1054"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w:t>
      </w:r>
    </w:p>
    <w:p>
      <w:pPr>
        <w:spacing w:after="0" w:line="165" w:lineRule="exact"/>
        <w:rPr>
          <w:rFonts w:ascii="Arial" w:cs="Arial" w:eastAsia="Arial" w:hAnsi="Arial"/>
          <w:sz w:val="17"/>
          <w:szCs w:val="17"/>
          <w:color w:val="auto"/>
        </w:rPr>
      </w:pPr>
    </w:p>
    <w:p>
      <w:pPr>
        <w:ind w:left="1060" w:hanging="307"/>
        <w:spacing w:after="0"/>
        <w:tabs>
          <w:tab w:leader="none" w:pos="10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That they have examined the Registration Statement, the Prospectus and the Pricing Disclosure Package, and, in their opinion,</w:t>
      </w:r>
    </w:p>
    <w:p>
      <w:pPr>
        <w:spacing w:after="0" w:line="46" w:lineRule="exact"/>
        <w:rPr>
          <w:rFonts w:ascii="Arial" w:cs="Arial" w:eastAsia="Arial" w:hAnsi="Arial"/>
          <w:sz w:val="16"/>
          <w:szCs w:val="16"/>
          <w:color w:val="auto"/>
        </w:rPr>
      </w:pPr>
    </w:p>
    <w:p>
      <w:pPr>
        <w:jc w:val="both"/>
        <w:ind w:left="100"/>
        <w:spacing w:after="0" w:line="270" w:lineRule="auto"/>
        <w:rPr>
          <w:rFonts w:ascii="Arial" w:cs="Arial" w:eastAsia="Arial" w:hAnsi="Arial"/>
          <w:sz w:val="16"/>
          <w:szCs w:val="16"/>
          <w:color w:val="auto"/>
        </w:rPr>
      </w:pPr>
      <w:r>
        <w:rPr>
          <w:rFonts w:ascii="Arial" w:cs="Arial" w:eastAsia="Arial" w:hAnsi="Arial"/>
          <w:sz w:val="17"/>
          <w:szCs w:val="17"/>
          <w:color w:val="auto"/>
        </w:rPr>
        <w:t>(A) (1) the Registration Statement, as of the Effective Date, (2) the Prospectus, as of its date and on the Delivery Date, and (3) the Pricing Disclosure Package, as of the Applicable Time,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and (B) since the Effective Date, no event has occurred that should have been set forth in a supplement or amendment to the Registration Statement, the Prospectus or any Issuer Free Writing Prospectus that has not been so set forth; and</w:t>
      </w:r>
    </w:p>
    <w:p>
      <w:pPr>
        <w:spacing w:after="0" w:line="178" w:lineRule="exact"/>
        <w:rPr>
          <w:rFonts w:ascii="Arial" w:cs="Arial" w:eastAsia="Arial" w:hAnsi="Arial"/>
          <w:sz w:val="16"/>
          <w:szCs w:val="16"/>
          <w:color w:val="auto"/>
        </w:rPr>
      </w:pPr>
    </w:p>
    <w:p>
      <w:pPr>
        <w:ind w:left="1060" w:hanging="307"/>
        <w:spacing w:after="0"/>
        <w:tabs>
          <w:tab w:leader="none" w:pos="10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To the effect of Section 9(m) (provided that no representation with respect to the judgment of the Underwriters need be made).</w:t>
      </w:r>
    </w:p>
    <w:p>
      <w:pPr>
        <w:spacing w:after="0" w:line="248" w:lineRule="exact"/>
        <w:rPr>
          <w:rFonts w:ascii="Arial" w:cs="Arial" w:eastAsia="Arial" w:hAnsi="Arial"/>
          <w:sz w:val="16"/>
          <w:szCs w:val="16"/>
          <w:color w:val="auto"/>
        </w:rPr>
      </w:pPr>
    </w:p>
    <w:p>
      <w:pPr>
        <w:jc w:val="both"/>
        <w:ind w:left="-540" w:firstLine="645"/>
        <w:spacing w:after="0" w:line="279" w:lineRule="auto"/>
        <w:tabs>
          <w:tab w:leader="none" w:pos="3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Selling Shareholder shall have furnished to the Underwriters on the Delivery Date a certificate, dated the Delivery Date, signed by, or on behalf of, the Selling Shareholder stating that the representations, warranties and agreements of the Selling Shareholder contained herein are true and correct on and as of the Delivery Date and that the Selling Shareholder has complied with all its agreements contained herein and has satisfied all the conditions on its part to be performed or satisfied hereunder at or prior to the Delivery Date.</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2" w:name="page33"/>
    <w:bookmarkEnd w:id="32"/>
    <w:p>
      <w:pPr>
        <w:jc w:val="both"/>
        <w:ind w:left="-540" w:firstLine="645"/>
        <w:spacing w:after="0" w:line="270"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shall have sustained, since the date of the latest audited financial statements included or incorporated by reference in the Preliminary Prospectus, any loss or interference with its business from fire, explosion, flood or other calamity, whether or not covered by insurance, or from any labor dispute or court or governmental action, order or decree, or (ii) since such date, and except as set out in the Pricing Disclosure Package,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individually or in the aggregate, in the judgment of the Underwriters, so material and adverse as to make it impracticable or inadvisable to proceed with the public offering or the delivery of the Shares being delivered on the Delivery Date on the terms and in the manner contemplated in the Prospectus.</w:t>
      </w:r>
    </w:p>
    <w:p>
      <w:pPr>
        <w:spacing w:after="0" w:line="181" w:lineRule="exact"/>
        <w:rPr>
          <w:rFonts w:ascii="Arial" w:cs="Arial" w:eastAsia="Arial" w:hAnsi="Arial"/>
          <w:sz w:val="17"/>
          <w:szCs w:val="17"/>
          <w:color w:val="auto"/>
        </w:rPr>
      </w:pPr>
    </w:p>
    <w:p>
      <w:pPr>
        <w:jc w:val="both"/>
        <w:ind w:left="-540" w:firstLine="645"/>
        <w:spacing w:after="0" w:line="286" w:lineRule="auto"/>
        <w:tabs>
          <w:tab w:leader="none" w:pos="3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or the State of Israel shall have become engaged in hostilities, there shall have been an escalation in hostilities involving the United States or the State of Israel or there shall have been a declaration of a national emergency by the United States or war by the United States or the State of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as to make it, in the judgment of the Underwriters, impracticable or inadvisable to proceed with the public offering or delivery of the Shares being delivered on the Delivery Date on the terms and in the manner contemplated in the Prospectus.</w:t>
      </w:r>
    </w:p>
    <w:p>
      <w:pPr>
        <w:spacing w:after="0" w:line="174" w:lineRule="exact"/>
        <w:rPr>
          <w:rFonts w:ascii="Arial" w:cs="Arial" w:eastAsia="Arial" w:hAnsi="Arial"/>
          <w:sz w:val="16"/>
          <w:szCs w:val="16"/>
          <w:color w:val="auto"/>
        </w:rPr>
      </w:pPr>
    </w:p>
    <w:p>
      <w:pPr>
        <w:ind w:left="-540" w:firstLine="645"/>
        <w:spacing w:after="0" w:line="277" w:lineRule="auto"/>
        <w:tabs>
          <w:tab w:leader="none" w:pos="3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NASDAQ Global Select Market shall have approved the Shares for listing, subject only to official notice of issuance and evidence of satisfactory distribution.</w:t>
      </w:r>
    </w:p>
    <w:p>
      <w:pPr>
        <w:spacing w:after="0" w:line="170" w:lineRule="exact"/>
        <w:rPr>
          <w:rFonts w:ascii="Arial" w:cs="Arial" w:eastAsia="Arial" w:hAnsi="Arial"/>
          <w:sz w:val="18"/>
          <w:szCs w:val="18"/>
          <w:color w:val="auto"/>
        </w:rPr>
      </w:pPr>
    </w:p>
    <w:p>
      <w:pPr>
        <w:ind w:left="-540" w:firstLine="645"/>
        <w:spacing w:after="0" w:line="308" w:lineRule="auto"/>
        <w:tabs>
          <w:tab w:leader="none" w:pos="36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Lock-Up Agreements between the Underwriters and the officers, directors and shareholders of the Company set forth on Schedule III, delivered to the Underwriters on or before the date of this Agreement, shall be in full force and effect on the Delivery Date.</w:t>
      </w:r>
    </w:p>
    <w:p>
      <w:pPr>
        <w:spacing w:after="0" w:line="35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3" w:name="page34"/>
    <w:bookmarkEnd w:id="33"/>
    <w:p>
      <w:pPr>
        <w:ind w:left="660" w:firstLine="645"/>
        <w:spacing w:after="0" w:line="277" w:lineRule="auto"/>
        <w:tabs>
          <w:tab w:leader="none" w:pos="1563"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or prior to each Delivery Date, the Company shall have furnished to the Underwriters such further certificates and documents as the Underwriters may reasonably request.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920" w:hanging="264"/>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84" w:lineRule="auto"/>
        <w:tabs>
          <w:tab w:leader="none" w:pos="155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Company hereby agrees to indemnify and hold harmless each Underwriter, its affiliates, directors, officers, employees and agents and each person, if any, who controls either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agent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either Underwriter, (D) any materials or information provided to investors by, or with the approval of, the Company in connection with the marketing of the offering of the Shares, including any “road show” (as defined in Rule 433 under the Securities Act) not constituting an Issuer Free Writing Prospectus and any Written Testing-the-Waters Communication (“</w:t>
      </w:r>
      <w:r>
        <w:rPr>
          <w:rFonts w:ascii="Arial" w:cs="Arial" w:eastAsia="Arial" w:hAnsi="Arial"/>
          <w:sz w:val="16"/>
          <w:szCs w:val="16"/>
          <w:b w:val="1"/>
          <w:bCs w:val="1"/>
          <w:color w:val="auto"/>
        </w:rPr>
        <w:t>Marketing Materials</w:t>
      </w:r>
      <w:r>
        <w:rPr>
          <w:rFonts w:ascii="Arial" w:cs="Arial" w:eastAsia="Arial" w:hAnsi="Arial"/>
          <w:sz w:val="16"/>
          <w:szCs w:val="16"/>
          <w:color w:val="auto"/>
        </w:rPr>
        <w:t>”), or (E) any Blue Sky application or other document prepared or executed by the Company (or based upon any written information furnished by the Company specifically for use therein) specifically for the purpose of qualifying any or all of the Shares under the securities laws of any state or other jurisdiction (any such application, document or information being hereinafter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xml:space="preserve">”) or (ii) the omission or alleged omission to state in any Preliminary Prospectus, the Registration Statement, the Prospectus, any Issuer Free Writing Prospectus or in any amendment or supplement thereto or in any Permitted Issuer Information, any Marketing Materials or any Blue Sky Application, any material fact required to be stated therein or necessary to make the statements therein not misleading, and shall reimburse each Underwriter and each such affiliate, director, officer, agent, employee or controlling person promptly upon demand for any legal or other expenses reasonably incurred by that Underwriter, affiliate, director, officer, agent,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any Marketing Materials or any Blue Sky Application, in reliance upon and in conformity with written information concerning such Underwriter furnished to the Company through the Underwriters by or on behalf of either Underwriter specifically for inclusion therein, which information consists solely of the information specified in Section 10(f). The foregoing indemnity agreement is in addition to any liability which the Company may otherwise have to either Underwriter or to any affiliate, director, officer, agent, employee or controlling person of that Underwriter.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left="-540" w:firstLine="645"/>
        <w:spacing w:after="0" w:line="284" w:lineRule="auto"/>
        <w:tabs>
          <w:tab w:leader="none" w:pos="36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Selling Shareholder shall indemnify and hold harmless each Underwriter, its affiliates, directors, officers and employees, and each person, if any, who controls either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Shares),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the Selling Shareholder or used or referred to by the Selling Shareholder in connection with the offering of the Shares in violation of Section 7(c) being referred to as a “</w:t>
      </w:r>
      <w:r>
        <w:rPr>
          <w:rFonts w:ascii="Arial" w:cs="Arial" w:eastAsia="Arial" w:hAnsi="Arial"/>
          <w:sz w:val="16"/>
          <w:szCs w:val="16"/>
          <w:b w:val="1"/>
          <w:bCs w:val="1"/>
          <w:color w:val="auto"/>
        </w:rPr>
        <w:t>Selling Shareholder Free Writing Prospectus</w:t>
      </w:r>
      <w:r>
        <w:rPr>
          <w:rFonts w:ascii="Arial" w:cs="Arial" w:eastAsia="Arial" w:hAnsi="Arial"/>
          <w:sz w:val="16"/>
          <w:szCs w:val="16"/>
          <w:color w:val="auto"/>
        </w:rPr>
        <w:t xml:space="preserve">”), or (ii) the omission or alleged omission to state in any Preliminary Prospectus, Registration Statement, the Prospectus, any Issuer Free Writing Prospectus or in any amendment or supplement thereto or in any Permitted Issuer Information, any Marketing Materials, any Blue Sky Application or any Selling Shareholder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Selling Shareholder shall be liable under this Section 10(b) only to the extent that any such loss, claim, damage, liability or action arises out of, or is based upon, any untrue statement or alleged untrue statement or omission or alleged omission made in a Preliminary Prospectus, the Registration Statement, the Prospectus, an Issuer Free Writing Prospectus or in any amendment or supplement thereto, a Permitted Issuer Information, any Marketing Materials, a Blue Sky Application or a Selling Shareholder Free Writing Prospectus in reliance upon and in conformity with information relating to the Selling Shareholder furnished in writing to the Company by or on behalf of the Selling Shareholder expressly for use in the Preliminary Prospectus, Registration Statement, Prospectus, Issuer Free Writing Prospectus or amendment or supplement thereto, Permitted Issuer Information, Marketing Materials, Blue Sky Application or Selling Shareholder Free Writing Prospectus (as applicable), it being understood that the information furnished by the Selling Shareholder consists only of the statements contained with respect to the Selling Shareholder under the caption “Selling shareholder.”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5" w:name="page36"/>
    <w:bookmarkEnd w:id="35"/>
    <w:p>
      <w:pPr>
        <w:jc w:val="both"/>
        <w:ind w:left="-540" w:firstLine="645"/>
        <w:spacing w:after="0" w:line="268" w:lineRule="auto"/>
        <w:tabs>
          <w:tab w:leader="none" w:pos="366" w:val="left"/>
        </w:tabs>
        <w:numPr>
          <w:ilvl w:val="0"/>
          <w:numId w:val="45"/>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directors, officers, employees and agents, the Selling Shareholder, their respective directors, officers, employees and agents (as applicable), and each person, if any, who controls the Company or the Selling Shareholder (as applicable) within the meaning of Section 15 of the Securities Act or Section 20 of the Exchange Act, from and against any loss, claim, damage or liability, joint or several, or any action in respect thereof, to which the Company or the Selling Shareholder or any such director, officer, employee, agent or controlling person (as applicable)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Blue Sky Application, or (ii) the omission or alleged omission to state in any Preliminary Prospectus, the Registration Statement, the Prospectus, any Issuer Free Writing Prospectus or in any amendment or supplement thereto or in any Marketing Materials or Blue Sky Application,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Underwriters specifically for inclusion therein, which information is limited to the information set forth in Section 10(f). The foregoing indemnity agreement is in addition to any liability that either Underwriter may otherwise have to the Company, the Selling Shareholder or any such director, officer, employee or controlling person.</w:t>
      </w:r>
    </w:p>
    <w:p>
      <w:pPr>
        <w:spacing w:after="0" w:line="183" w:lineRule="exact"/>
        <w:rPr>
          <w:rFonts w:ascii="Arial" w:cs="Arial" w:eastAsia="Arial" w:hAnsi="Arial"/>
          <w:sz w:val="17"/>
          <w:szCs w:val="17"/>
          <w:color w:val="auto"/>
        </w:rPr>
      </w:pPr>
    </w:p>
    <w:p>
      <w:pPr>
        <w:jc w:val="both"/>
        <w:ind w:left="-540" w:firstLine="645"/>
        <w:spacing w:after="0" w:line="283" w:lineRule="auto"/>
        <w:tabs>
          <w:tab w:leader="none" w:pos="377"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any claim or the commencement of any action, the indemnified party shall, if a claim in respect thereof is to be made against the indemnifying party under this Section 10, notify the indemnifying party in writing of the claim or the commencement of that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10 except to the extent it has been materially prejudiced (through the forfeiture of substantive rights and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failure to notify the indemnifying party shall not relieve it from any liability which it may have to an indemnified party otherwise than under this Section 10.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10 for any legal or other expenses subsequently incurred by the indemnified party in connection with the defense thereof other than reasonable costs of investigation;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10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Section 10(a) or 10(b)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have notice of the terms of such settlement at least 30 days prior to such settlement being entered into and (iii) such indemnifying party shall not have reimbursed the indemnified party in accordance with such request or disputed in good faith the indemnified party’s entitlement to such reimbursement prior to the date of such settlement.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6" w:name="page37"/>
    <w:bookmarkEnd w:id="36"/>
    <w:p>
      <w:pPr>
        <w:jc w:val="both"/>
        <w:ind w:left="-540" w:firstLine="645"/>
        <w:spacing w:after="0" w:line="284"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10 shall for any reason be unavailable to or insufficient to hold harmless an indemnified party under Section 10(a), 10(b) or 10(c)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Shareholder,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and the Selling Shareholder, on the one hand, and the Underwriters, on the other, with respect to the statements or omissions that resulted in such loss, claim, damage or liability, or action in respect thereof, as well as any other relevant equitable considerations. The relative benefits received by the Company and the Selling Shareholder, on the one hand, and the Underwriters, on the other, with respect to such offering shall be deemed to be in the same proportion as the total net proceeds from the offering of the Shares purchased under this Agreement (before deducting expenses) received by the Company and the Selling Shareholder,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the Selling Shareholder or the Underwriters, the intent of the parties and their relative knowledge, access to information and opportunity to correct or prevent such statement or omission. The Company, the Selling Shareholder and the Underwriters agree that it would not be just and equitable if contributions pursuant to this Section 10(e)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10(e) shall be deemed to include, for purposes of this Section 10(e), any legal or other expenses reasonably incurred by such indemnified party in connection with investigating or defending any such action or claim. Notwithstanding the provisions of this Section 10(e),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10(e) are several in proportion to their respective underwriting obligations and not joint.</w:t>
      </w:r>
    </w:p>
    <w:p>
      <w:pPr>
        <w:spacing w:after="0" w:line="172" w:lineRule="exact"/>
        <w:rPr>
          <w:rFonts w:ascii="Arial" w:cs="Arial" w:eastAsia="Arial" w:hAnsi="Arial"/>
          <w:sz w:val="16"/>
          <w:szCs w:val="16"/>
          <w:color w:val="auto"/>
        </w:rPr>
      </w:pPr>
    </w:p>
    <w:p>
      <w:pPr>
        <w:jc w:val="both"/>
        <w:ind w:left="-540" w:firstLine="645"/>
        <w:spacing w:after="0" w:line="273" w:lineRule="auto"/>
        <w:tabs>
          <w:tab w:leader="none" w:pos="33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Underwriters severally confirm and the Company and the Selling Shareholder acknowledge and agree that the statements regarding delivery of the Shares by the Underwriters set forth on the cover page of, and the concession and reallowance figures and the paragraph relating to stabilization, short positions and penalty bids by the Underwriters appearing under the caption “Underwriting” in, the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7" w:name="page38"/>
    <w:bookmarkEnd w:id="37"/>
    <w:p>
      <w:pPr>
        <w:jc w:val="both"/>
        <w:ind w:left="4" w:firstLine="645"/>
        <w:spacing w:after="0" w:line="286" w:lineRule="auto"/>
        <w:tabs>
          <w:tab w:leader="none" w:pos="90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aggregate liability of the Selling Shareholder under this Agreement and the transactions contemplated hereby shall be limited to an amount equal to the total gross proceeds from the offering of the Shares purchased under the Agreement received by the Selling Shareholder, as set forth in the table on the cover page of the Prospectus, after deduction of underwriting commissions and discounts.</w:t>
      </w:r>
    </w:p>
    <w:p>
      <w:pPr>
        <w:spacing w:after="0" w:line="165" w:lineRule="exact"/>
        <w:rPr>
          <w:rFonts w:ascii="Arial" w:cs="Arial" w:eastAsia="Arial" w:hAnsi="Arial"/>
          <w:sz w:val="17"/>
          <w:szCs w:val="17"/>
          <w:color w:val="auto"/>
        </w:rPr>
      </w:pPr>
    </w:p>
    <w:p>
      <w:pPr>
        <w:ind w:left="264" w:hanging="264"/>
        <w:spacing w:after="0"/>
        <w:tabs>
          <w:tab w:leader="none" w:pos="264"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Defaulting Underwriters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6" w:lineRule="auto"/>
        <w:tabs>
          <w:tab w:leader="none" w:pos="91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on the Delivery Date, either Underwriter defaults in its obligations to purchase the Shares that it has agreed to purchase under this Agreement, the remaining non-defaulting Underwriters may in their discretion arrange for the purchase of such Shares by the non-defaulting Underwriters or other persons satisfactory to the Company on the terms contained in this Agreement. If, within 36 hours after any such default by either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In the event that within the respective prescribed periods, the non-defaulting Underwriters notify the Company that they have so arranged for the purchase of such Shares, or the Company notifies the non-defaulting Underwriters that it has so arranged for the purchase of such Shares, either the non-defaulting Underwriters or the Company may postpone the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includes, for all purposes of this Agreement unless the context requires otherwise, any party not listed in Schedule I hereto that, pursuant to this Section 11, purchases Shares that a defaulting Underwriter agreed but failed to purchase.</w:t>
      </w:r>
    </w:p>
    <w:p>
      <w:pPr>
        <w:spacing w:after="0" w:line="174" w:lineRule="exact"/>
        <w:rPr>
          <w:rFonts w:ascii="Arial" w:cs="Arial" w:eastAsia="Arial" w:hAnsi="Arial"/>
          <w:sz w:val="16"/>
          <w:szCs w:val="16"/>
          <w:color w:val="auto"/>
        </w:rPr>
      </w:pPr>
    </w:p>
    <w:p>
      <w:pPr>
        <w:jc w:val="both"/>
        <w:ind w:left="4" w:firstLine="645"/>
        <w:spacing w:after="0" w:line="272" w:lineRule="auto"/>
        <w:tabs>
          <w:tab w:leader="none" w:pos="934" w:val="left"/>
        </w:tabs>
        <w:numPr>
          <w:ilvl w:val="1"/>
          <w:numId w:val="48"/>
        </w:numPr>
        <w:rPr>
          <w:rFonts w:ascii="Arial" w:cs="Arial" w:eastAsia="Arial" w:hAnsi="Arial"/>
          <w:sz w:val="17"/>
          <w:szCs w:val="17"/>
          <w:color w:val="auto"/>
        </w:rPr>
      </w:pPr>
      <w:r>
        <w:rPr>
          <w:rFonts w:ascii="Arial" w:cs="Arial" w:eastAsia="Arial" w:hAnsi="Arial"/>
          <w:sz w:val="17"/>
          <w:szCs w:val="17"/>
          <w:color w:val="auto"/>
        </w:rPr>
        <w:t xml:space="preserve">If, after giving effect to any arrangements for the purchase of the Shares of a defaulting Underwriter or Underwriters by the non-defaulting Underwriters and the Company as provided in paragraph (a) above, the total number of Shares that remains unpurchased does not exceed one-eleventh of the total number of all the Shares, then the Company shall have the right to require each non-defaulting Underwriter to purchase the total number of Shares that such Underwriter agreed to purchase hereunder plus such Underwriter’s pro rata share (based on the total number of Shares that such Underwriter agreed to purchase hereunder) of the Shares of such defaulting Underwriter or Underwriters for which such arrangements have not been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non-defaulting Underwriters shall not be obligated to purchase more than 110% of the total number of Shares that it agreed to purchase on the Delivery Date pursuant to the terms of Section 3.</w:t>
      </w:r>
    </w:p>
    <w:p>
      <w:pPr>
        <w:spacing w:after="0" w:line="387"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8" w:name="page39"/>
    <w:bookmarkEnd w:id="38"/>
    <w:p>
      <w:pPr>
        <w:jc w:val="both"/>
        <w:ind w:left="660" w:firstLine="645"/>
        <w:spacing w:after="0" w:line="273" w:lineRule="auto"/>
        <w:tabs>
          <w:tab w:leader="none" w:pos="1580" w:val="left"/>
        </w:tabs>
        <w:numPr>
          <w:ilvl w:val="2"/>
          <w:numId w:val="49"/>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total number of Shares that remains unpurchased exceeds one-eleventh of the total number of all the Shares,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Sections 8 and 13 and except that the provisions of Section 10 shall not terminate and shall remain in effect.</w:t>
      </w:r>
    </w:p>
    <w:p>
      <w:pPr>
        <w:spacing w:after="0" w:line="178" w:lineRule="exact"/>
        <w:rPr>
          <w:rFonts w:ascii="Arial" w:cs="Arial" w:eastAsia="Arial" w:hAnsi="Arial"/>
          <w:sz w:val="17"/>
          <w:szCs w:val="17"/>
          <w:color w:val="auto"/>
        </w:rPr>
      </w:pPr>
    </w:p>
    <w:p>
      <w:pPr>
        <w:ind w:left="660" w:right="20" w:firstLine="645"/>
        <w:spacing w:after="0" w:line="277" w:lineRule="auto"/>
        <w:tabs>
          <w:tab w:leader="none" w:pos="1577" w:val="left"/>
        </w:tabs>
        <w:numPr>
          <w:ilvl w:val="2"/>
          <w:numId w:val="49"/>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32"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obligations of the Underwriters hereunder may be terminated by the Underwriters by notice given to and received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the Selling Shareholder prior to delivery of and payment for the Shares if, prior to that time, any of the events described in Sections 9(m), 9(n), and 9(o) shall have occurred or if the Underwriters shall decline to purchase the Shares for any reason permitted under this Agreement.</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Reimbursement of Underwriters’ Expenses</w:t>
      </w:r>
      <w:r>
        <w:rPr>
          <w:rFonts w:ascii="Arial" w:cs="Arial" w:eastAsia="Arial" w:hAnsi="Arial"/>
          <w:sz w:val="16"/>
          <w:szCs w:val="16"/>
          <w:color w:val="auto"/>
        </w:rPr>
        <w:t>. If (a) the Company shall fail to tender the Shares for delivery to the Underwriters for any reason, or</w:t>
      </w:r>
    </w:p>
    <w:p>
      <w:pPr>
        <w:spacing w:after="0" w:line="46" w:lineRule="exact"/>
        <w:rPr>
          <w:rFonts w:ascii="Arial" w:cs="Arial" w:eastAsia="Arial" w:hAnsi="Arial"/>
          <w:sz w:val="16"/>
          <w:szCs w:val="16"/>
          <w:color w:val="auto"/>
        </w:rPr>
      </w:pPr>
    </w:p>
    <w:p>
      <w:pPr>
        <w:jc w:val="both"/>
        <w:ind w:firstLine="8"/>
        <w:spacing w:after="0" w:line="268" w:lineRule="auto"/>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Underwriters shall decline to purchase the Shares for any reason permitted under this Agreement (other than due to the termination of this Agreement because of the failure of the Selling Shareholder to tender the Shares for delivery to the Underwriters), the Company will reimburse the Underwriters for all reasonable out-of-pocket expenses (including fees and disbursements of counsel for the Underwriters) incurred by the Underwriters in connection with this Agreement and the proposed purchase of the Shares, and upon demand the Company shall pay the full amount thereof to the Underwriters. If the Selling Shareholder shall fail to tender the Shares for delivery to the Underwriters for any reason, the Selling Shareholder will reimburse the Underwriters for all reasonable out-of-pocket expenses (including fees and disbursements of counsel for the Underwriters) incurred by the Underwriters in connection with this Agreement and the proposed purchase of the Shares, and upon demand the Selling Shareholder shall pay the full amount thereof to the Underwriters. If this Agreement is terminated pursuant to Section 11 by reason of the default of one or more Underwriters, the Company and the Selling Shareholder shall not be obligated to reimburse any defaulting Underwriter on account of those expenses.</w:t>
      </w:r>
    </w:p>
    <w:p>
      <w:pPr>
        <w:spacing w:after="0" w:line="182" w:lineRule="exact"/>
        <w:rPr>
          <w:rFonts w:ascii="Arial" w:cs="Arial" w:eastAsia="Arial" w:hAnsi="Arial"/>
          <w:sz w:val="17"/>
          <w:szCs w:val="17"/>
          <w:color w:val="auto"/>
        </w:rPr>
      </w:pPr>
    </w:p>
    <w:p>
      <w:pPr>
        <w:jc w:val="both"/>
        <w:ind w:firstLine="656"/>
        <w:spacing w:after="0" w:line="288" w:lineRule="auto"/>
        <w:tabs>
          <w:tab w:leader="none" w:pos="918"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Research Analyst Independence</w:t>
      </w:r>
      <w:r>
        <w:rPr>
          <w:rFonts w:ascii="Arial" w:cs="Arial" w:eastAsia="Arial" w:hAnsi="Arial"/>
          <w:sz w:val="16"/>
          <w:szCs w:val="16"/>
          <w:color w:val="auto"/>
        </w:rPr>
        <w:t>. The Company acknowledges that the Underwriters’ research analysts and research departments are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Shareholder hereby waive and release, to the fullest extent permitted by law, any claims that the Company or the Selling Shareholder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or the Selling Shareholder by such Underwriters’ investment banking divisions. The Company and the Selling Shareholder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firstLine="656"/>
        <w:spacing w:after="0" w:line="288" w:lineRule="auto"/>
        <w:tabs>
          <w:tab w:leader="none" w:pos="91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No Fiduciary Duty</w:t>
      </w:r>
      <w:r>
        <w:rPr>
          <w:rFonts w:ascii="Arial" w:cs="Arial" w:eastAsia="Arial" w:hAnsi="Arial"/>
          <w:sz w:val="16"/>
          <w:szCs w:val="16"/>
          <w:color w:val="auto"/>
        </w:rPr>
        <w:t>. The Company and the Selling Shareholder acknowledge and agree that in connection with this offering, sale of the Shares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Selling Shareholder and any other person, on the one hand, and the Underwriters, on the other, exists; (b) the Underwriters are not acting as advisors, expert or otherwise, to either the Company or the Selling Shareholder, including, without limitation, with respect to the determination of the public offering price of the Shares, and such relationship between the Company and the Selling Shareholder, on the one hand, and the Underwriters, on the other, is entirely and solely commercial, based on arms-length negotiations; (c) any duties and obligations that the Underwriters may have to the Company or the Selling Shareholder shall be limited to those duties and obligations specifically stated herein; and (d) the Underwriters and their respective affiliates may have interests that differ from those of the Company and the Selling Shareholder. The Company and the Selling Shareholder hereby waive any claims that the Company or the Selling Shareholder may have against the Underwriters with respect to any breach of fiduciary duty in connection with this offering.</w:t>
      </w:r>
    </w:p>
    <w:p>
      <w:pPr>
        <w:spacing w:after="0" w:line="169" w:lineRule="exact"/>
        <w:rPr>
          <w:rFonts w:ascii="Arial" w:cs="Arial" w:eastAsia="Arial" w:hAnsi="Arial"/>
          <w:sz w:val="16"/>
          <w:szCs w:val="16"/>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Notices, etc</w:t>
      </w:r>
      <w:r>
        <w:rPr>
          <w:rFonts w:ascii="Arial" w:cs="Arial" w:eastAsia="Arial" w:hAnsi="Arial"/>
          <w:sz w:val="18"/>
          <w:szCs w:val="18"/>
          <w:color w:val="auto"/>
        </w:rPr>
        <w:t>. All statements, requests, notices and agreements hereunder shall be in writing, and:</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1553" w:val="left"/>
        </w:tabs>
        <w:numPr>
          <w:ilvl w:val="1"/>
          <w:numId w:val="52"/>
        </w:numPr>
        <w:rPr>
          <w:rFonts w:ascii="Arial" w:cs="Arial" w:eastAsia="Arial" w:hAnsi="Arial"/>
          <w:sz w:val="17"/>
          <w:szCs w:val="17"/>
          <w:color w:val="auto"/>
        </w:rPr>
      </w:pPr>
      <w:r>
        <w:rPr>
          <w:rFonts w:ascii="Arial" w:cs="Arial" w:eastAsia="Arial" w:hAnsi="Arial"/>
          <w:sz w:val="17"/>
          <w:szCs w:val="17"/>
          <w:color w:val="auto"/>
        </w:rPr>
        <w:t>if to the Underwriters, shall be delivered or sent by mail or facsimile transmission to (i) Barclays Capital Inc., 745 Seventh Avenue, New York, New York 10019, Attention: Syndicate Registration (Fax: (646) 834-8133), with a copy, in the case of any notice pursuant to Section 10(d), to the Director of Litigation, Office of the General Counsel, Barclays Capital Inc., 745 Seventh Avenue, New York, New York 10019 and (ii) Citigroup Global Markets Inc., 388 Greenwich Street, New York, New York 10013 Attention: General Counsel, (Fax: (646) 291-1469); and</w:t>
      </w:r>
    </w:p>
    <w:p>
      <w:pPr>
        <w:spacing w:after="0" w:line="171" w:lineRule="exact"/>
        <w:rPr>
          <w:rFonts w:ascii="Arial" w:cs="Arial" w:eastAsia="Arial" w:hAnsi="Arial"/>
          <w:sz w:val="17"/>
          <w:szCs w:val="17"/>
          <w:color w:val="auto"/>
        </w:rPr>
      </w:pPr>
    </w:p>
    <w:p>
      <w:pPr>
        <w:ind w:left="660" w:right="20" w:firstLine="645"/>
        <w:spacing w:after="0" w:line="277" w:lineRule="auto"/>
        <w:tabs>
          <w:tab w:leader="none" w:pos="159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Guy Avidan (Fax: (+972) 3-908-0280).</w:t>
      </w:r>
    </w:p>
    <w:p>
      <w:pPr>
        <w:spacing w:after="0" w:line="170" w:lineRule="exact"/>
        <w:rPr>
          <w:rFonts w:ascii="Arial" w:cs="Arial" w:eastAsia="Arial" w:hAnsi="Arial"/>
          <w:sz w:val="18"/>
          <w:szCs w:val="18"/>
          <w:color w:val="auto"/>
        </w:rPr>
      </w:pPr>
    </w:p>
    <w:p>
      <w:pPr>
        <w:ind w:left="660" w:firstLine="645"/>
        <w:spacing w:after="0" w:line="277" w:lineRule="auto"/>
        <w:tabs>
          <w:tab w:leader="none" w:pos="1566"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to the Selling Shareholder, shall be delivered or sent by mail or facsimile transmission to the Selling Shareholder at the address set forth on Schedule II hereto.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and the Selling Shareholder shall be entitled to act and rely upon any request, consent, notice or agreement given or made on behalf of the Underwriters by Barclays Capital Inc. on behalf of the Underwriters.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56"/>
        <w:spacing w:after="0" w:line="270" w:lineRule="auto"/>
        <w:tabs>
          <w:tab w:leader="none" w:pos="918"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Persons Entitled to Benefit of Agreement</w:t>
      </w:r>
      <w:r>
        <w:rPr>
          <w:rFonts w:ascii="Arial" w:cs="Arial" w:eastAsia="Arial" w:hAnsi="Arial"/>
          <w:sz w:val="17"/>
          <w:szCs w:val="17"/>
          <w:color w:val="auto"/>
        </w:rPr>
        <w:t>. This Agreement shall inure to the benefit of and be binding upon the Underwriters, the Company,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Selling Shareholder and their respective successors. This Agreement and the terms and provisions hereof are for the sole benefit of only those persons, except that (a) the representations, warranties, indemnities and agreements of the Company and the Selling Shareholder contained in this Agreement shall also be deemed to be for the benefit of the directors, officers and employees of the Underwriters and each person or persons, if any, who control either Underwriter within the meaning of Section 15 of the Securities Act, and (b) the indemnity agreement of the Underwriters contained in Section 10(c)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17, any legal or equitable right, remedy or claim under or in respect of this Agreement or any provision contained herein.</w:t>
      </w:r>
    </w:p>
    <w:p>
      <w:pPr>
        <w:spacing w:after="0" w:line="181" w:lineRule="exact"/>
        <w:rPr>
          <w:rFonts w:ascii="Arial" w:cs="Arial" w:eastAsia="Arial" w:hAnsi="Arial"/>
          <w:sz w:val="17"/>
          <w:szCs w:val="17"/>
          <w:color w:val="auto"/>
        </w:rPr>
      </w:pPr>
    </w:p>
    <w:p>
      <w:pPr>
        <w:jc w:val="both"/>
        <w:ind w:firstLine="656"/>
        <w:spacing w:after="0" w:line="312" w:lineRule="auto"/>
        <w:tabs>
          <w:tab w:leader="none" w:pos="918"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Survival</w:t>
      </w:r>
      <w:r>
        <w:rPr>
          <w:rFonts w:ascii="Arial" w:cs="Arial" w:eastAsia="Arial" w:hAnsi="Arial"/>
          <w:sz w:val="16"/>
          <w:szCs w:val="16"/>
          <w:color w:val="auto"/>
        </w:rPr>
        <w:t>. The respective indemnities, representations, warranties and agreements of the Company, the Selling Shareholder and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this Agreement 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142" w:lineRule="exact"/>
        <w:rPr>
          <w:rFonts w:ascii="Arial" w:cs="Arial" w:eastAsia="Arial" w:hAnsi="Arial"/>
          <w:sz w:val="16"/>
          <w:szCs w:val="16"/>
          <w:color w:val="auto"/>
        </w:rPr>
      </w:pPr>
    </w:p>
    <w:p>
      <w:pPr>
        <w:jc w:val="both"/>
        <w:ind w:firstLine="656"/>
        <w:spacing w:after="0" w:line="289" w:lineRule="auto"/>
        <w:tabs>
          <w:tab w:leader="none" w:pos="918"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Definition of the Terms “Business Day”, “Affiliate” and “Subsidiary”</w:t>
      </w:r>
      <w:r>
        <w:rPr>
          <w:rFonts w:ascii="Arial" w:cs="Arial" w:eastAsia="Arial" w:hAnsi="Arial"/>
          <w:sz w:val="17"/>
          <w:szCs w:val="17"/>
          <w:color w:val="auto"/>
        </w:rPr>
        <w:t>. For purposes of this Agreement, (a) “</w:t>
      </w:r>
      <w:r>
        <w:rPr>
          <w:rFonts w:ascii="Arial" w:cs="Arial" w:eastAsia="Arial" w:hAnsi="Arial"/>
          <w:sz w:val="17"/>
          <w:szCs w:val="17"/>
          <w:b w:val="1"/>
          <w:bCs w:val="1"/>
          <w:color w:val="auto"/>
        </w:rPr>
        <w:t>business day</w:t>
      </w:r>
      <w:r>
        <w:rPr>
          <w:rFonts w:ascii="Arial" w:cs="Arial" w:eastAsia="Arial" w:hAnsi="Arial"/>
          <w:sz w:val="17"/>
          <w:szCs w:val="17"/>
          <w:color w:val="auto"/>
        </w:rPr>
        <w:t>” means each Monday,</w:t>
      </w:r>
      <w:r>
        <w:rPr>
          <w:rFonts w:ascii="Arial" w:cs="Arial" w:eastAsia="Arial" w:hAnsi="Arial"/>
          <w:sz w:val="17"/>
          <w:szCs w:val="17"/>
          <w:i w:val="1"/>
          <w:iCs w:val="1"/>
          <w:color w:val="auto"/>
        </w:rPr>
        <w:t xml:space="preserve"> </w:t>
      </w:r>
      <w:r>
        <w:rPr>
          <w:rFonts w:ascii="Arial" w:cs="Arial" w:eastAsia="Arial" w:hAnsi="Arial"/>
          <w:sz w:val="17"/>
          <w:szCs w:val="17"/>
          <w:color w:val="auto"/>
        </w:rPr>
        <w:t>Tuesday, Wednesday, Thursday or Friday that is not a day on which banking institutions in New York are generally authorized or obligated by law or executive order to close, and (b) “</w:t>
      </w:r>
      <w:r>
        <w:rPr>
          <w:rFonts w:ascii="Arial" w:cs="Arial" w:eastAsia="Arial" w:hAnsi="Arial"/>
          <w:sz w:val="17"/>
          <w:szCs w:val="17"/>
          <w:b w:val="1"/>
          <w:bCs w:val="1"/>
          <w:color w:val="auto"/>
        </w:rPr>
        <w:t>affiliate</w:t>
      </w:r>
      <w:r>
        <w:rPr>
          <w:rFonts w:ascii="Arial" w:cs="Arial" w:eastAsia="Arial" w:hAnsi="Arial"/>
          <w:sz w:val="17"/>
          <w:szCs w:val="17"/>
          <w:color w:val="auto"/>
        </w:rPr>
        <w:t>” and “</w:t>
      </w:r>
      <w:r>
        <w:rPr>
          <w:rFonts w:ascii="Arial" w:cs="Arial" w:eastAsia="Arial" w:hAnsi="Arial"/>
          <w:sz w:val="17"/>
          <w:szCs w:val="17"/>
          <w:b w:val="1"/>
          <w:bCs w:val="1"/>
          <w:color w:val="auto"/>
        </w:rPr>
        <w:t>subsidiary</w:t>
      </w:r>
      <w:r>
        <w:rPr>
          <w:rFonts w:ascii="Arial" w:cs="Arial" w:eastAsia="Arial" w:hAnsi="Arial"/>
          <w:sz w:val="17"/>
          <w:szCs w:val="17"/>
          <w:color w:val="auto"/>
        </w:rPr>
        <w:t>” have the meanings set forth in Rule 405 under the Securities Act.</w:t>
      </w:r>
    </w:p>
    <w:p>
      <w:pPr>
        <w:spacing w:after="0" w:line="158" w:lineRule="exact"/>
        <w:rPr>
          <w:rFonts w:ascii="Arial" w:cs="Arial" w:eastAsia="Arial" w:hAnsi="Arial"/>
          <w:sz w:val="17"/>
          <w:szCs w:val="17"/>
          <w:color w:val="auto"/>
        </w:rPr>
      </w:pPr>
    </w:p>
    <w:p>
      <w:pPr>
        <w:ind w:right="20" w:firstLine="656"/>
        <w:spacing w:after="0" w:line="282"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 without regard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to conflict of laws principles (other than Section 5-1401 of the General Obligations Law)</w:t>
      </w:r>
      <w:r>
        <w:rPr>
          <w:rFonts w:ascii="Arial" w:cs="Arial" w:eastAsia="Arial" w:hAnsi="Arial"/>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56"/>
        <w:spacing w:after="0" w:line="269" w:lineRule="auto"/>
        <w:tabs>
          <w:tab w:leader="none" w:pos="932"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Submission to Jurisdiction, Etc</w:t>
      </w:r>
      <w:r>
        <w:rPr>
          <w:rFonts w:ascii="Arial" w:cs="Arial" w:eastAsia="Arial" w:hAnsi="Arial"/>
          <w:sz w:val="17"/>
          <w:szCs w:val="17"/>
          <w:color w:val="auto"/>
        </w:rPr>
        <w:t>. The Company and the Selling Shareholder hereby submit to the non-exclusive jurisdiction of the U.S.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and New York state courts in the 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and the Selling Shareholder irrevocably appoint Kornit Digital North America Inc., as its authorized agent in the Borough of Manhattan, The City of New York, New York upon which process may be served in any such suit or proceeding, and agree that service of process upon such agent, and written notice of said service to the Company or the Selling Shareholder, as applicable, by the person serving the same to the address provided in Section 16 shall be deemed in every respect effective service of process upon the Company or the Selling Shareholder, as applicable, in any such suit or proceeding. The Company and the Selling Shareholder further agree to take any and all actions as may be necessary to maintain such designation and appointment of such agent in full force and effect for a period of seven years from the date of this Agreement.</w:t>
      </w:r>
    </w:p>
    <w:p>
      <w:pPr>
        <w:spacing w:after="0" w:line="182" w:lineRule="exact"/>
        <w:rPr>
          <w:rFonts w:ascii="Arial" w:cs="Arial" w:eastAsia="Arial" w:hAnsi="Arial"/>
          <w:sz w:val="17"/>
          <w:szCs w:val="17"/>
          <w:color w:val="auto"/>
        </w:rPr>
      </w:pPr>
    </w:p>
    <w:p>
      <w:pPr>
        <w:jc w:val="both"/>
        <w:ind w:firstLine="656"/>
        <w:spacing w:after="0" w:line="255" w:lineRule="auto"/>
        <w:tabs>
          <w:tab w:leader="none" w:pos="918"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Waiver of Immunity</w:t>
      </w:r>
      <w:r>
        <w:rPr>
          <w:rFonts w:ascii="Arial" w:cs="Arial" w:eastAsia="Arial" w:hAnsi="Arial"/>
          <w:sz w:val="18"/>
          <w:szCs w:val="18"/>
          <w:color w:val="auto"/>
        </w:rPr>
        <w:t>. With respect to any suit or proceeding arising out of or relating to this Agreement or the transactions contemplated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193" w:lineRule="exact"/>
        <w:rPr>
          <w:rFonts w:ascii="Arial" w:cs="Arial" w:eastAsia="Arial" w:hAnsi="Arial"/>
          <w:sz w:val="18"/>
          <w:szCs w:val="18"/>
          <w:color w:val="auto"/>
        </w:rPr>
      </w:pPr>
    </w:p>
    <w:p>
      <w:pPr>
        <w:jc w:val="both"/>
        <w:ind w:firstLine="656"/>
        <w:spacing w:after="0" w:line="270" w:lineRule="auto"/>
        <w:tabs>
          <w:tab w:leader="none" w:pos="932"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Judgment Currency</w:t>
      </w:r>
      <w:r>
        <w:rPr>
          <w:rFonts w:ascii="Arial" w:cs="Arial" w:eastAsia="Arial" w:hAnsi="Arial"/>
          <w:sz w:val="17"/>
          <w:szCs w:val="17"/>
          <w:color w:val="auto"/>
        </w:rPr>
        <w:t>. The obligation of the Company and the Selling Shareholder in respect of any sum due to either Underwriter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notwithstanding any judgment in a currency other than U.S. dollars or any other applicable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and the Selling Shareholder agree,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or the Selling Shareholder, as the case may be, an amount equal to the excess of the U.S. dollars or other applicable currency so purchased over the sum originally due to such Underwriter hereunder.</w:t>
      </w:r>
    </w:p>
    <w:p>
      <w:pPr>
        <w:spacing w:after="0" w:line="181" w:lineRule="exact"/>
        <w:rPr>
          <w:rFonts w:ascii="Arial" w:cs="Arial" w:eastAsia="Arial" w:hAnsi="Arial"/>
          <w:sz w:val="17"/>
          <w:szCs w:val="17"/>
          <w:color w:val="auto"/>
        </w:rPr>
      </w:pPr>
    </w:p>
    <w:p>
      <w:pPr>
        <w:ind w:firstLine="656"/>
        <w:spacing w:after="0" w:line="277" w:lineRule="auto"/>
        <w:tabs>
          <w:tab w:leader="none" w:pos="918"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 The Company and the Underwriters hereby irrevocably waive, to the fullest extent permitted by applicable law,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656"/>
        <w:spacing w:after="0" w:line="277" w:lineRule="auto"/>
        <w:tabs>
          <w:tab w:leader="none" w:pos="94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and, if executed in more than one counterpart, the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each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right="20" w:firstLine="656"/>
        <w:spacing w:after="0" w:line="277" w:lineRule="auto"/>
        <w:tabs>
          <w:tab w:leader="none" w:pos="932"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If the foregoing correctly sets forth the agreement among the Company, the Selling Shareholder and the Underwriters, please indicate your acceptance in the space provided for that purpose below.</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Ronen Samuel</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FORTISSIMO CAPITAL FUND II (ISRAEL), L.P.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Yuval Cohen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5340"/>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w:t>
      </w:r>
      <w:r>
        <w:rPr>
          <w:rFonts w:ascii="Arial" w:cs="Arial" w:eastAsia="Arial" w:hAnsi="Arial"/>
          <w:sz w:val="12"/>
          <w:szCs w:val="12"/>
          <w:color w:val="auto"/>
        </w:rPr>
        <w:t>ARCLAYS</w:t>
      </w:r>
      <w:r>
        <w:rPr>
          <w:rFonts w:ascii="Arial" w:cs="Arial" w:eastAsia="Arial" w:hAnsi="Arial"/>
          <w:sz w:val="18"/>
          <w:szCs w:val="18"/>
          <w:color w:val="auto"/>
        </w:rPr>
        <w:t xml:space="preserve"> C</w:t>
      </w:r>
      <w:r>
        <w:rPr>
          <w:rFonts w:ascii="Arial" w:cs="Arial" w:eastAsia="Arial" w:hAnsi="Arial"/>
          <w:sz w:val="12"/>
          <w:szCs w:val="12"/>
          <w:color w:val="auto"/>
        </w:rPr>
        <w:t>APITAL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w:t>
      </w:r>
      <w:r>
        <w:rPr>
          <w:rFonts w:ascii="Arial" w:cs="Arial" w:eastAsia="Arial" w:hAnsi="Arial"/>
          <w:sz w:val="12"/>
          <w:szCs w:val="12"/>
          <w:color w:val="auto"/>
        </w:rPr>
        <w:t>ITIGROUP</w:t>
      </w:r>
      <w:r>
        <w:rPr>
          <w:rFonts w:ascii="Arial" w:cs="Arial" w:eastAsia="Arial" w:hAnsi="Arial"/>
          <w:sz w:val="18"/>
          <w:szCs w:val="18"/>
          <w:color w:val="auto"/>
        </w:rPr>
        <w:t xml:space="preserve"> G</w:t>
      </w:r>
      <w:r>
        <w:rPr>
          <w:rFonts w:ascii="Arial" w:cs="Arial" w:eastAsia="Arial" w:hAnsi="Arial"/>
          <w:sz w:val="12"/>
          <w:szCs w:val="12"/>
          <w:color w:val="auto"/>
        </w:rPr>
        <w:t>LOBAL</w:t>
      </w:r>
      <w:r>
        <w:rPr>
          <w:rFonts w:ascii="Arial" w:cs="Arial" w:eastAsia="Arial" w:hAnsi="Arial"/>
          <w:sz w:val="18"/>
          <w:szCs w:val="18"/>
          <w:color w:val="auto"/>
        </w:rPr>
        <w:t xml:space="preserve"> M</w:t>
      </w:r>
      <w:r>
        <w:rPr>
          <w:rFonts w:ascii="Arial" w:cs="Arial" w:eastAsia="Arial" w:hAnsi="Arial"/>
          <w:sz w:val="12"/>
          <w:szCs w:val="12"/>
          <w:color w:val="auto"/>
        </w:rPr>
        <w:t>ARKETS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Eric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Authorized Representative</w:t>
      </w:r>
    </w:p>
    <w:p>
      <w:pPr>
        <w:spacing w:after="0" w:line="225"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the Underwriting Agreement</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44" w:name="page45"/>
    <w:bookmarkEnd w:id="44"/>
    <w:p>
      <w:pPr>
        <w:jc w:val="right"/>
        <w:ind w:right="3380"/>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3804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04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Number of</w:t>
      </w:r>
    </w:p>
    <w:p>
      <w:pPr>
        <w:spacing w:after="0" w:line="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5715</wp:posOffset>
            </wp:positionV>
            <wp:extent cx="7200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1,566,241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1,566,240</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3,132,481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40640</wp:posOffset>
            </wp:positionV>
            <wp:extent cx="7200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ectPr>
          <w:pgSz w:w="11900" w:h="16838" w:orient="portrait"/>
          <w:cols w:equalWidth="0" w:num="2">
            <w:col w:w="9640" w:space="720"/>
            <w:col w:w="960"/>
          </w:cols>
          <w:pgMar w:left="240" w:top="904" w:right="339" w:bottom="1440" w:gutter="0" w:footer="0" w:header="0"/>
        </w:sectPr>
      </w:pPr>
    </w:p>
    <w:bookmarkStart w:id="45" w:name="page46"/>
    <w:bookmarkEnd w:id="45"/>
    <w:p>
      <w:pPr>
        <w:jc w:val="right"/>
        <w:ind w:right="3340"/>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Fortissimo Capital Fund II (Israel), 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14 Hamelacha Street, Park Afek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48091,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2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Number of</w:t>
      </w:r>
    </w:p>
    <w:p>
      <w:pPr>
        <w:spacing w:after="0" w:line="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Shares</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3,132,481</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3,132,481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14605</wp:posOffset>
            </wp:positionV>
            <wp:extent cx="7200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40640</wp:posOffset>
            </wp:positionV>
            <wp:extent cx="7200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ectPr>
          <w:pgSz w:w="11900" w:h="16838" w:orient="portrait"/>
          <w:cols w:equalWidth="0" w:num="2">
            <w:col w:w="9640" w:space="720"/>
            <w:col w:w="960"/>
          </w:cols>
          <w:pgMar w:left="240" w:top="904" w:right="339" w:bottom="1440" w:gutter="0" w:footer="0" w:header="0"/>
        </w:sectPr>
      </w:pPr>
    </w:p>
    <w:bookmarkStart w:id="46" w:name="page47"/>
    <w:bookmarkEnd w:id="46"/>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PERSONS DELIVERING LOCK-UP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1019"/>
        <w:spacing w:after="0" w:line="501" w:lineRule="auto"/>
        <w:rPr>
          <w:sz w:val="20"/>
          <w:szCs w:val="20"/>
          <w:color w:val="auto"/>
        </w:rPr>
      </w:pPr>
      <w:r>
        <w:rPr>
          <w:rFonts w:ascii="Arial" w:cs="Arial" w:eastAsia="Arial" w:hAnsi="Arial"/>
          <w:sz w:val="18"/>
          <w:szCs w:val="18"/>
          <w:color w:val="auto"/>
        </w:rPr>
        <w:t xml:space="preserve">Yuval Cohen, Gabi Seligsohn, Ofer Ben-Zur, Eli Blatt, Lauri Hanover, Marc Lesnick, Alon Lumbroso, Yehoshua Nir, Dov Ofer </w:t>
      </w:r>
      <w:r>
        <w:rPr>
          <w:rFonts w:ascii="Arial" w:cs="Arial" w:eastAsia="Arial" w:hAnsi="Arial"/>
          <w:sz w:val="18"/>
          <w:szCs w:val="18"/>
          <w:u w:val="single" w:color="auto"/>
          <w:color w:val="auto"/>
        </w:rPr>
        <w:t>Officers</w:t>
      </w:r>
    </w:p>
    <w:p>
      <w:pPr>
        <w:spacing w:after="0"/>
        <w:rPr>
          <w:sz w:val="20"/>
          <w:szCs w:val="20"/>
          <w:color w:val="auto"/>
        </w:rPr>
      </w:pPr>
      <w:r>
        <w:rPr>
          <w:rFonts w:ascii="Arial" w:cs="Arial" w:eastAsia="Arial" w:hAnsi="Arial"/>
          <w:sz w:val="18"/>
          <w:szCs w:val="18"/>
          <w:color w:val="auto"/>
        </w:rPr>
        <w:t>Ronen Samuel, Nuriel Amir, Guy Avidan, Gilad Yron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Fortissimo Capital Fund II (Israel), L.P.</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7" w:name="page48"/>
    <w:bookmarkEnd w:id="47"/>
    <w:p>
      <w:pPr>
        <w:jc w:val="center"/>
        <w:ind w:right="-1220"/>
        <w:spacing w:after="0"/>
        <w:rPr>
          <w:sz w:val="20"/>
          <w:szCs w:val="20"/>
          <w:color w:val="auto"/>
        </w:rPr>
      </w:pPr>
      <w:r>
        <w:rPr>
          <w:rFonts w:ascii="Arial" w:cs="Arial" w:eastAsia="Arial" w:hAnsi="Arial"/>
          <w:sz w:val="18"/>
          <w:szCs w:val="18"/>
          <w:b w:val="1"/>
          <w:bCs w:val="1"/>
          <w:color w:val="auto"/>
        </w:rPr>
        <w:t>SCHEDULE IV</w:t>
      </w:r>
    </w:p>
    <w:p>
      <w:pPr>
        <w:spacing w:after="0" w:line="229" w:lineRule="exact"/>
        <w:rPr>
          <w:sz w:val="20"/>
          <w:szCs w:val="20"/>
          <w:color w:val="auto"/>
        </w:rPr>
      </w:pPr>
    </w:p>
    <w:p>
      <w:pPr>
        <w:jc w:val="right"/>
        <w:ind w:right="2979"/>
        <w:spacing w:after="0"/>
        <w:rPr>
          <w:sz w:val="20"/>
          <w:szCs w:val="20"/>
          <w:color w:val="auto"/>
        </w:rPr>
      </w:pPr>
      <w:r>
        <w:rPr>
          <w:rFonts w:ascii="Arial" w:cs="Arial" w:eastAsia="Arial" w:hAnsi="Arial"/>
          <w:sz w:val="18"/>
          <w:szCs w:val="18"/>
          <w:color w:val="auto"/>
        </w:rPr>
        <w:t>CONVEYED PRICING INFORMATION</w:t>
      </w:r>
    </w:p>
    <w:p>
      <w:pPr>
        <w:spacing w:after="0" w:line="22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 offering price: $20.50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Number of Shares offered by the Selling Shareholder: 3,132,481</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8" w:name="page49"/>
    <w:bookmarkEnd w:id="48"/>
    <w:p>
      <w:pPr>
        <w:jc w:val="center"/>
        <w:ind w:right="-1200"/>
        <w:spacing w:after="0"/>
        <w:rPr>
          <w:sz w:val="20"/>
          <w:szCs w:val="20"/>
          <w:color w:val="auto"/>
        </w:rPr>
      </w:pPr>
      <w:r>
        <w:rPr>
          <w:rFonts w:ascii="Arial" w:cs="Arial" w:eastAsia="Arial" w:hAnsi="Arial"/>
          <w:sz w:val="18"/>
          <w:szCs w:val="18"/>
          <w:b w:val="1"/>
          <w:bCs w:val="1"/>
          <w:color w:val="auto"/>
        </w:rPr>
        <w:t>SCHEDULE V</w:t>
      </w:r>
    </w:p>
    <w:p>
      <w:pPr>
        <w:spacing w:after="0" w:line="229" w:lineRule="exact"/>
        <w:rPr>
          <w:sz w:val="20"/>
          <w:szCs w:val="20"/>
          <w:color w:val="auto"/>
        </w:rPr>
      </w:pPr>
    </w:p>
    <w:p>
      <w:pPr>
        <w:jc w:val="right"/>
        <w:ind w:right="1699"/>
        <w:spacing w:after="0"/>
        <w:rPr>
          <w:sz w:val="20"/>
          <w:szCs w:val="20"/>
          <w:color w:val="auto"/>
        </w:rPr>
      </w:pPr>
      <w:r>
        <w:rPr>
          <w:rFonts w:ascii="Arial" w:cs="Arial" w:eastAsia="Arial" w:hAnsi="Arial"/>
          <w:sz w:val="18"/>
          <w:szCs w:val="18"/>
          <w:color w:val="auto"/>
        </w:rPr>
        <w:t>ISSUER FREE WRITING PROSPECTUSES – ROAD SHOW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49" w:name="page50"/>
    <w:bookmarkEnd w:id="49"/>
    <w:p>
      <w:pPr>
        <w:jc w:val="center"/>
        <w:ind w:right="-1200"/>
        <w:spacing w:after="0"/>
        <w:rPr>
          <w:sz w:val="20"/>
          <w:szCs w:val="20"/>
          <w:color w:val="auto"/>
        </w:rPr>
      </w:pPr>
      <w:r>
        <w:rPr>
          <w:rFonts w:ascii="Arial" w:cs="Arial" w:eastAsia="Arial" w:hAnsi="Arial"/>
          <w:sz w:val="18"/>
          <w:szCs w:val="18"/>
          <w:b w:val="1"/>
          <w:bCs w:val="1"/>
          <w:color w:val="auto"/>
        </w:rPr>
        <w:t>SCHEDULE VI</w:t>
      </w:r>
    </w:p>
    <w:p>
      <w:pPr>
        <w:spacing w:after="0" w:line="229"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ISSUER FREE WRITING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color w:val="auto"/>
        </w:rPr>
        <w:t>Underwriters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providing for the purchase by the Underwriters of ordinary shares (the “</w:t>
      </w:r>
      <w:r>
        <w:rPr>
          <w:rFonts w:ascii="Arial" w:cs="Arial" w:eastAsia="Arial" w:hAnsi="Arial"/>
          <w:sz w:val="18"/>
          <w:szCs w:val="18"/>
          <w:b w:val="1"/>
          <w:bCs w:val="1"/>
          <w:color w:val="auto"/>
        </w:rPr>
        <w:t>Shares</w:t>
      </w:r>
      <w:r>
        <w:rPr>
          <w:rFonts w:ascii="Arial" w:cs="Arial" w:eastAsia="Arial" w:hAnsi="Arial"/>
          <w:sz w:val="18"/>
          <w:szCs w:val="18"/>
          <w:color w:val="auto"/>
        </w:rPr>
        <w:t>”), par value NIS 0.01 per share (the “</w:t>
      </w:r>
      <w:r>
        <w:rPr>
          <w:rFonts w:ascii="Arial" w:cs="Arial" w:eastAsia="Arial" w:hAnsi="Arial"/>
          <w:sz w:val="18"/>
          <w:szCs w:val="18"/>
          <w:b w:val="1"/>
          <w:b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of Kornit Digital Ltd., a company incorporated under the laws of the Stale of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that the Underwriters propose to reoffer</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Barclays Capital Inc. and Citigroup Global Markets Inc., on behalf of the Underwriters or except as contemplated by the Underwriting Agreement, the undersigned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 (“</w:t>
      </w:r>
      <w:r>
        <w:rPr>
          <w:rFonts w:ascii="Arial" w:cs="Arial" w:eastAsia="Arial" w:hAnsi="Arial"/>
          <w:sz w:val="16"/>
          <w:szCs w:val="16"/>
          <w:b w:val="1"/>
          <w:bCs w:val="1"/>
          <w:color w:val="auto"/>
        </w:rPr>
        <w:t>Lock-Up Securities</w:t>
      </w:r>
      <w:r>
        <w:rPr>
          <w:rFonts w:ascii="Arial" w:cs="Arial" w:eastAsia="Arial" w:hAnsi="Arial"/>
          <w:sz w:val="16"/>
          <w:szCs w:val="16"/>
          <w:color w:val="auto"/>
        </w:rPr>
        <w:t>”), (2) enter into any swap or other derivatives transaction that transfers to another, in whole or in part, any of the economic benefits or risks of ownership of Lock-Up Securities, whether any such transaction described in clause (1) or (2) above is to be settled by delivery of Ordinary Shares or other securities, in cash or otherwise, (3) make any demand for or exercise any right or cause to be filed a registration statement, including any amendments thereto, with respect to the registration of any Lock-</w:t>
      </w:r>
    </w:p>
    <w:p>
      <w:pPr>
        <w:spacing w:after="0" w:line="6"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Up Securities, or (4) publicly disclose the intention to do any of the foregoing for a period commencing on the date hereof and ending on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the Prospectus relating to the Offering (such 30-day period, the “</w:t>
      </w:r>
      <w:r>
        <w:rPr>
          <w:rFonts w:ascii="Arial" w:cs="Arial" w:eastAsia="Arial" w:hAnsi="Arial"/>
          <w:sz w:val="18"/>
          <w:szCs w:val="18"/>
          <w:b w:val="1"/>
          <w:bCs w:val="1"/>
          <w:color w:val="auto"/>
        </w:rPr>
        <w:t>Lock-Up Period</w:t>
      </w:r>
      <w:r>
        <w:rPr>
          <w:rFonts w:ascii="Arial" w:cs="Arial" w:eastAsia="Arial" w:hAnsi="Arial"/>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The foregoing paragraph shall not apply to:</w:t>
      </w:r>
    </w:p>
    <w:p>
      <w:pPr>
        <w:spacing w:after="0" w:line="225" w:lineRule="exact"/>
        <w:rPr>
          <w:sz w:val="20"/>
          <w:szCs w:val="20"/>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transactions relating to Ordinary Shares or other securities acquired in the open market after the completion of the Offering,</w:t>
      </w:r>
    </w:p>
    <w:p>
      <w:pPr>
        <w:spacing w:after="0" w:line="221" w:lineRule="exact"/>
        <w:rPr>
          <w:rFonts w:ascii="Arial" w:cs="Arial" w:eastAsia="Arial" w:hAnsi="Arial"/>
          <w:sz w:val="18"/>
          <w:szCs w:val="18"/>
          <w:color w:val="auto"/>
        </w:rPr>
      </w:pPr>
    </w:p>
    <w:p>
      <w:pPr>
        <w:ind w:left="920" w:hanging="264"/>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bona fide gifts (of “</w:t>
      </w:r>
      <w:r>
        <w:rPr>
          <w:rFonts w:ascii="Arial" w:cs="Arial" w:eastAsia="Arial" w:hAnsi="Arial"/>
          <w:sz w:val="18"/>
          <w:szCs w:val="18"/>
          <w:b w:val="1"/>
          <w:bCs w:val="1"/>
          <w:color w:val="auto"/>
        </w:rPr>
        <w:t>Lock-Up Securities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20" w:firstLine="656"/>
        <w:spacing w:after="0" w:line="259" w:lineRule="auto"/>
        <w:tabs>
          <w:tab w:leader="none" w:pos="90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of Lock-Up Securities that are made exclusively between and among the undersigned or members of the undersigned’s family or any trust, or similar entity, controlled by such family member or members, for the direct or indirect benefit of the undersigned or the family member or members of the undersigned, or affiliates of the undersigned, or to any investment fund or other entity controlled or managed by, or under the common control or management with, the undersigned,</w:t>
      </w:r>
    </w:p>
    <w:p>
      <w:pPr>
        <w:spacing w:after="0" w:line="186" w:lineRule="exact"/>
        <w:rPr>
          <w:rFonts w:ascii="Arial" w:cs="Arial" w:eastAsia="Arial" w:hAnsi="Arial"/>
          <w:sz w:val="18"/>
          <w:szCs w:val="18"/>
          <w:color w:val="auto"/>
        </w:rPr>
      </w:pPr>
    </w:p>
    <w:p>
      <w:pPr>
        <w:ind w:firstLine="656"/>
        <w:spacing w:after="0" w:line="277" w:lineRule="auto"/>
        <w:tabs>
          <w:tab w:leader="none" w:pos="9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of Lock-Up Securities to the undersigned’s limited or general partners (if a partnership), members (if a limited liability company), beneficiaries (if a trust) or shareholders (if a corporation),</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 of Lock-Up Securities by will or by intestacy,</w:t>
      </w:r>
    </w:p>
    <w:p>
      <w:pPr>
        <w:spacing w:after="0" w:line="225" w:lineRule="exact"/>
        <w:rPr>
          <w:rFonts w:ascii="Arial" w:cs="Arial" w:eastAsia="Arial" w:hAnsi="Arial"/>
          <w:sz w:val="18"/>
          <w:szCs w:val="18"/>
          <w:color w:val="auto"/>
        </w:rPr>
      </w:pPr>
    </w:p>
    <w:p>
      <w:pPr>
        <w:ind w:firstLine="656"/>
        <w:spacing w:after="0" w:line="308" w:lineRule="auto"/>
        <w:tabs>
          <w:tab w:leader="none" w:pos="901"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cash exercise of warrants or the exercise of stock options granted pursuant to the Company’s stock option/incentive plans or otherwise outstanding on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restrictions shall apply to Ordinary Shares issued upon such exercise or conversion,</w:t>
      </w:r>
    </w:p>
    <w:p>
      <w:pPr>
        <w:spacing w:after="0" w:line="142" w:lineRule="exact"/>
        <w:rPr>
          <w:rFonts w:ascii="Arial" w:cs="Arial" w:eastAsia="Arial" w:hAnsi="Arial"/>
          <w:sz w:val="17"/>
          <w:szCs w:val="17"/>
          <w:color w:val="auto"/>
        </w:rPr>
      </w:pPr>
    </w:p>
    <w:p>
      <w:pPr>
        <w:jc w:val="both"/>
        <w:ind w:firstLine="656"/>
        <w:spacing w:after="0" w:line="256" w:lineRule="auto"/>
        <w:tabs>
          <w:tab w:leader="none" w:pos="9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establishment of any contract, instruction or plan that satisfies all of the requirements of Rule 10b5-1 (a “</w:t>
      </w:r>
      <w:r>
        <w:rPr>
          <w:rFonts w:ascii="Arial" w:cs="Arial" w:eastAsia="Arial" w:hAnsi="Arial"/>
          <w:sz w:val="18"/>
          <w:szCs w:val="18"/>
          <w:b w:val="1"/>
          <w:bCs w:val="1"/>
          <w:color w:val="auto"/>
        </w:rPr>
        <w:t>Rule 10b5-l Plan</w:t>
      </w:r>
      <w:r>
        <w:rPr>
          <w:rFonts w:ascii="Arial" w:cs="Arial" w:eastAsia="Arial" w:hAnsi="Arial"/>
          <w:sz w:val="18"/>
          <w:szCs w:val="18"/>
          <w:color w:val="auto"/>
        </w:rPr>
        <w:t>”)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sales of Ordinary Shares or securities convertible into, or exchangeable or exercisable for, Ordinary Shares, shall be made pursuant to a Rule 10b5-1 Plan prior to the expiration of the Lock-Up Period (as the same may be extended pursuant to the provisions 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is not required to report the establishment of such Rule 10b5-1 Plan in any public report or filing with the Commission under the Exchange Act during the Lock-Up Period and does not otherwise voluntarily effect any such public filing or report regarding such Rule 10b5-1 Plan,</w:t>
      </w:r>
    </w:p>
    <w:p>
      <w:pPr>
        <w:spacing w:after="0" w:line="191" w:lineRule="exact"/>
        <w:rPr>
          <w:rFonts w:ascii="Arial" w:cs="Arial" w:eastAsia="Arial" w:hAnsi="Arial"/>
          <w:sz w:val="18"/>
          <w:szCs w:val="18"/>
          <w:color w:val="auto"/>
        </w:rPr>
      </w:pPr>
    </w:p>
    <w:p>
      <w:pPr>
        <w:jc w:val="both"/>
        <w:ind w:firstLine="656"/>
        <w:spacing w:after="0" w:line="259" w:lineRule="auto"/>
        <w:tabs>
          <w:tab w:leader="none" w:pos="9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demands or requests for, exercises of any right with respect to, or any action in preparation of, the registration by the Company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the undersigned’s Lock-Up Securities, provided that no transfer of the undersigned’s Lock-Up Securities registered pursuant to the exercise of any such right and no registration statement shall be filed under the Securities Act with respect to any of the undersigned’s Lock-Up Securities during the Lock-Up Period,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8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dispositions of Lock-Up Securities pursuant to a bona fide third-party tender offer, merger, consolidation or other similar transaction made to all holders of the Company’s Ordinary Shares involving a change of control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such tender offer, merger, consolidation or other such transaction is not completed, the Lock-Up Securities held by the undersigned shall remain subject to the provisions of this Lock-Up Letter Agreement,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it shall be a condition to any transfer pursuant to clauses (b) through (e) that the transferee or donee agrees to be bound by the terms of this Lock Up Letter Agreement (including, without limitation, the restrictions set forth in the preceding sentence) to the same extent as if the transferee/donee were a party hereto, and (ii) it shall be a condition to any transfer pursuant to clauses (b) through (e) that the undersigned notifies Barclays Capital Inc. and Citigroup Global Markets Inc. at least two business days prior to the proposed transfer or disposition;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the case of clauses (a) through (d) and (f) through (h), each party (donor, donee, transferor or transferee) shall not be required by law (including without limitation the disclosure requirements of the Securities Act and the Exchange Act) to make, and shall agree to not voluntarily make, any filing or public announcement of the transfer or disposition prior to the expiration of the Lock-Up Period referred to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understood that the undersigned will be released from its obligations under this Lock-Up Letter Agreement if (i) the Company notifies the Underwriters that it does not intend to proceed with the Offering, (ii) the Underwriting Agreement does not become effective or (iii) the Underwriting Agreement (other than the provisions thereof which survive termination) shall terminate or be terminated prior to payment for and delivery of the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understands that the Company and the Underwriters will proceed with the Offering in reliance on this Lock-Up Letter Agreement.</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any Selling Shareholder named therein and the Underwriters.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and additional documents reasonably necessary in connection with the enforcement hereof. Any obligations of the undersigned shall be binding upon the heirs, personal representatives, successors and assigns of the undersigned.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Lock-Up Letter Agreement and any claim, controversy or dispute arising under or related to this Lock-Up Letter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Launch of Secondary Public Offering of Ordinary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ROSH HA’AYIN, Israel, Dec. 03, 2018 (GLOBE NEWSWIRE) – Kornit Digital Ltd. (NASDAQ: KRNT), a company that develops, designs and markets innovative digital printing solutions for the global printed textile industry, announced today the launch of an underwritten secondary public offering of 3,132,481 ordinary shares by Fortissimo Capital Fund II (Israel) L.P. (“Fortissimo”). The company will not receive any of the proceeds from the sale of the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Barclays and Citigroup are acting as joint bookrunners for this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offering will be made only by means of a prospectus supplement and the accompanying prospectus. When available, a copy of the preliminary prospectus supplement relating to the offering and accompanying prospectus may be obtained from Barclays Capital Inc., c/o Broadridge Financial Solutions, 1155 Long Island Avenue, Edgewood, NY 11717, telephone: (888) 603-5847, or by emailing barclaysprospectus@broadridge.com; or Citigroup c/o Broadridge Financial Solutions, 1155 Long Island Avenue, Edgewood, NY 11717, telephone: (800) 831-9146.</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U.S. Securities and Exchange Commission.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ectPr>
          <w:pgSz w:w="11900" w:h="16838" w:orient="portrait"/>
          <w:cols w:equalWidth="0" w:num="1">
            <w:col w:w="11420"/>
          </w:cols>
          <w:pgMar w:left="240" w:top="11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Announces Pricing of Secondary Public Offering of Ordinary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ROSH HA’AYIN, Israel, Dec. 04, 2018 (GLOBE NEWSWIRE) – Kornit Digital Ltd. (NASDAQ: KRNT), a company that develops, designs and markets innovative digital printing solutions for the global printed textile industry, announced today the pricing of an underwritten secondary public offering of 3,132,481 ordinary shares by Fortissimo Capital Fund II (Israel) L.P. (“Fortissimo”) at a price to the public of $20.50 per share. The company will not receive any of the proceeds from the sale of the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Barclays and Citigroup are acting as joint bookrunners for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December 7, 2018, subject to customary closing conditions.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will be made only by means of a prospectus supplement and the accompanying prospectus. A copy of the preliminary prospectus supplement relating to the offering and accompanying prospectus may be obtained from Barclays Capital Inc., c/o Broadridge Financial Solutions, 1155 Long Island Avenue, Edgewood, NY 11717, telephone: (888) 603-5847, or by emailing barclaysprospectus@broadridge.com; or Citigroup c/o Broadridge Financial Solutions, 1155 Long Island Avenue, Edgewood, NY 11717, telephone: (800) 831-9146.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these securities is being made under an effective shelf registration statement on file with the U.S. Securities and Exchange Commission. The registration statement can be accessed through the SEC’s website at www.sec.gov. This press release shall not constitute an offer to sell or the solicitation of an offer to buy nor may there be any sale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682-8311 Michael.Callahan@icrinc.com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
    <w:nsid w:val="8138641"/>
    <w:multiLevelType w:val="hybridMultilevel"/>
    <w:lvl w:ilvl="0">
      <w:lvlJc w:val="left"/>
      <w:lvlText w:val="(%1)"/>
      <w:numFmt w:val="lowerRoman"/>
      <w:start w:val="4"/>
    </w:lvl>
  </w:abstractNum>
  <w:abstractNum w:abstractNumId="2">
    <w:nsid w:val="1E7FF521"/>
    <w:multiLevelType w:val="hybridMultilevel"/>
    <w:lvl w:ilvl="0">
      <w:lvlJc w:val="left"/>
      <w:lvlText w:val="(%1)"/>
      <w:numFmt w:val="lowerLetter"/>
      <w:start w:val="2"/>
    </w:lvl>
  </w:abstractNum>
  <w:abstractNum w:abstractNumId="3">
    <w:nsid w:val="7C3DBD3D"/>
    <w:multiLevelType w:val="hybridMultilevel"/>
    <w:lvl w:ilvl="0">
      <w:lvlJc w:val="left"/>
      <w:lvlText w:val="(%1)"/>
      <w:numFmt w:val="lowerLetter"/>
      <w:start w:val="8"/>
    </w:lvl>
  </w:abstractNum>
  <w:abstractNum w:abstractNumId="4">
    <w:nsid w:val="737B8DDC"/>
    <w:multiLevelType w:val="hybridMultilevel"/>
    <w:lvl w:ilvl="0">
      <w:lvlJc w:val="left"/>
      <w:lvlText w:val="(%1)"/>
      <w:numFmt w:val="lowerLetter"/>
      <w:start w:val="13"/>
    </w:lvl>
  </w:abstractNum>
  <w:abstractNum w:abstractNumId="5">
    <w:nsid w:val="6CEAF087"/>
    <w:multiLevelType w:val="hybridMultilevel"/>
    <w:lvl w:ilvl="0">
      <w:lvlJc w:val="left"/>
      <w:lvlText w:val="(%1)"/>
      <w:numFmt w:val="lowerLetter"/>
      <w:start w:val="16"/>
    </w:lvl>
  </w:abstractNum>
  <w:abstractNum w:abstractNumId="6">
    <w:nsid w:val="22221A70"/>
    <w:multiLevelType w:val="hybridMultilevel"/>
    <w:lvl w:ilvl="0">
      <w:lvlJc w:val="left"/>
      <w:lvlText w:val="(%1)"/>
      <w:numFmt w:val="lowerLetter"/>
      <w:start w:val="20"/>
    </w:lvl>
  </w:abstractNum>
  <w:abstractNum w:abstractNumId="7">
    <w:nsid w:val="4516DDE9"/>
    <w:multiLevelType w:val="hybridMultilevel"/>
    <w:lvl w:ilvl="0">
      <w:lvlJc w:val="left"/>
      <w:lvlText w:val="(%1)"/>
      <w:numFmt w:val="lowerLetter"/>
      <w:start w:val="24"/>
    </w:lvl>
  </w:abstractNum>
  <w:abstractNum w:abstractNumId="8">
    <w:nsid w:val="3006C83E"/>
    <w:multiLevelType w:val="hybridMultilevel"/>
    <w:lvl w:ilvl="0">
      <w:lvlJc w:val="left"/>
      <w:lvlText w:val="(%1)"/>
      <w:numFmt w:val="lowerLetter"/>
      <w:start w:val="27"/>
    </w:lvl>
  </w:abstractNum>
  <w:abstractNum w:abstractNumId="9">
    <w:nsid w:val="614FD4A1"/>
    <w:multiLevelType w:val="hybridMultilevel"/>
    <w:lvl w:ilvl="0">
      <w:lvlJc w:val="left"/>
      <w:lvlText w:val="(%1)"/>
      <w:numFmt w:val="lowerLetter"/>
      <w:start w:val="28"/>
    </w:lvl>
  </w:abstractNum>
  <w:abstractNum w:abstractNumId="10">
    <w:nsid w:val="419AC241"/>
    <w:multiLevelType w:val="hybridMultilevel"/>
    <w:lvl w:ilvl="0">
      <w:lvlJc w:val="left"/>
      <w:lvlText w:val="(%1)"/>
      <w:numFmt w:val="lowerLetter"/>
      <w:start w:val="31"/>
    </w:lvl>
  </w:abstractNum>
  <w:abstractNum w:abstractNumId="11">
    <w:nsid w:val="5577F8E1"/>
    <w:multiLevelType w:val="hybridMultilevel"/>
    <w:lvl w:ilvl="0">
      <w:lvlJc w:val="left"/>
      <w:lvlText w:val="(%1)"/>
      <w:numFmt w:val="lowerLetter"/>
      <w:start w:val="35"/>
    </w:lvl>
  </w:abstractNum>
  <w:abstractNum w:abstractNumId="12">
    <w:nsid w:val="440BADFC"/>
    <w:multiLevelType w:val="hybridMultilevel"/>
    <w:lvl w:ilvl="0">
      <w:lvlJc w:val="left"/>
      <w:lvlText w:val="(%1)"/>
      <w:numFmt w:val="lowerLetter"/>
      <w:start w:val="39"/>
    </w:lvl>
  </w:abstractNum>
  <w:abstractNum w:abstractNumId="13">
    <w:nsid w:val="5072367"/>
    <w:multiLevelType w:val="hybridMultilevel"/>
    <w:lvl w:ilvl="0">
      <w:lvlJc w:val="left"/>
      <w:lvlText w:val="(%1)"/>
      <w:numFmt w:val="lowerLetter"/>
      <w:start w:val="42"/>
    </w:lvl>
  </w:abstractNum>
  <w:abstractNum w:abstractNumId="14">
    <w:nsid w:val="3804823E"/>
    <w:multiLevelType w:val="hybridMultilevel"/>
    <w:lvl w:ilvl="0">
      <w:lvlJc w:val="left"/>
      <w:lvlText w:val="(%1)"/>
      <w:numFmt w:val="lowerLetter"/>
      <w:start w:val="48"/>
    </w:lvl>
  </w:abstractNum>
  <w:abstractNum w:abstractNumId="15">
    <w:nsid w:val="77465F01"/>
    <w:multiLevelType w:val="hybridMultilevel"/>
    <w:lvl w:ilvl="0">
      <w:lvlJc w:val="left"/>
      <w:lvlText w:val="%1"/>
      <w:numFmt w:val="lowerRoman"/>
      <w:start w:val="1"/>
    </w:lvl>
    <w:lvl w:ilvl="1">
      <w:lvlJc w:val="left"/>
      <w:lvlText w:val="(%2)"/>
      <w:numFmt w:val="lowerLetter"/>
      <w:start w:val="53"/>
    </w:lvl>
  </w:abstractNum>
  <w:abstractNum w:abstractNumId="16">
    <w:nsid w:val="7724C67E"/>
    <w:multiLevelType w:val="hybridMultilevel"/>
    <w:lvl w:ilvl="0">
      <w:lvlJc w:val="left"/>
      <w:lvlText w:val="(%1)"/>
      <w:numFmt w:val="lowerRoman"/>
      <w:start w:val="2"/>
    </w:lvl>
    <w:lvl w:ilvl="1">
      <w:lvlJc w:val="left"/>
      <w:lvlText w:val="%2"/>
      <w:numFmt w:val="lowerLetter"/>
      <w:start w:val="1"/>
    </w:lvl>
  </w:abstractNum>
  <w:abstractNum w:abstractNumId="17">
    <w:nsid w:val="5C482A97"/>
    <w:multiLevelType w:val="hybridMultilevel"/>
    <w:lvl w:ilvl="0">
      <w:lvlJc w:val="left"/>
      <w:lvlText w:val="(%1)"/>
      <w:numFmt w:val="lowerLetter"/>
      <w:start w:val="54"/>
    </w:lvl>
  </w:abstractNum>
  <w:abstractNum w:abstractNumId="18">
    <w:nsid w:val="2463B9EA"/>
    <w:multiLevelType w:val="hybridMultilevel"/>
    <w:lvl w:ilvl="0">
      <w:lvlJc w:val="left"/>
      <w:lvlText w:val="(%1)"/>
      <w:numFmt w:val="lowerLetter"/>
      <w:start w:val="58"/>
    </w:lvl>
  </w:abstractNum>
  <w:abstractNum w:abstractNumId="19">
    <w:nsid w:val="5E884ADC"/>
    <w:multiLevelType w:val="hybridMultilevel"/>
    <w:lvl w:ilvl="0">
      <w:lvlJc w:val="left"/>
      <w:lvlText w:val="%1."/>
      <w:numFmt w:val="decimal"/>
      <w:start w:val="2"/>
    </w:lvl>
    <w:lvl w:ilvl="1">
      <w:lvlJc w:val="left"/>
      <w:lvlText w:val="(%2)"/>
      <w:numFmt w:val="lowerLetter"/>
      <w:start w:val="1"/>
    </w:lvl>
  </w:abstractNum>
  <w:abstractNum w:abstractNumId="20">
    <w:nsid w:val="51EAD36B"/>
    <w:multiLevelType w:val="hybridMultilevel"/>
    <w:lvl w:ilvl="0">
      <w:lvlJc w:val="left"/>
      <w:lvlText w:val="%1"/>
      <w:numFmt w:val="lowerLetter"/>
      <w:start w:val="1"/>
    </w:lvl>
    <w:lvl w:ilvl="1">
      <w:lvlJc w:val="left"/>
      <w:lvlText w:val="(%2)"/>
      <w:numFmt w:val="lowerLetter"/>
      <w:start w:val="3"/>
    </w:lvl>
  </w:abstractNum>
  <w:abstractNum w:abstractNumId="21">
    <w:nsid w:val="2D517796"/>
    <w:multiLevelType w:val="hybridMultilevel"/>
    <w:lvl w:ilvl="0">
      <w:lvlJc w:val="left"/>
      <w:lvlText w:val="(%1)"/>
      <w:numFmt w:val="lowerLetter"/>
      <w:start w:val="35"/>
    </w:lvl>
    <w:lvl w:ilvl="1">
      <w:lvlJc w:val="left"/>
      <w:lvlText w:val="(%2)"/>
      <w:numFmt w:val="lowerLetter"/>
      <w:start w:val="5"/>
    </w:lvl>
  </w:abstractNum>
  <w:abstractNum w:abstractNumId="22">
    <w:nsid w:val="580BD78F"/>
    <w:multiLevelType w:val="hybridMultilevel"/>
    <w:lvl w:ilvl="0">
      <w:lvlJc w:val="left"/>
      <w:lvlText w:val="(%1)"/>
      <w:numFmt w:val="lowerLetter"/>
      <w:start w:val="10"/>
    </w:lvl>
  </w:abstractNum>
  <w:abstractNum w:abstractNumId="23">
    <w:nsid w:val="153EA438"/>
    <w:multiLevelType w:val="hybridMultilevel"/>
    <w:lvl w:ilvl="0">
      <w:lvlJc w:val="left"/>
      <w:lvlText w:val="(%1)"/>
      <w:numFmt w:val="lowerLetter"/>
      <w:start w:val="14"/>
    </w:lvl>
  </w:abstractNum>
  <w:abstractNum w:abstractNumId="24">
    <w:nsid w:val="3855585C"/>
    <w:multiLevelType w:val="hybridMultilevel"/>
    <w:lvl w:ilvl="0">
      <w:lvlJc w:val="left"/>
      <w:lvlText w:val="%1."/>
      <w:numFmt w:val="decimal"/>
      <w:start w:val="3"/>
    </w:lvl>
  </w:abstractNum>
  <w:abstractNum w:abstractNumId="25">
    <w:nsid w:val="70A64E2A"/>
    <w:multiLevelType w:val="hybridMultilevel"/>
    <w:lvl w:ilvl="0">
      <w:lvlJc w:val="left"/>
      <w:lvlText w:val="%1."/>
      <w:numFmt w:val="decimal"/>
      <w:start w:val="5"/>
    </w:lvl>
    <w:lvl w:ilvl="1">
      <w:lvlJc w:val="left"/>
      <w:lvlText w:val="(%2)"/>
      <w:numFmt w:val="lowerRoman"/>
      <w:start w:val="1"/>
    </w:lvl>
  </w:abstractNum>
  <w:abstractNum w:abstractNumId="26">
    <w:nsid w:val="6A2342EC"/>
    <w:multiLevelType w:val="hybridMultilevel"/>
    <w:lvl w:ilvl="0">
      <w:lvlJc w:val="left"/>
      <w:lvlText w:val="(%1)"/>
      <w:numFmt w:val="lowerRoman"/>
      <w:start w:val="2"/>
    </w:lvl>
  </w:abstractNum>
  <w:abstractNum w:abstractNumId="27">
    <w:nsid w:val="2A487CB0"/>
    <w:multiLevelType w:val="hybridMultilevel"/>
    <w:lvl w:ilvl="0">
      <w:lvlJc w:val="left"/>
      <w:lvlText w:val="(%1)"/>
      <w:numFmt w:val="lowerRoman"/>
      <w:start w:val="6"/>
    </w:lvl>
  </w:abstractNum>
  <w:abstractNum w:abstractNumId="28">
    <w:nsid w:val="1D4ED43B"/>
    <w:multiLevelType w:val="hybridMultilevel"/>
    <w:lvl w:ilvl="0">
      <w:lvlJc w:val="left"/>
      <w:lvlText w:val="%1"/>
      <w:numFmt w:val="upperLetter"/>
      <w:start w:val="1"/>
    </w:lvl>
    <w:lvl w:ilvl="1">
      <w:lvlJc w:val="left"/>
      <w:lvlText w:val="(%2)"/>
      <w:numFmt w:val="lowerRoman"/>
      <w:start w:val="10"/>
    </w:lvl>
  </w:abstractNum>
  <w:abstractNum w:abstractNumId="29">
    <w:nsid w:val="725A06FB"/>
    <w:multiLevelType w:val="hybridMultilevel"/>
    <w:lvl w:ilvl="0">
      <w:lvlJc w:val="left"/>
      <w:lvlText w:val="(%1)"/>
      <w:numFmt w:val="upperLetter"/>
      <w:start w:val="2"/>
    </w:lvl>
    <w:lvl w:ilvl="1">
      <w:lvlJc w:val="left"/>
      <w:lvlText w:val="(%2)"/>
      <w:numFmt w:val="lowerRoman"/>
      <w:start w:val="11"/>
    </w:lvl>
  </w:abstractNum>
  <w:abstractNum w:abstractNumId="30">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31">
    <w:nsid w:val="57E4CCA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
    <w:nsid w:val="7A6D8D3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3">
    <w:nsid w:val="4B588F54"/>
    <w:multiLevelType w:val="hybridMultilevel"/>
    <w:lvl w:ilvl="0">
      <w:lvlJc w:val="left"/>
      <w:lvlText w:val="%1"/>
      <w:numFmt w:val="lowerLetter"/>
      <w:start w:val="1"/>
    </w:lvl>
    <w:lvl w:ilvl="1">
      <w:lvlJc w:val="left"/>
      <w:lvlText w:val="(%2)"/>
      <w:numFmt w:val="lowerLetter"/>
      <w:start w:val="3"/>
    </w:lvl>
  </w:abstractNum>
  <w:abstractNum w:abstractNumId="34">
    <w:nsid w:val="542289EC"/>
    <w:multiLevelType w:val="hybridMultilevel"/>
    <w:lvl w:ilvl="0">
      <w:lvlJc w:val="left"/>
      <w:lvlText w:val="(%1)"/>
      <w:numFmt w:val="lowerLetter"/>
      <w:start w:val="24"/>
    </w:lvl>
    <w:lvl w:ilvl="1">
      <w:lvlJc w:val="left"/>
      <w:lvlText w:val="(%2)"/>
      <w:numFmt w:val="lowerLetter"/>
      <w:start w:val="4"/>
    </w:lvl>
  </w:abstractNum>
  <w:abstractNum w:abstractNumId="35">
    <w:nsid w:val="6DE91B18"/>
    <w:multiLevelType w:val="hybridMultilevel"/>
    <w:lvl w:ilvl="0">
      <w:lvlJc w:val="left"/>
      <w:lvlText w:val="%1."/>
      <w:numFmt w:val="decimal"/>
      <w:start w:val="8"/>
    </w:lvl>
  </w:abstractNum>
  <w:abstractNum w:abstractNumId="36">
    <w:nsid w:val="38437FDB"/>
    <w:multiLevelType w:val="hybridMultilevel"/>
    <w:lvl w:ilvl="0">
      <w:lvlJc w:val="left"/>
      <w:lvlText w:val="%1."/>
      <w:numFmt w:val="decimal"/>
      <w:start w:val="9"/>
    </w:lvl>
    <w:lvl w:ilvl="1">
      <w:lvlJc w:val="left"/>
      <w:lvlText w:val="(%2)"/>
      <w:numFmt w:val="lowerLetter"/>
      <w:start w:val="1"/>
    </w:lvl>
  </w:abstractNum>
  <w:abstractNum w:abstractNumId="37">
    <w:nsid w:val="7644A45C"/>
    <w:multiLevelType w:val="hybridMultilevel"/>
    <w:lvl w:ilvl="0">
      <w:lvlJc w:val="left"/>
      <w:lvlText w:val="&amp;"/>
      <w:numFmt w:val="bullet"/>
      <w:start w:val="1"/>
    </w:lvl>
    <w:lvl w:ilvl="1">
      <w:lvlJc w:val="left"/>
      <w:lvlText w:val="(%2)"/>
      <w:numFmt w:val="lowerLetter"/>
      <w:start w:val="6"/>
    </w:lvl>
  </w:abstractNum>
  <w:abstractNum w:abstractNumId="38">
    <w:nsid w:val="32FFF902"/>
    <w:multiLevelType w:val="hybridMultilevel"/>
    <w:lvl w:ilvl="0">
      <w:lvlJc w:val="left"/>
      <w:lvlText w:val="&amp;"/>
      <w:numFmt w:val="bullet"/>
      <w:start w:val="1"/>
    </w:lvl>
    <w:lvl w:ilvl="1">
      <w:lvlJc w:val="left"/>
      <w:lvlText w:val="(%2)"/>
      <w:numFmt w:val="lowerLetter"/>
      <w:start w:val="10"/>
    </w:lvl>
  </w:abstractNum>
  <w:abstractNum w:abstractNumId="39">
    <w:nsid w:val="684A481A"/>
    <w:multiLevelType w:val="hybridMultilevel"/>
    <w:lvl w:ilvl="0">
      <w:lvlJc w:val="left"/>
      <w:lvlText w:val="(%1)"/>
      <w:numFmt w:val="lowerLetter"/>
      <w:start w:val="11"/>
    </w:lvl>
    <w:lvl w:ilvl="1">
      <w:lvlJc w:val="left"/>
      <w:lvlText w:val="(%2)"/>
      <w:numFmt w:val="lowerRoman"/>
      <w:start w:val="1"/>
    </w:lvl>
  </w:abstractNum>
  <w:abstractNum w:abstractNumId="40">
    <w:nsid w:val="579478FE"/>
    <w:multiLevelType w:val="hybridMultilevel"/>
    <w:lvl w:ilvl="0">
      <w:lvlJc w:val="left"/>
      <w:lvlText w:val="(%1)"/>
      <w:numFmt w:val="lowerLetter"/>
      <w:start w:val="13"/>
    </w:lvl>
  </w:abstractNum>
  <w:abstractNum w:abstractNumId="41">
    <w:nsid w:val="749ABB43"/>
    <w:multiLevelType w:val="hybridMultilevel"/>
    <w:lvl w:ilvl="0">
      <w:lvlJc w:val="left"/>
      <w:lvlText w:val="(%1)"/>
      <w:numFmt w:val="lowerLetter"/>
      <w:start w:val="17"/>
    </w:lvl>
  </w:abstractNum>
  <w:abstractNum w:abstractNumId="42">
    <w:nsid w:val="3DC240FB"/>
    <w:multiLevelType w:val="hybridMultilevel"/>
    <w:lvl w:ilvl="0">
      <w:lvlJc w:val="left"/>
      <w:lvlText w:val="%1."/>
      <w:numFmt w:val="decimal"/>
      <w:start w:val="10"/>
    </w:lvl>
    <w:lvl w:ilvl="1">
      <w:lvlJc w:val="left"/>
      <w:lvlText w:val="(%2)"/>
      <w:numFmt w:val="lowerLetter"/>
      <w:start w:val="1"/>
    </w:lvl>
  </w:abstractNum>
  <w:abstractNum w:abstractNumId="43">
    <w:nsid w:val="1BA026FA"/>
    <w:multiLevelType w:val="hybridMultilevel"/>
    <w:lvl w:ilvl="0">
      <w:lvlJc w:val="left"/>
      <w:lvlText w:val="(%1)"/>
      <w:numFmt w:val="lowerLetter"/>
      <w:start w:val="2"/>
    </w:lvl>
  </w:abstractNum>
  <w:abstractNum w:abstractNumId="44">
    <w:nsid w:val="79A1DEAA"/>
    <w:multiLevelType w:val="hybridMultilevel"/>
    <w:lvl w:ilvl="0">
      <w:lvlJc w:val="left"/>
      <w:lvlText w:val="(%1)"/>
      <w:numFmt w:val="lowerLetter"/>
      <w:start w:val="3"/>
    </w:lvl>
  </w:abstractNum>
  <w:abstractNum w:abstractNumId="45">
    <w:nsid w:val="75C6C33A"/>
    <w:multiLevelType w:val="hybridMultilevel"/>
    <w:lvl w:ilvl="0">
      <w:lvlJc w:val="left"/>
      <w:lvlText w:val="(%1)"/>
      <w:numFmt w:val="lowerLetter"/>
      <w:start w:val="5"/>
    </w:lvl>
  </w:abstractNum>
  <w:abstractNum w:abstractNumId="46">
    <w:nsid w:val="12E685FB"/>
    <w:multiLevelType w:val="hybridMultilevel"/>
    <w:lvl w:ilvl="0">
      <w:lvlJc w:val="left"/>
      <w:lvlText w:val="%1"/>
      <w:numFmt w:val="decimal"/>
      <w:start w:val="1"/>
    </w:lvl>
    <w:lvl w:ilvl="1">
      <w:lvlJc w:val="left"/>
      <w:lvlText w:val="(%2)"/>
      <w:numFmt w:val="lowerLetter"/>
      <w:start w:val="7"/>
    </w:lvl>
  </w:abstractNum>
  <w:abstractNum w:abstractNumId="47">
    <w:nsid w:val="70C6A529"/>
    <w:multiLevelType w:val="hybridMultilevel"/>
    <w:lvl w:ilvl="0">
      <w:lvlJc w:val="left"/>
      <w:lvlText w:val="%1."/>
      <w:numFmt w:val="decimal"/>
      <w:start w:val="11"/>
    </w:lvl>
    <w:lvl w:ilvl="1">
      <w:lvlJc w:val="left"/>
      <w:lvlText w:val="(%2)"/>
      <w:numFmt w:val="lowerLetter"/>
      <w:start w:val="1"/>
    </w:lvl>
  </w:abstractNum>
  <w:abstractNum w:abstractNumId="48">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9">
    <w:nsid w:val="374A3FE6"/>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0">
    <w:nsid w:val="4F4EF005"/>
    <w:multiLevelType w:val="hybridMultilevel"/>
    <w:lvl w:ilvl="0">
      <w:lvlJc w:val="left"/>
      <w:lvlText w:val="(%1)"/>
      <w:numFmt w:val="lowerLetter"/>
      <w:start w:val="2"/>
    </w:lvl>
    <w:lvl w:ilvl="1">
      <w:lvlJc w:val="left"/>
      <w:lvlText w:val="%2."/>
      <w:numFmt w:val="decimal"/>
      <w:start w:val="14"/>
    </w:lvl>
    <w:lvl w:ilvl="2">
      <w:lvlJc w:val="left"/>
      <w:lvlText w:val="%3"/>
      <w:numFmt w:val="lowerLetter"/>
      <w:start w:val="1"/>
    </w:lvl>
  </w:abstractNum>
  <w:abstractNum w:abstractNumId="51">
    <w:nsid w:val="23F9C13C"/>
    <w:multiLevelType w:val="hybridMultilevel"/>
    <w:lvl w:ilvl="0">
      <w:lvlJc w:val="left"/>
      <w:lvlText w:val="%1."/>
      <w:numFmt w:val="decimal"/>
      <w:start w:val="15"/>
    </w:lvl>
    <w:lvl w:ilvl="1">
      <w:lvlJc w:val="left"/>
      <w:lvlText w:val="(%2)"/>
      <w:numFmt w:val="lowerLetter"/>
      <w:start w:val="1"/>
    </w:lvl>
  </w:abstractNum>
  <w:abstractNum w:abstractNumId="52">
    <w:nsid w:val="649BB77C"/>
    <w:multiLevelType w:val="hybridMultilevel"/>
    <w:lvl w:ilvl="0">
      <w:lvlJc w:val="left"/>
      <w:lvlText w:val="%1."/>
      <w:numFmt w:val="decimal"/>
      <w:start w:val="17"/>
    </w:lvl>
  </w:abstractNum>
  <w:abstractNum w:abstractNumId="53">
    <w:nsid w:val="275AC794"/>
    <w:multiLevelType w:val="hybridMultilevel"/>
    <w:lvl w:ilvl="0">
      <w:lvlJc w:val="left"/>
      <w:lvlText w:val="%1."/>
      <w:numFmt w:val="decimal"/>
      <w:start w:val="2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203"/>
    </w:lvl>
  </w:abstractNum>
  <w:abstractNum w:abstractNumId="57">
    <w:nsid w:val="235BA861"/>
    <w:multiLevelType w:val="hybridMultilevel"/>
    <w:lvl w:ilvl="0">
      <w:lvlJc w:val="left"/>
      <w:lvlText w:val="(%1)"/>
      <w:numFmt w:val="decimal"/>
      <w:start w:val="2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2019-12-08T12:34:23Z</dcterms:created>
  <dcterms:modified xsi:type="dcterms:W3CDTF">2019-12-08T12:34:23Z</dcterms:modified>
</cp:coreProperties>
</file>