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5966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96646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Gazit Daniel</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KORNIT DIGITAL LTD., 12 HA'AMAL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Kornit Digital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KRNT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06/09/2026</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836"/>
        <w:spacing w:after="0"/>
        <w:rPr>
          <w:sz w:val="20"/>
          <w:szCs w:val="20"/>
          <w:color w:val="auto"/>
        </w:rPr>
      </w:pPr>
      <w:r>
        <w:rPr>
          <w:rFonts w:ascii="Times New Roman" w:cs="Times New Roman" w:eastAsia="Times New Roman" w:hAnsi="Times New Roman"/>
          <w:sz w:val="17"/>
          <w:szCs w:val="17"/>
          <w:color w:val="0000FF"/>
        </w:rPr>
        <w:t>Chief Product Officer</w:t>
      </w:r>
    </w:p>
    <w:p>
      <w:pPr>
        <w:spacing w:after="0" w:line="318" w:lineRule="exact"/>
        <w:rPr>
          <w:sz w:val="24"/>
          <w:szCs w:val="24"/>
          <w:color w:val="auto"/>
        </w:rPr>
      </w:pPr>
    </w:p>
    <w:p>
      <w:pPr>
        <w:sectPr>
          <w:pgSz w:w="11900" w:h="16838" w:orient="portrait"/>
          <w:cols w:equalWidth="0" w:num="3">
            <w:col w:w="3540" w:space="380"/>
            <w:col w:w="3104" w:space="720"/>
            <w:col w:w="3336"/>
          </w:cols>
          <w:pgMar w:left="460" w:top="216" w:right="359" w:bottom="0" w:gutter="0" w:footer="0" w:header="0"/>
          <w:type w:val="continuous"/>
        </w:sectPr>
      </w:pP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60" w:type="dxa"/>
            <w:vAlign w:val="bottom"/>
            <w:gridSpan w:val="8"/>
          </w:tcPr>
          <w:p>
            <w:pPr>
              <w:jc w:val="right"/>
              <w:ind w:right="138"/>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ROSH-</w:t>
            </w:r>
          </w:p>
        </w:tc>
        <w:tc>
          <w:tcPr>
            <w:tcW w:w="620" w:type="dxa"/>
            <w:vAlign w:val="bottom"/>
          </w:tcPr>
          <w:p>
            <w:pPr>
              <w:spacing w:after="0"/>
              <w:rPr>
                <w:sz w:val="14"/>
                <w:szCs w:val="14"/>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L3</w:t>
            </w:r>
          </w:p>
        </w:tc>
        <w:tc>
          <w:tcPr>
            <w:tcW w:w="980" w:type="dxa"/>
            <w:vAlign w:val="bottom"/>
          </w:tcPr>
          <w:p>
            <w:pPr>
              <w:spacing w:after="0"/>
              <w:rPr>
                <w:sz w:val="14"/>
                <w:szCs w:val="14"/>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4809246</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HA'AYIN</w:t>
            </w: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5"/>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3"/>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06/09/2026</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636</w:t>
            </w:r>
          </w:p>
        </w:tc>
        <w:tc>
          <w:tcPr>
            <w:tcW w:w="66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15.72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1"/>
              </w:rPr>
              <w:t>9,552</w:t>
            </w:r>
            <w:r>
              <w:rPr>
                <w:rFonts w:ascii="Times New Roman" w:cs="Times New Roman" w:eastAsia="Times New Roman" w:hAnsi="Times New Roman"/>
                <w:sz w:val="21"/>
                <w:szCs w:val="21"/>
                <w:color w:val="008000"/>
                <w:w w:val="91"/>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7"/>
              </w:rPr>
              <w:t>Ordinary Shares</w:t>
            </w:r>
            <w:r>
              <w:rPr>
                <w:rFonts w:ascii="Times New Roman" w:cs="Times New Roman" w:eastAsia="Times New Roman" w:hAnsi="Times New Roman"/>
                <w:sz w:val="21"/>
                <w:szCs w:val="21"/>
                <w:color w:val="008000"/>
                <w:w w:val="97"/>
                <w:vertAlign w:val="superscript"/>
              </w:rPr>
              <w:t>(2)</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94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7"/>
              </w:rPr>
              <w:t>Ordinary Shares</w:t>
            </w:r>
            <w:r>
              <w:rPr>
                <w:rFonts w:ascii="Times New Roman" w:cs="Times New Roman" w:eastAsia="Times New Roman" w:hAnsi="Times New Roman"/>
                <w:sz w:val="21"/>
                <w:szCs w:val="21"/>
                <w:color w:val="008000"/>
                <w:w w:val="97"/>
                <w:vertAlign w:val="superscript"/>
              </w:rPr>
              <w:t>(2)</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1"/>
              </w:rPr>
              <w:t>2,859</w:t>
            </w:r>
            <w:r>
              <w:rPr>
                <w:rFonts w:ascii="Times New Roman" w:cs="Times New Roman" w:eastAsia="Times New Roman" w:hAnsi="Times New Roman"/>
                <w:sz w:val="21"/>
                <w:szCs w:val="21"/>
                <w:color w:val="008000"/>
                <w:w w:val="91"/>
                <w:vertAlign w:val="superscript"/>
              </w:rPr>
              <w:t>(3)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7"/>
              </w:rPr>
              <w:t>Ordinary Shares</w:t>
            </w:r>
            <w:r>
              <w:rPr>
                <w:rFonts w:ascii="Times New Roman" w:cs="Times New Roman" w:eastAsia="Times New Roman" w:hAnsi="Times New Roman"/>
                <w:sz w:val="21"/>
                <w:szCs w:val="21"/>
                <w:color w:val="008000"/>
                <w:w w:val="97"/>
                <w:vertAlign w:val="superscript"/>
              </w:rPr>
              <w:t>(2)</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13,345</w:t>
            </w:r>
            <w:r>
              <w:rPr>
                <w:rFonts w:ascii="Times New Roman" w:cs="Times New Roman" w:eastAsia="Times New Roman" w:hAnsi="Times New Roman"/>
                <w:sz w:val="21"/>
                <w:szCs w:val="21"/>
                <w:color w:val="008000"/>
                <w:w w:val="95"/>
                <w:vertAlign w:val="superscript"/>
              </w:rPr>
              <w:t>(4)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7"/>
              </w:rPr>
              <w:t>Ordinary Shares</w:t>
            </w:r>
            <w:r>
              <w:rPr>
                <w:rFonts w:ascii="Times New Roman" w:cs="Times New Roman" w:eastAsia="Times New Roman" w:hAnsi="Times New Roman"/>
                <w:sz w:val="21"/>
                <w:szCs w:val="21"/>
                <w:color w:val="008000"/>
                <w:w w:val="97"/>
                <w:vertAlign w:val="superscript"/>
              </w:rPr>
              <w:t>(2)</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1"/>
              </w:rPr>
              <w:t>9,342</w:t>
            </w:r>
            <w:r>
              <w:rPr>
                <w:rFonts w:ascii="Times New Roman" w:cs="Times New Roman" w:eastAsia="Times New Roman" w:hAnsi="Times New Roman"/>
                <w:sz w:val="21"/>
                <w:szCs w:val="21"/>
                <w:color w:val="008000"/>
                <w:w w:val="91"/>
                <w:vertAlign w:val="superscript"/>
              </w:rPr>
              <w:t>(5)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5"/>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4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180"/>
              <w:spacing w:after="0"/>
              <w:rPr>
                <w:sz w:val="20"/>
                <w:szCs w:val="20"/>
                <w:color w:val="auto"/>
              </w:rPr>
            </w:pPr>
            <w:r>
              <w:rPr>
                <w:rFonts w:ascii="Arial" w:cs="Arial" w:eastAsia="Arial" w:hAnsi="Arial"/>
                <w:sz w:val="12"/>
                <w:szCs w:val="12"/>
                <w:color w:val="auto"/>
                <w:w w:val="98"/>
              </w:rPr>
              <w:t>$</w:t>
            </w:r>
            <w:r>
              <w:rPr>
                <w:rFonts w:ascii="Times New Roman" w:cs="Times New Roman" w:eastAsia="Times New Roman" w:hAnsi="Times New Roman"/>
                <w:sz w:val="13"/>
                <w:szCs w:val="13"/>
                <w:color w:val="0000FF"/>
                <w:w w:val="98"/>
              </w:rPr>
              <w:t>105.06</w:t>
            </w: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01/31/2026</w:t>
            </w: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01/31/2032</w:t>
            </w:r>
          </w:p>
        </w:tc>
        <w:tc>
          <w:tcPr>
            <w:tcW w:w="66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7,000</w:t>
            </w:r>
          </w:p>
        </w:tc>
        <w:tc>
          <w:tcPr>
            <w:tcW w:w="28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6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(2)</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jc w:val="both"/>
        <w:ind w:left="40" w:right="22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ordinary shares reported in this row consist of shares underlying RSUs that were granted to the Reporting Person on March 9, 2023 and that vest and settle for underlying ordinary shares in accordance with the following schedule: 25% of the original 10,188 RSUs vested and settled for underlying ordinary shares upon the one-year anniversary of the grant date, and an additional 6.25% of the original 10,188 RSUs vest and settle on a quarterly basis over the following three years such that all RSUs reported in this row will be fully vested and settled on the four-year anniversary of that grant date (March 9, 2027).</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There were no transactions effected in respect of the securities reported in this row, and the holdings in this row are being included for informational purposes only.</w:t>
      </w:r>
    </w:p>
    <w:p>
      <w:pPr>
        <w:spacing w:after="0" w:line="45" w:lineRule="exact"/>
        <w:rPr>
          <w:rFonts w:ascii="Times New Roman" w:cs="Times New Roman" w:eastAsia="Times New Roman" w:hAnsi="Times New Roman"/>
          <w:sz w:val="13"/>
          <w:szCs w:val="13"/>
          <w:color w:val="008000"/>
        </w:rPr>
      </w:pPr>
    </w:p>
    <w:p>
      <w:pPr>
        <w:ind w:left="40" w:right="380" w:firstLine="3"/>
        <w:spacing w:after="0"/>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ordinary shares reported in this row consist of shares underlying RSUs that were granted to the Reporting Person on September 19, 2022 and that vest and settle for underlying ordinary shares in accordance with the following schedule: 25% of the original 4,385 RSUs vested and settled for underlying ordinary shares upon the one-year anniversary of the grant date, and an additional 6.25% of those original RSUs vest and settle on a quarterly basis over the following three years such that all RSUs reported in this row will be fully vested and settled on the four-year anniversary of that grant date (September 19, 2026).</w:t>
      </w:r>
    </w:p>
    <w:p>
      <w:pPr>
        <w:spacing w:after="0" w:line="27" w:lineRule="exact"/>
        <w:rPr>
          <w:rFonts w:ascii="Times New Roman" w:cs="Times New Roman" w:eastAsia="Times New Roman" w:hAnsi="Times New Roman"/>
          <w:sz w:val="13"/>
          <w:szCs w:val="13"/>
          <w:color w:val="008000"/>
        </w:rPr>
      </w:pPr>
    </w:p>
    <w:p>
      <w:pPr>
        <w:ind w:left="40" w:right="18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ordinary shares reported in this row consist of shares underlying RSUs that were granted to the Reporting Person on March 19, 2024 and that vest and settle for underlying ordinary shares in accordance with the following schedule: 25% of the RSUs vested and settled for underlying ordinary shares upon the one-year anniversary of the grant date, and an additional 6.25% of the RSUs vest and settle on a quarterly basis over the following three years such that all RSUs reported in this row will be fully vested and settled on the four-year anniversary of that grant date (March 19, 2028).</w:t>
      </w:r>
    </w:p>
    <w:p>
      <w:pPr>
        <w:spacing w:after="0" w:line="24" w:lineRule="exact"/>
        <w:rPr>
          <w:rFonts w:ascii="Times New Roman" w:cs="Times New Roman" w:eastAsia="Times New Roman" w:hAnsi="Times New Roman"/>
          <w:sz w:val="13"/>
          <w:szCs w:val="13"/>
          <w:color w:val="008000"/>
        </w:rPr>
      </w:pPr>
    </w:p>
    <w:p>
      <w:pPr>
        <w:ind w:left="40" w:right="18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ordinary shares reported in this row consist of shares underlying RSUs that were granted to the Reporting Person on March 13, 2025 and that vest and settle for underlying ordinary shares in accordance with the following schedule: 25% of the RSUs vested and settled for underlying ordinary shares upon the one-year anniversary of the grant date, and an additional 6.25% of the RSUs vest and settle on a quarterly basis over the following three years such that all RSUs reported in this row will be fully vested and settled on the four-year anniversary of that grant date (March 13, 2029).</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Assaf Zipori, Attorney-in-</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84"/>
        </w:trPr>
        <w:tc>
          <w:tcPr>
            <w:tcW w:w="260" w:type="dxa"/>
            <w:vAlign w:val="bottom"/>
            <w:tcBorders>
              <w:top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3"/>
              </w:rPr>
              <w:t>fact</w:t>
            </w:r>
          </w:p>
        </w:tc>
        <w:tc>
          <w:tcPr>
            <w:tcW w:w="172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top w:val="single" w:sz="8" w:color="auto"/>
              <w:bottom w:val="single" w:sz="8" w:color="auto"/>
            </w:tcBorders>
            <w:vMerge w:val="continue"/>
          </w:tcPr>
          <w:p>
            <w:pPr>
              <w:spacing w:after="0"/>
              <w:rPr>
                <w:sz w:val="7"/>
                <w:szCs w:val="7"/>
                <w:color w:val="auto"/>
              </w:rPr>
            </w:pPr>
          </w:p>
        </w:tc>
        <w:tc>
          <w:tcPr>
            <w:tcW w:w="172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1"/>
          <w:szCs w:val="21"/>
          <w:b w:val="1"/>
          <w:bCs w:val="1"/>
          <w:color w:val="auto"/>
        </w:rPr>
        <w:t>Exhibit 24.1</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3" w:lineRule="exact"/>
        <w:rPr>
          <w:sz w:val="20"/>
          <w:szCs w:val="20"/>
          <w:color w:val="auto"/>
        </w:rPr>
      </w:pPr>
    </w:p>
    <w:p>
      <w:pPr>
        <w:ind w:right="280" w:firstLine="625"/>
        <w:spacing w:after="0" w:line="294" w:lineRule="auto"/>
        <w:rPr>
          <w:sz w:val="20"/>
          <w:szCs w:val="20"/>
          <w:color w:val="auto"/>
        </w:rPr>
      </w:pPr>
      <w:r>
        <w:rPr>
          <w:rFonts w:ascii="Times New Roman" w:cs="Times New Roman" w:eastAsia="Times New Roman" w:hAnsi="Times New Roman"/>
          <w:sz w:val="17"/>
          <w:szCs w:val="17"/>
          <w:color w:val="auto"/>
        </w:rPr>
        <w:t>Know all by these presents, that the undersigned hereby constitutes and appoints Assaf Zipori, Chief Financial Officer of Kornit Digital Ltd.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with full power of substitution, signing individually, the undersigned’s true and lawful attorney-in fact and agent to:</w:t>
      </w:r>
    </w:p>
    <w:p>
      <w:pPr>
        <w:spacing w:after="0" w:line="145" w:lineRule="exact"/>
        <w:rPr>
          <w:sz w:val="20"/>
          <w:szCs w:val="20"/>
          <w:color w:val="auto"/>
        </w:rPr>
      </w:pPr>
    </w:p>
    <w:p>
      <w:pPr>
        <w:ind w:right="40" w:firstLine="630"/>
        <w:spacing w:after="0" w:line="269" w:lineRule="auto"/>
        <w:tabs>
          <w:tab w:leader="none" w:pos="79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execute in the undersigned’s name and on the undersigned’s behalf, and submit to the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Forms 3, 4 and 5 (including amendments thereto and joint filing agreements in connection therewith) in accordance with Section 16(a) of the Securities Exchange Act of 1934, as amended and the rules and regulations thereunder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in the undersigned’s capacity as an officer, director or beneficial owner of more than 10% of a registered class of securities of the Company;</w:t>
      </w:r>
    </w:p>
    <w:p>
      <w:pPr>
        <w:spacing w:after="0" w:line="168" w:lineRule="exact"/>
        <w:rPr>
          <w:sz w:val="20"/>
          <w:szCs w:val="20"/>
          <w:color w:val="auto"/>
        </w:rPr>
      </w:pPr>
    </w:p>
    <w:p>
      <w:pPr>
        <w:ind w:right="240" w:firstLine="630"/>
        <w:spacing w:after="0" w:line="294" w:lineRule="auto"/>
        <w:tabs>
          <w:tab w:leader="none" w:pos="79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that may be necessary or desirable to execute such Forms 3, 4, or 5, (including any amendments thereto) and timely file such forms with the SEC, and any stock exchange, self-regulatory association or similar authority; and</w:t>
      </w:r>
    </w:p>
    <w:p>
      <w:pPr>
        <w:spacing w:after="0" w:line="146" w:lineRule="exact"/>
        <w:rPr>
          <w:rFonts w:ascii="Times New Roman" w:cs="Times New Roman" w:eastAsia="Times New Roman" w:hAnsi="Times New Roman"/>
          <w:sz w:val="17"/>
          <w:szCs w:val="17"/>
          <w:color w:val="auto"/>
        </w:rPr>
      </w:pPr>
    </w:p>
    <w:p>
      <w:pPr>
        <w:ind w:right="20" w:firstLine="630"/>
        <w:spacing w:after="0" w:line="268" w:lineRule="auto"/>
        <w:tabs>
          <w:tab w:leader="none" w:pos="79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nature whatsoever in connection with the foregoing that,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69" w:lineRule="exact"/>
        <w:rPr>
          <w:sz w:val="20"/>
          <w:szCs w:val="20"/>
          <w:color w:val="auto"/>
        </w:rPr>
      </w:pPr>
    </w:p>
    <w:p>
      <w:pPr>
        <w:ind w:right="40" w:firstLine="625"/>
        <w:spacing w:after="0" w:line="263" w:lineRule="auto"/>
        <w:rPr>
          <w:sz w:val="20"/>
          <w:szCs w:val="20"/>
          <w:color w:val="auto"/>
        </w:rPr>
      </w:pPr>
      <w:r>
        <w:rPr>
          <w:rFonts w:ascii="Times New Roman" w:cs="Times New Roman" w:eastAsia="Times New Roman" w:hAnsi="Times New Roman"/>
          <w:sz w:val="17"/>
          <w:szCs w:val="17"/>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his substitutes, in serving in such capacity at the request of the undersigned, is not assuming (nor is the Company assuming) any of the undersigned’s responsibilities to comply with Section 16 of the Exchange Act.</w:t>
      </w:r>
    </w:p>
    <w:p>
      <w:pPr>
        <w:spacing w:after="0" w:line="174" w:lineRule="exact"/>
        <w:rPr>
          <w:sz w:val="20"/>
          <w:szCs w:val="20"/>
          <w:color w:val="auto"/>
        </w:rPr>
      </w:pPr>
    </w:p>
    <w:p>
      <w:pPr>
        <w:ind w:right="140" w:firstLine="625"/>
        <w:spacing w:after="0" w:line="272"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any attorney-in-fact individually, until such attorney-in-fact is no longer employed by the Company.</w:t>
      </w:r>
    </w:p>
    <w:p>
      <w:pPr>
        <w:spacing w:after="0" w:line="3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this 18th day of March, 2026.</w:t>
      </w:r>
    </w:p>
    <w:p>
      <w:pPr>
        <w:spacing w:after="0" w:line="221" w:lineRule="exact"/>
        <w:rPr>
          <w:sz w:val="20"/>
          <w:szCs w:val="20"/>
          <w:color w:val="auto"/>
        </w:rPr>
      </w:pPr>
    </w:p>
    <w:tbl>
      <w:tblPr>
        <w:tblLayout w:type="fixed"/>
        <w:tblInd w:w="6600" w:type="dxa"/>
        <w:tblCellMar>
          <w:top w:w="0" w:type="dxa"/>
          <w:left w:w="0" w:type="dxa"/>
          <w:bottom w:w="0" w:type="dxa"/>
          <w:right w:w="0" w:type="dxa"/>
        </w:tblCellMar>
      </w:tblPr>
      <w:tr>
        <w:trPr>
          <w:trHeight w:val="23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Daniel Gazit</w:t>
            </w:r>
          </w:p>
        </w:tc>
      </w:tr>
      <w:tr>
        <w:trPr>
          <w:trHeight w:val="227"/>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840" w:type="dxa"/>
            <w:vAlign w:val="bottom"/>
          </w:tcPr>
          <w:p>
            <w:pPr>
              <w:spacing w:after="0"/>
              <w:rPr>
                <w:sz w:val="20"/>
                <w:szCs w:val="20"/>
                <w:color w:val="auto"/>
              </w:rPr>
            </w:pPr>
            <w:r>
              <w:rPr>
                <w:rFonts w:ascii="Times New Roman" w:cs="Times New Roman" w:eastAsia="Times New Roman" w:hAnsi="Times New Roman"/>
                <w:sz w:val="17"/>
                <w:szCs w:val="17"/>
                <w:color w:val="auto"/>
              </w:rPr>
              <w:t>Daniel Gazit</w:t>
            </w:r>
          </w:p>
        </w:tc>
      </w:tr>
    </w:tbl>
    <w:p>
      <w:pPr>
        <w:spacing w:after="0" w:line="1" w:lineRule="exact"/>
        <w:rPr>
          <w:sz w:val="20"/>
          <w:szCs w:val="20"/>
          <w:color w:val="auto"/>
        </w:rPr>
      </w:pPr>
    </w:p>
    <w:sectPr>
      <w:pgSz w:w="11900" w:h="16838" w:orient="portrait"/>
      <w:cols w:equalWidth="0" w:num="1">
        <w:col w:w="10980"/>
      </w:cols>
      <w:pgMar w:left="460" w:top="11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70618" TargetMode="External"/><Relationship Id="rId14" Type="http://schemas.openxmlformats.org/officeDocument/2006/relationships/hyperlink" Target="http://www.sec.gov/cgi-bin/browse-edgar?action=getcompany&amp;CIK=00016257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2026-06-11T15:14:31Z</dcterms:created>
  <dcterms:modified xsi:type="dcterms:W3CDTF">2026-06-11T15:14:31Z</dcterms:modified>
</cp:coreProperties>
</file>