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28, 2019</w:t>
      </w:r>
    </w:p>
    <w:p>
      <w:pPr>
        <w:spacing w:after="0" w:line="27" w:lineRule="exact"/>
        <w:rPr>
          <w:sz w:val="24"/>
          <w:szCs w:val="24"/>
          <w:color w:val="auto"/>
        </w:rPr>
      </w:pPr>
    </w:p>
    <w:p>
      <w:pPr>
        <w:ind w:left="936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State of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12 Ha’ Amal Street, Afek Park,</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Rosh-Ha’Ayin,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4809246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2015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10541-10601 North Commerce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Mequon, WI 53092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(262) 518-0200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Guy Avidan</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1"/>
              </w:rPr>
              <w:t>Aviv Avidan-Shalit, Adv.</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Chief Financial Officer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2"/>
              </w:rPr>
              <w:t>Jonathan M. Nathan, Adv.</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Kornit Digital Ltd.</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6"/>
              </w:rPr>
              <w:t>Meitar Liquornik Geva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12 Ha’ Amal Street, Afek Park,</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0"/>
              </w:rPr>
              <w:t>Leshem Tal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Rosh-Ha’Ayin 4809246, Israel</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4"/>
              </w:rPr>
              <w:t>16 Abba Hillel Silver Rd.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Tel: +972-3-908-5800</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Ramat Gan 5250608, Israel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Fax: +972-3-908-0280</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Tel: +972-3-610-3100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1"/>
              </w:rPr>
              <w:t>Fax: +972-3-610-3111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60" w:type="dxa"/>
            <w:vAlign w:val="bottom"/>
            <w:gridSpan w:val="4"/>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Proposed</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Proposed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Amount to be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offering price</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aggregate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Amount of</w:t>
            </w: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30"/>
              <w:spacing w:after="0"/>
              <w:rPr>
                <w:sz w:val="20"/>
                <w:szCs w:val="20"/>
                <w:color w:val="auto"/>
              </w:rPr>
            </w:pPr>
            <w:r>
              <w:rPr>
                <w:rFonts w:ascii="Arial" w:cs="Arial" w:eastAsia="Arial" w:hAnsi="Arial"/>
                <w:sz w:val="18"/>
                <w:szCs w:val="18"/>
                <w:color w:val="auto"/>
                <w:w w:val="87"/>
              </w:rPr>
              <w:t>registered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 share</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offering price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registration</w:t>
            </w: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Title of securities to be registered</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260" w:type="dxa"/>
            <w:vAlign w:val="bottom"/>
            <w:gridSpan w:val="2"/>
          </w:tcPr>
          <w:p>
            <w:pPr>
              <w:jc w:val="right"/>
              <w:ind w:right="3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fee</w:t>
            </w:r>
          </w:p>
        </w:tc>
      </w:tr>
      <w:tr>
        <w:trPr>
          <w:trHeight w:val="237"/>
        </w:trPr>
        <w:tc>
          <w:tcPr>
            <w:tcW w:w="5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par value NIS 0.01 per share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1,051,956</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$ 24,836,681.16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25" w:lineRule="exact"/>
        <w:rPr>
          <w:sz w:val="24"/>
          <w:szCs w:val="24"/>
          <w:color w:val="auto"/>
        </w:rPr>
      </w:pPr>
    </w:p>
    <w:p>
      <w:pPr>
        <w:ind w:left="340" w:hanging="332"/>
        <w:spacing w:after="0" w:line="27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this Registration Statement also covers such indeterminate number of additional shares that may become issuable under the terms of the Registrant’s 2015 Incentive Compensation Plan (the “</w:t>
      </w:r>
      <w:r>
        <w:rPr>
          <w:rFonts w:ascii="Arial" w:cs="Arial" w:eastAsia="Arial" w:hAnsi="Arial"/>
          <w:sz w:val="17"/>
          <w:szCs w:val="17"/>
          <w:b w:val="1"/>
          <w:bCs w:val="1"/>
          <w:color w:val="auto"/>
        </w:rPr>
        <w:t>2015 Plan</w:t>
      </w:r>
      <w:r>
        <w:rPr>
          <w:rFonts w:ascii="Arial" w:cs="Arial" w:eastAsia="Arial" w:hAnsi="Arial"/>
          <w:sz w:val="17"/>
          <w:szCs w:val="17"/>
          <w:color w:val="auto"/>
        </w:rPr>
        <w:t>”) by reason of any share split, share dividend, recapitalization or other similar transaction effected without the Registrant’s receipt of consideration which results in an increase in the number of the outstanding shares of the Registrant’s ordinary shares.</w:t>
      </w:r>
    </w:p>
    <w:p>
      <w:pPr>
        <w:spacing w:after="0" w:line="3" w:lineRule="exact"/>
        <w:rPr>
          <w:rFonts w:ascii="Arial" w:cs="Arial" w:eastAsia="Arial" w:hAnsi="Arial"/>
          <w:sz w:val="17"/>
          <w:szCs w:val="17"/>
          <w:color w:val="auto"/>
        </w:rPr>
      </w:pPr>
    </w:p>
    <w:p>
      <w:pPr>
        <w:ind w:left="340" w:right="4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429 under the Securities Act, the prospectus delivered to participants under this registration statement also relates to an aggregate of 3,698,706 shares previously registered in a registration statement on Form S-8, SEC file number 333-203970, issuable under the Kornit Digital Ltd. 2004 Share Option Plan, the Kornit Digital Ltd. 2012 Share Incentive Plan, the Kornit Digital Ltd. 2015 Employee Share Purchase Plan and the 2015 Plan, as well as an additional 906,345, 929,689 and 1,023,726 shares previously registered in registration statements on Form S-8, SEC file numbers 333-214015, 333-217039 and 333-223794, respectively, issuable under the 2015 Plan.</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to the number of shares available for issuance under the 2015 Plan, effective January 1, 2019.</w:t>
      </w:r>
    </w:p>
    <w:p>
      <w:pPr>
        <w:spacing w:after="0" w:line="9"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457(h)(1) and 457(c) promulgated under the Securities Act, based on the average of the high and low prices ($23.86 and $23.35) of the Registrant’s Ordinary Shares on the NASDAQ Global Select Market on March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The Registrant is filing this Registration Statement (this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register an additional 1,051,956 ordinary shares, par value NIS 0.01 per share (“</w:t>
      </w:r>
      <w:r>
        <w:rPr>
          <w:rFonts w:ascii="Arial" w:cs="Arial" w:eastAsia="Arial" w:hAnsi="Arial"/>
          <w:sz w:val="16"/>
          <w:szCs w:val="16"/>
          <w:b w:val="1"/>
          <w:bCs w:val="1"/>
          <w:color w:val="auto"/>
        </w:rPr>
        <w:t>Ordinary Shares</w:t>
      </w:r>
      <w:r>
        <w:rPr>
          <w:rFonts w:ascii="Arial" w:cs="Arial" w:eastAsia="Arial" w:hAnsi="Arial"/>
          <w:sz w:val="16"/>
          <w:szCs w:val="16"/>
          <w:color w:val="auto"/>
        </w:rPr>
        <w:t>”), of Kornit Digital Ltd. (the “</w:t>
      </w:r>
      <w:r>
        <w:rPr>
          <w:rFonts w:ascii="Arial" w:cs="Arial" w:eastAsia="Arial" w:hAnsi="Arial"/>
          <w:sz w:val="16"/>
          <w:szCs w:val="16"/>
          <w:b w:val="1"/>
          <w:bCs w:val="1"/>
          <w:color w:val="auto"/>
        </w:rPr>
        <w:t>Registrant</w:t>
      </w:r>
      <w:r>
        <w:rPr>
          <w:rFonts w:ascii="Arial" w:cs="Arial" w:eastAsia="Arial" w:hAnsi="Arial"/>
          <w:sz w:val="16"/>
          <w:szCs w:val="16"/>
          <w:color w:val="auto"/>
        </w:rPr>
        <w:t>”) issuable pursuant to the Registrant’s 2015 Incentive Compensation Plan.</w:t>
      </w:r>
    </w:p>
    <w:p>
      <w:pPr>
        <w:spacing w:after="0" w:line="12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Pursuant to Instruction E of Form S-8, the contents of the Registrant’s registration statements on Form S-8 (File No.’s 333-203970, 333-214015, 333-217039 and 333-223794)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May 7, 2015, October 6, 2016, March 30, 2017 and March 20, 2018, respectively, are incorporated herein by reference, and the information required by Part II is omitted, except as supplemented by the information set forth below.</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ind w:firstLine="656"/>
        <w:spacing w:after="0" w:line="270" w:lineRule="auto"/>
        <w:tabs>
          <w:tab w:leader="none" w:pos="783"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Such documents are not required to be and are not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are incorporated herein by reference:</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20-F filed on March 26, 2019;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Item 1 of the Registration Statement on Form 8-A (File No. 001-36903) filed with the Commission on March 31, 2015.</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to the foregoing, all documents subsequently filed by the Registrant pursuant to Sections 13(a), 13(c), 14 or 15(d) of the Securities Exchange Act of 1934, as amended,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at the end of this Registration Statement are included in this Registration Statement.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28th day of March, 2019.</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Ronen Samuel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March 28, 2019 in the capacities indicated:</w:t>
      </w:r>
    </w:p>
    <w:p>
      <w:pPr>
        <w:sectPr>
          <w:pgSz w:w="11900" w:h="16838" w:orient="portrait"/>
          <w:cols w:equalWidth="0" w:num="1">
            <w:col w:w="11040"/>
          </w:cols>
          <w:pgMar w:left="240" w:top="908" w:right="619" w:bottom="1440" w:gutter="0" w:footer="0" w:header="0"/>
        </w:sectPr>
      </w:pPr>
    </w:p>
    <w:p>
      <w:pPr>
        <w:spacing w:after="0" w:line="166"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615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50"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Ronen Samuel</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Guy Avidan</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Eli Blatt</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Lauri Hanover</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Marc Lesnick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Marc Lesnick</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Yehoshua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Yehoshua (Shuki) Nir</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Dov Ofer</w:t>
      </w:r>
    </w:p>
    <w:p>
      <w:pPr>
        <w:spacing w:after="0" w:line="22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Gabi Seligsohn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Shai Terem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Shai Terem</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26035</wp:posOffset>
            </wp:positionV>
            <wp:extent cx="45624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6247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9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Authorized Representative in the United States</w:t>
      </w:r>
    </w:p>
    <w:p>
      <w:pPr>
        <w:spacing w:after="0" w:line="1105" w:lineRule="exact"/>
        <w:rPr>
          <w:sz w:val="20"/>
          <w:szCs w:val="20"/>
          <w:color w:val="auto"/>
        </w:rPr>
      </w:pPr>
    </w:p>
    <w:p>
      <w:pPr>
        <w:sectPr>
          <w:pgSz w:w="11900" w:h="16838" w:orient="portrait"/>
          <w:cols w:equalWidth="0" w:num="2">
            <w:col w:w="4000" w:space="720"/>
            <w:col w:w="6320"/>
          </w:cols>
          <w:pgMar w:left="240" w:top="908" w:right="619" w:bottom="1440" w:gutter="0" w:footer="0" w:header="0"/>
          <w:type w:val="continuous"/>
        </w:sectPr>
      </w:pP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908" w:right="6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60" w:type="dxa"/>
            <w:vAlign w:val="bottom"/>
            <w:gridSpan w:val="11"/>
          </w:tcPr>
          <w:p>
            <w:pPr>
              <w:ind w:left="27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400" w:type="dxa"/>
            <w:vAlign w:val="bottom"/>
          </w:tcPr>
          <w:p>
            <w:pPr>
              <w:spacing w:after="0"/>
              <w:rPr>
                <w:sz w:val="24"/>
                <w:szCs w:val="24"/>
                <w:color w:val="auto"/>
              </w:rPr>
            </w:pPr>
          </w:p>
        </w:tc>
        <w:tc>
          <w:tcPr>
            <w:tcW w:w="8860" w:type="dxa"/>
            <w:vAlign w:val="bottom"/>
            <w:gridSpan w:val="11"/>
          </w:tcPr>
          <w:p>
            <w:pPr>
              <w:ind w:left="32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2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Kornit Digital Ltd. 2015 Incentive Compensation Plan (incorporated by reference to Exhibit 10.21 to the Registration Statement on Form F-1</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12"/>
            <w:shd w:val="clear" w:color="auto" w:fill="CCEEFF"/>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of the Registrant (File No. 333-202291), filed with the Commission on March 18,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260" w:type="dxa"/>
            <w:vAlign w:val="bottom"/>
            <w:gridSpan w:val="12"/>
          </w:tcPr>
          <w:p>
            <w:pPr>
              <w:spacing w:after="0" w:line="17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Articles of Association of the Registrant (incorporated by reference to Exhibit 3.2 to the Registration Statement on Form F-1 of the Registrant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(File No. 333-202291), filed with the Commission on March 18, 2015)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7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Specimen Ordinary Share Certificate of the Registrant (incorporated by reference to Exhibit 4.1 to the Registration Statement on Form F-1 of</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16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the Registrant (File No. 333-202291), filed with the Commission on March 10, 2015)</w:t>
              </w:r>
            </w:hyperlink>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260" w:type="dxa"/>
            <w:vAlign w:val="bottom"/>
            <w:gridSpan w:val="12"/>
          </w:tcPr>
          <w:p>
            <w:pPr>
              <w:spacing w:after="0" w:line="176" w:lineRule="exact"/>
              <w:rPr>
                <w:sz w:val="20"/>
                <w:szCs w:val="20"/>
                <w:color w:val="auto"/>
              </w:rPr>
            </w:pPr>
            <w:r>
              <w:rPr>
                <w:rFonts w:ascii="Arial" w:cs="Arial" w:eastAsia="Arial" w:hAnsi="Arial"/>
                <w:sz w:val="18"/>
                <w:szCs w:val="18"/>
                <w:color w:val="0000EE"/>
                <w:w w:val="97"/>
              </w:rPr>
              <w:t>Opinion of Meitar Liquornik Geva Leshem Tal, Law Offices, Israeli counsel to the Registrant, as to the validity of the ordinary 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(including consent)</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5"/>
                <w:szCs w:val="15"/>
                <w:color w:val="auto"/>
              </w:rPr>
            </w:pPr>
          </w:p>
        </w:tc>
        <w:tc>
          <w:tcPr>
            <w:tcW w:w="1026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Consent of Kost, Forer, Gabbay and Kasierer, a member of Ernst &amp; Young Global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10260" w:type="dxa"/>
            <w:vAlign w:val="bottom"/>
            <w:gridSpan w:val="12"/>
          </w:tcPr>
          <w:p>
            <w:pPr>
              <w:spacing w:after="0" w:line="176" w:lineRule="exact"/>
              <w:rPr>
                <w:sz w:val="20"/>
                <w:szCs w:val="20"/>
                <w:color w:val="auto"/>
              </w:rPr>
            </w:pPr>
            <w:r>
              <w:rPr>
                <w:rFonts w:ascii="Arial" w:cs="Arial" w:eastAsia="Arial" w:hAnsi="Arial"/>
                <w:sz w:val="18"/>
                <w:szCs w:val="18"/>
                <w:color w:val="0000EE"/>
              </w:rPr>
              <w:t>Consent of Meitar Liquornik Geva Leshem Tal, Law Offices (included in Exhibit 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7"/>
                <w:szCs w:val="17"/>
                <w:color w:val="auto"/>
              </w:rPr>
            </w:pPr>
          </w:p>
        </w:tc>
        <w:tc>
          <w:tcPr>
            <w:tcW w:w="10260" w:type="dxa"/>
            <w:vAlign w:val="bottom"/>
            <w:gridSpan w:val="1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Power of Attorney (included in signature page to this Registration Statement)</w:t>
              </w:r>
            </w:hyperlink>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0000EE"/>
              <w:bottom w:val="single" w:sz="8" w:color="auto"/>
            </w:tcBorders>
            <w:gridSpan w:val="2"/>
          </w:tcPr>
          <w:p>
            <w:pPr>
              <w:ind w:left="4500"/>
              <w:spacing w:after="0"/>
              <w:rPr>
                <w:sz w:val="20"/>
                <w:szCs w:val="20"/>
                <w:color w:val="auto"/>
              </w:rPr>
            </w:pPr>
            <w:r>
              <w:rPr>
                <w:rFonts w:ascii="Arial" w:cs="Arial" w:eastAsia="Arial" w:hAnsi="Arial"/>
                <w:sz w:val="18"/>
                <w:szCs w:val="18"/>
                <w:color w:val="auto"/>
              </w:rPr>
              <w:t>6</w:t>
            </w:r>
          </w:p>
        </w:tc>
        <w:tc>
          <w:tcPr>
            <w:tcW w:w="4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7" w:name="page8"/>
    <w:bookmarkEnd w:id="7"/>
    <w:p>
      <w:pPr>
        <w:ind w:left="1042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170815</wp:posOffset>
            </wp:positionV>
            <wp:extent cx="5351145" cy="951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3511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We have acted as Israeli counsel to Kornit Digital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covering up to an additional 1,051,956 ordinary shares of the Company, par value New Israeli Shekel 0.01 per share (the “</w:t>
      </w:r>
      <w:r>
        <w:rPr>
          <w:rFonts w:ascii="Arial" w:cs="Arial" w:eastAsia="Arial" w:hAnsi="Arial"/>
          <w:sz w:val="17"/>
          <w:szCs w:val="17"/>
          <w:b w:val="1"/>
          <w:bCs w:val="1"/>
          <w:color w:val="auto"/>
        </w:rPr>
        <w:t>Shares</w:t>
      </w:r>
      <w:r>
        <w:rPr>
          <w:rFonts w:ascii="Arial" w:cs="Arial" w:eastAsia="Arial" w:hAnsi="Arial"/>
          <w:sz w:val="17"/>
          <w:szCs w:val="17"/>
          <w:color w:val="auto"/>
        </w:rPr>
        <w:t>”) that are available for issuance under the Kornit Digital Ltd. 2015 Incentive Compensation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6"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Meitar Liquornik Geva Leshem Tal</w:t>
      </w:r>
    </w:p>
    <w:p>
      <w:pPr>
        <w:sectPr>
          <w:pgSz w:w="11900" w:h="16838" w:orient="portrait"/>
          <w:cols w:equalWidth="0" w:num="1">
            <w:col w:w="11420"/>
          </w:cols>
          <w:pgMar w:left="240" w:top="11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2015 Incentive Compensation Plan of Kornit Digital Ltd. of our report, dated March 26, 2019, with respect to the consolidated financial statements of Kornit Digital Ltd. and its subsidiaries included in its Annual Report (Form 20-F) for the year ended December 31, 2018, filed with the Securities and Exchange Commission.</w:t>
      </w:r>
    </w:p>
    <w:p>
      <w:pPr>
        <w:spacing w:after="0" w:line="16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Kost Forer Gabbay &amp; Kasierer</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28,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920" w:space="720"/>
        <w:col w:w="378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jpeg"/><Relationship Id="rId38" Type="http://schemas.openxmlformats.org/officeDocument/2006/relationships/image" Target="media/image29.png"/><Relationship Id="rId35" Type="http://schemas.openxmlformats.org/officeDocument/2006/relationships/hyperlink" Target="http://www.sec.gov/Archives/edgar/data/1625791/000161577415000505/s100871_ex3-2.htm" TargetMode="External"/><Relationship Id="rId36" Type="http://schemas.openxmlformats.org/officeDocument/2006/relationships/hyperlink" Target="http://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2019-12-03T19:32:53Z</dcterms:created>
  <dcterms:modified xsi:type="dcterms:W3CDTF">2019-12-03T19:32:53Z</dcterms:modified>
</cp:coreProperties>
</file>