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FORM 6-K</w:t>
      </w:r>
    </w:p>
    <w:p>
      <w:pPr>
        <w:spacing w:after="0" w:line="21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November 2019</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16"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KORNIT DIGITAL LTD.</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jc w:val="both"/>
        <w:ind w:firstLine="638"/>
        <w:spacing w:after="0" w:line="308" w:lineRule="auto"/>
        <w:rPr>
          <w:sz w:val="20"/>
          <w:szCs w:val="20"/>
          <w:color w:val="auto"/>
        </w:rPr>
      </w:pPr>
      <w:r>
        <w:rPr>
          <w:rFonts w:ascii="Arial" w:cs="Arial" w:eastAsia="Arial" w:hAnsi="Arial"/>
          <w:sz w:val="17"/>
          <w:szCs w:val="17"/>
          <w:color w:val="auto"/>
        </w:rPr>
        <w:t>On November 18, 2019, Kornit Digital Ltd. (“Kornit”) issued a press release entitled “Kornit Digital Reports Third Quarter 2019 Results,” in which Kornit reported its financial results for the quarter ended September 30, 2019. A copy of that press release is furnished as Exhibit 99.1 hereto.</w:t>
      </w:r>
    </w:p>
    <w:p>
      <w:pPr>
        <w:spacing w:after="0" w:line="147"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the Registrant’s Registration Statements on Form F-3 (File No. 333-232070) and Form S-8 (File No.’s 333-203970, 333-214015, 333-217039, 333-223794 and 333-230567).</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November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2"/>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26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rPr>
              <w:t>Press release dated November 18, 2019 entitled “Kornit Digital Reports Third Quarter 2019 Results”</w:t>
            </w:r>
          </w:p>
        </w:tc>
      </w:tr>
      <w:tr>
        <w:trPr>
          <w:trHeight w:val="655"/>
        </w:trPr>
        <w:tc>
          <w:tcPr>
            <w:tcW w:w="10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260" w:type="dxa"/>
            <w:vAlign w:val="bottom"/>
            <w:tcBorders>
              <w:top w:val="single" w:sz="8" w:color="0000EE"/>
              <w:bottom w:val="single" w:sz="8" w:color="auto"/>
            </w:tcBorders>
          </w:tcPr>
          <w:p>
            <w:pPr>
              <w:jc w:val="right"/>
              <w:ind w:right="2570"/>
              <w:spacing w:after="0"/>
              <w:rPr>
                <w:sz w:val="20"/>
                <w:szCs w:val="20"/>
                <w:color w:val="auto"/>
              </w:rPr>
            </w:pPr>
            <w:r>
              <w:rPr>
                <w:rFonts w:ascii="Arial" w:cs="Arial" w:eastAsia="Arial" w:hAnsi="Arial"/>
                <w:sz w:val="18"/>
                <w:szCs w:val="18"/>
                <w:color w:val="auto"/>
              </w:rPr>
              <w:t>3</w:t>
            </w:r>
          </w:p>
        </w:tc>
        <w:tc>
          <w:tcPr>
            <w:tcW w:w="3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209040"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90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Reports Third Quarter 2019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ind w:left="340" w:right="2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quarter revenue of $44.6 million, net of $5.1 million attributed to the non-cash impact of warrants, compared to $37.6 million, net of $1.7 million attributed to the non-cash impact of warrants in the prior year period.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Significantly higher year-over-year warrants impact as a result of growth in business with our global strategic account and a higher share price in the period.</w:t>
      </w:r>
    </w:p>
    <w:p>
      <w:pPr>
        <w:ind w:left="340" w:right="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quarter 2019 GAAP operating income of $1.4 million; Non-GAAP operating income of $3.4 million net of $5.1 million attributed to the non-cash impact of warrants.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quarter for industrial system sales, driven by continued adoption of HD platforms and strong demand for new products.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business expansion with strategic accounts amid preparation for peak season.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Collaborative business development activities with leading brands led to new customer accounts in athleisure and specialty retail categories.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Rosh-Ha’Ayin, Israel – November 18, 2019 – </w:t>
      </w:r>
      <w:r>
        <w:rPr>
          <w:rFonts w:ascii="Arial" w:cs="Arial" w:eastAsia="Arial" w:hAnsi="Arial"/>
          <w:sz w:val="18"/>
          <w:szCs w:val="18"/>
          <w:color w:val="auto"/>
        </w:rPr>
        <w:t>Kornit Digital Ltd. (NASDAQ: KRNT), a leading provider of digital printing solutions for the global printed</w:t>
      </w:r>
      <w:r>
        <w:rPr>
          <w:rFonts w:ascii="Arial" w:cs="Arial" w:eastAsia="Arial" w:hAnsi="Arial"/>
          <w:sz w:val="18"/>
          <w:szCs w:val="18"/>
          <w:b w:val="1"/>
          <w:bCs w:val="1"/>
          <w:color w:val="auto"/>
        </w:rPr>
        <w:t xml:space="preserve"> </w:t>
      </w:r>
      <w:r>
        <w:rPr>
          <w:rFonts w:ascii="Arial" w:cs="Arial" w:eastAsia="Arial" w:hAnsi="Arial"/>
          <w:sz w:val="18"/>
          <w:szCs w:val="18"/>
          <w:color w:val="auto"/>
        </w:rPr>
        <w:t>textile industry, today reported results for the third quarter, ended September 30, 2019.</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Ronen Samuel, Kornit Digital’s Chief Executive Officer said, “We are very pleased with our third quarter results as we continue to deliver robust top-line growth driven by our new products introduction, including the innovative and market-leading Atlas, PolyPro, and Presto systems. Our reported sales during the period grew to $44.6 million, inclusive of a $5.1 million impact from warrants, as compared to $37.6 million, with a $1.7 million impact from warrants in the prior year. Importantly, the business volume of products sold evidence an impressive growth year-over-year, which underscores the broad market adoption of our latest generation technologies.”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Samuel added, “We have good momentum with both new and existing customers as they ramp into the peak holiday season and are well positioned for a strong finish to 2020. There is a significant market opportunity ahead of us and we continue to invest in the business through expansion of our go-to-market capabilities, enhancements to our global leadership team, and allocation of incremental capital to drive innovation that will propel Kornit towards our long-term goal of reaching $500 million in run-rate sales exiting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The following table compares the adverse, non-cash impact that our outstanding warrants had on our results of operations during the third quarters of 2019 and 2018,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7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Third Quarter 2019 Warrants Impact</w:t>
            </w: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0"/>
              </w:rPr>
              <w:t>Net of</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0"/>
              </w:rPr>
              <w:t>Net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Warrants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Warrants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Warrants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Warrants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Impact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Impact</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Impact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Impact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44.6M</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4"/>
              </w:rPr>
              <w:t>5.1M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37.6M</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4"/>
              </w:rPr>
              <w:t>1.7M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Non-GAAP Gross Margin</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44.5%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left="510"/>
              <w:spacing w:after="0"/>
              <w:rPr>
                <w:sz w:val="20"/>
                <w:szCs w:val="20"/>
                <w:color w:val="auto"/>
              </w:rPr>
            </w:pPr>
            <w:r>
              <w:rPr>
                <w:rFonts w:ascii="Arial" w:cs="Arial" w:eastAsia="Arial" w:hAnsi="Arial"/>
                <w:sz w:val="18"/>
                <w:szCs w:val="18"/>
                <w:color w:val="auto"/>
                <w:w w:val="87"/>
              </w:rPr>
              <w:t>574bps</w:t>
            </w:r>
          </w:p>
        </w:tc>
        <w:tc>
          <w:tcPr>
            <w:tcW w:w="140" w:type="dxa"/>
            <w:vAlign w:val="bottom"/>
          </w:tcPr>
          <w:p>
            <w:pPr>
              <w:spacing w:after="0"/>
              <w:rPr>
                <w:sz w:val="18"/>
                <w:szCs w:val="18"/>
                <w:color w:val="auto"/>
              </w:rPr>
            </w:pP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w w:val="97"/>
              </w:rPr>
              <w:t>51.1%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left="630"/>
              <w:spacing w:after="0"/>
              <w:rPr>
                <w:sz w:val="20"/>
                <w:szCs w:val="20"/>
                <w:color w:val="auto"/>
              </w:rPr>
            </w:pPr>
            <w:r>
              <w:rPr>
                <w:rFonts w:ascii="Arial" w:cs="Arial" w:eastAsia="Arial" w:hAnsi="Arial"/>
                <w:sz w:val="18"/>
                <w:szCs w:val="18"/>
                <w:color w:val="auto"/>
                <w:w w:val="87"/>
              </w:rPr>
              <w:t>206bps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Margin</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87"/>
              </w:rPr>
              <w:t>954bps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13.0%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630"/>
              <w:spacing w:after="0"/>
              <w:rPr>
                <w:sz w:val="20"/>
                <w:szCs w:val="20"/>
                <w:color w:val="auto"/>
              </w:rPr>
            </w:pPr>
            <w:r>
              <w:rPr>
                <w:rFonts w:ascii="Arial" w:cs="Arial" w:eastAsia="Arial" w:hAnsi="Arial"/>
                <w:sz w:val="18"/>
                <w:szCs w:val="18"/>
                <w:color w:val="auto"/>
                <w:w w:val="87"/>
              </w:rPr>
              <w:t>367bps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Non-GAAP Net Margin</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left="510"/>
              <w:spacing w:after="0"/>
              <w:rPr>
                <w:sz w:val="20"/>
                <w:szCs w:val="20"/>
                <w:color w:val="auto"/>
              </w:rPr>
            </w:pPr>
            <w:r>
              <w:rPr>
                <w:rFonts w:ascii="Arial" w:cs="Arial" w:eastAsia="Arial" w:hAnsi="Arial"/>
                <w:sz w:val="18"/>
                <w:szCs w:val="18"/>
                <w:color w:val="auto"/>
                <w:w w:val="87"/>
              </w:rPr>
              <w:t>944bps</w:t>
            </w:r>
          </w:p>
        </w:tc>
        <w:tc>
          <w:tcPr>
            <w:tcW w:w="140" w:type="dxa"/>
            <w:vAlign w:val="bottom"/>
          </w:tcPr>
          <w:p>
            <w:pPr>
              <w:spacing w:after="0"/>
              <w:rPr>
                <w:sz w:val="18"/>
                <w:szCs w:val="18"/>
                <w:color w:val="auto"/>
              </w:rPr>
            </w:pP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w w:val="97"/>
              </w:rPr>
              <w:t>12.9%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left="630"/>
              <w:spacing w:after="0"/>
              <w:rPr>
                <w:sz w:val="20"/>
                <w:szCs w:val="20"/>
                <w:color w:val="auto"/>
              </w:rPr>
            </w:pPr>
            <w:r>
              <w:rPr>
                <w:rFonts w:ascii="Arial" w:cs="Arial" w:eastAsia="Arial" w:hAnsi="Arial"/>
                <w:sz w:val="18"/>
                <w:szCs w:val="18"/>
                <w:color w:val="auto"/>
                <w:w w:val="87"/>
              </w:rPr>
              <w:t>368bps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Non-GAAP Diluted Earnings Per Share</w:t>
            </w:r>
          </w:p>
        </w:tc>
        <w:tc>
          <w:tcPr>
            <w:tcW w:w="2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0.13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Third quarter 2019 revenue increased to $44.6 million, net of $5.1 million attributed to the non-cash impact of warrants, compared to $37.6 million, net of $1.7 million attributed to the non-cash impact of warrants in the prior year period. Increased revenue in the quarter was attributable to growth across the Company’s systems portfolio and strong market demand for the recently introduced Atlas, PolyPro, and Presto systems.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third quarter gross profit was $19.5 million, compared to $18.9 million in the prior-year period. Non-GAAP gross profit in the third quarter was $19.9 million, or 44.5% of revenue, compared with $19.2 million, or 51.1% of revenue in the third quarter of 2018. The decrease in gross margin was primarily driven by the increase in impact of warrants and, to a lesser extent, product mix.</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a GAAP basis, total operating expenses in the third quarter were $18.1 million, compared to $15.9 million in the prior year period. Non-GAAP operating expenses in the third quarter increased to $16.4 million, or 36.8% of revenue, compared to $14.3 million, or 38.1% of revenue, in the prior year period.</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Third quarter GAAP research and development expenses were $5.6 million, compared to $5.1 million in the prior year period. Third quarter non-GAAP research and development expenses were $5.3 million, or 11.8% of revenue, compared to $4.8 million, or 12.8% of revenue in the prior year period.</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Third quarter GAAP sales and marketing expenses were $7.8 million, compared to $6.5 million in the prior year period. Third quarter non-GAAP sales and marketing expenses were $7.1 million, or 16.0% of revenue, compared to $5.9 million, or 15.7% of revenue, in the third quarter of 2018.</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Third quarter GAAP general and administrative expenses were $4.7 million, compared to $4.2 million in the prior year period. Third quarter non-GAAP general and administrative expenses were $4.0 million, or 9.0% of revenue, compared to $3.6 million, or 9.6% of revenue, in the prior year period.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spacing w:after="0" w:line="302" w:lineRule="auto"/>
        <w:rPr>
          <w:sz w:val="20"/>
          <w:szCs w:val="20"/>
          <w:color w:val="auto"/>
        </w:rPr>
      </w:pPr>
      <w:r>
        <w:rPr>
          <w:rFonts w:ascii="Arial" w:cs="Arial" w:eastAsia="Arial" w:hAnsi="Arial"/>
          <w:sz w:val="16"/>
          <w:szCs w:val="16"/>
          <w:color w:val="auto"/>
        </w:rPr>
        <w:t>On a GAAP basis, third quarter operating income was $1.4 million, compared to the prior year period operating income of $3.1 million. Non-GAAP operating income in the third quarter was $3.4 million or 7.7% of revenue, net of $5.1 million attributed to the non-cash impact of warrants, compared to $4.9 million, net of $1.7 million attributed to the non-cash impact of warrants, or 13.0% of revenue, in the prior year period. Lower non-GAAP operating income compared to the prior year was entirely driven by the non-cash impact of warrants, partially offset by stronger system sales volume during the period.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GAAP basis, the Company reported net income of $2.0 million, or $0.05 per diluted share, compared to net income of $3.1 million, or $0.09 per diluted share, in the third quarter of 2018. Non-GAAP net income for the third quarter of 2019 was $3.9 million, or $0.09 per diluted share, net of $0.12 per diluted share attributed to the non-cash impact of warrants, compared to net income of $4.8 million, or $0.13 per diluted share, net of $0.05 per diluted share attributed to the non-cash impact of warrants in the prior year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2019, the Company had cash, deposits and marketable securities of $250.4 million and no long-term debt. Operations had only a minimal net impact on our cash position during the third quarter of 2019, reflecting an increase in DSO.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2019 Guidance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will discuss the details of its guidance live during its earnings conference call, which will be available for replay via webcast at ir.kornit.com, as referenced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host a conference call today at 5:00 p.m. ET, or 0:00 a.m. Israel time, to discuss the results, followed by a question and answer session for the investment community. A live webcast of the call can be accessed at ir.kornit.com. To access the call, participants may dial toll-free at 1-877-407-0792 or +1-201-689-8263. The toll-free Israeli number is 1 809 406 247. The confirmation code is 13695672.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listen to a telephonic replay of the conference call, dial toll-free 1-844-512-2921 or +1-412-317-6671 (international) and enter confirmation code 13695672. The telephonic replay will be available beginning at 8:00 p.m. ET on Monday, November 18, 2019, and will last through 11:59 p.m. ET on Monday, December 2, 2019. The call will also be available for replay via the webcast link on Kornit’s Investor Relations website.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degree of our success in developing, introducing and selling new or improved products and product enhancements including specifically our Poly Pro and Presto products the extent of our ability to consummate sales to large accounts with multi-system delivery plans, the degree of our ability to fill orders for our systems, the extent of our ability to continue to increase sales of our systems, ink and consumables, the extent of our ability to leverage our global infrastructure build-out, the development of the market for digital textile printing, the availability of alternative ink, competition, sales concentration, changes to our relationships with suppliers, the extent of our success in marketing, and those additional factors referred to under “Risk Factors” in the Company’s Annual Report on Form 20-F for the year ended December 31, 2018, filed with the U.S. Securities and Exchange Commission on March 26, 2019.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Non-GAAP financial measures consist of GAAP financial measures adjusted to exclude the impact of share-based compensation expenses, acquisition related expenses, excess cost of acquired inventory, foreign exchange differences associated with ASC 842, amortization of acquired intangible assets, deferred tax impact and restructuring expenses and their tax effect. The purpose of such adjustments is to provide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3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94,670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Short-term bank deposit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94,000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Trade receivables, net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44,854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accounts receivable and prepaid expenses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36,549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Deposits and prepaid expenses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Severance pay fund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Property,plant and equipment, net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16,426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long-term assets</w:t>
            </w:r>
          </w:p>
        </w:tc>
        <w:tc>
          <w:tcPr>
            <w:tcW w:w="24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83,740</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74,067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Total assets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382,233</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214,823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Trade payables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17,335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Employees and payroll accruals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Deferred revenues and advances from customers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payables and accrued expenses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Accrued severance pay</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329,914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382,233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9" w:name="page10"/>
    <w:bookmarkEnd w:id="9"/>
    <w:p>
      <w:pPr>
        <w:ind w:left="47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19"/>
                <w:szCs w:val="19"/>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110,562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92,207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40,696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16,069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12,380</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3,884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126,631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104,587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Products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53,311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39,274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19,102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13,571</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cost of revenues</w:t>
            </w: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73,174</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52,845</w:t>
            </w:r>
          </w:p>
        </w:tc>
        <w:tc>
          <w:tcPr>
            <w:tcW w:w="2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25,074</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18,666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53,457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51,742</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19,506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15,681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Selling and marketing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24,322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18,719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7,849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12,257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Restructuring expenses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4,764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1,092</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before taxes on income</w:t>
            </w: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832</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5,856</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1,941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3,321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Taxes on income (benefit)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share</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 average number of shares used in computing basic net income per share</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37,208,558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34,372,064</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40,471,832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34,513,629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share</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number of shares used in computing diluted net income per</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38,584,788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35,151,714</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42,159,655</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35,673,298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RECONCILATION OF GAAP TO NON-GAAP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ectPr>
          <w:pgSz w:w="11900" w:h="16900" w:orient="portrait"/>
          <w:cols w:equalWidth="0" w:num="1">
            <w:col w:w="11420"/>
          </w:cols>
          <w:pgMar w:left="240" w:top="904" w:right="239" w:bottom="0" w:gutter="0" w:footer="0" w:header="0"/>
        </w:sectPr>
      </w:pPr>
    </w:p>
    <w:p>
      <w:pPr>
        <w:spacing w:after="0" w:line="20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16122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ind w:left="6480"/>
        <w:spacing w:after="0"/>
        <w:tabs>
          <w:tab w:leader="none" w:pos="78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6122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3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6122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5715</wp:posOffset>
            </wp:positionV>
            <wp:extent cx="15779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tabs>
          <w:tab w:leader="none" w:pos="132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31750</wp:posOffset>
            </wp:positionV>
            <wp:extent cx="15779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17145</wp:posOffset>
            </wp:positionV>
            <wp:extent cx="15779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8500" w:space="720"/>
            <w:col w:w="2200"/>
          </w:cols>
          <w:pgMar w:left="240" w:top="904" w:right="239" w:bottom="0"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GAAP cost of revenues</w:t>
            </w:r>
          </w:p>
        </w:tc>
        <w:tc>
          <w:tcPr>
            <w:tcW w:w="8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73,174</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52,845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25,074</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product recorded for share-based compensation (1)</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recorded for share-based compensation (1)</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Intangible assets amortization on cost of product (3)</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Excess cost of product on acquired inventory (a)</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Acquisition related expenses (2)</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cost of revenues</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GAAP gross profit</w:t>
            </w:r>
          </w:p>
        </w:tc>
        <w:tc>
          <w:tcPr>
            <w:tcW w:w="8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53,457</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19,506</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Gross profit adjustments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gross profit</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expenses</w:t>
            </w:r>
          </w:p>
        </w:tc>
        <w:tc>
          <w:tcPr>
            <w:tcW w:w="8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53,752</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46,978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18,147</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Share-based compensation (1)</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(3,791)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(3,276)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expenses (2)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Intangible assets amortization (3)</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60" w:type="dxa"/>
            <w:vAlign w:val="bottom"/>
            <w:gridSpan w:val="2"/>
          </w:tcPr>
          <w:p>
            <w:pPr>
              <w:spacing w:after="0" w:line="203" w:lineRule="exact"/>
              <w:rPr>
                <w:sz w:val="20"/>
                <w:szCs w:val="20"/>
                <w:color w:val="auto"/>
              </w:rPr>
            </w:pPr>
            <w:r>
              <w:rPr>
                <w:rFonts w:ascii="Arial" w:cs="Arial" w:eastAsia="Arial" w:hAnsi="Arial"/>
                <w:sz w:val="18"/>
                <w:szCs w:val="18"/>
                <w:color w:val="auto"/>
              </w:rPr>
              <w:t>Non-GAAP operating expenses</w:t>
            </w:r>
          </w:p>
        </w:tc>
        <w:tc>
          <w:tcPr>
            <w:tcW w:w="620" w:type="dxa"/>
            <w:vAlign w:val="bottom"/>
            <w:vMerge w:val="continue"/>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49,372</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42,658</w:t>
            </w:r>
          </w:p>
        </w:tc>
        <w:tc>
          <w:tcPr>
            <w:tcW w:w="200" w:type="dxa"/>
            <w:vAlign w:val="bottom"/>
            <w:vMerge w:val="continue"/>
          </w:tcPr>
          <w:p>
            <w:pPr>
              <w:spacing w:after="0"/>
              <w:rPr>
                <w:sz w:val="21"/>
                <w:szCs w:val="21"/>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16,408</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14,335</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GAAP Financial income</w:t>
            </w: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1,127</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1,092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582</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 associated with ASC 842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60" w:type="dxa"/>
            <w:vAlign w:val="bottom"/>
            <w:gridSpan w:val="2"/>
          </w:tcPr>
          <w:p>
            <w:pPr>
              <w:spacing w:after="0" w:line="203" w:lineRule="exact"/>
              <w:rPr>
                <w:sz w:val="20"/>
                <w:szCs w:val="20"/>
                <w:color w:val="auto"/>
              </w:rPr>
            </w:pPr>
            <w:r>
              <w:rPr>
                <w:rFonts w:ascii="Arial" w:cs="Arial" w:eastAsia="Arial" w:hAnsi="Arial"/>
                <w:sz w:val="18"/>
                <w:szCs w:val="18"/>
                <w:color w:val="auto"/>
              </w:rPr>
              <w:t>Non-GAAP Financial income</w:t>
            </w:r>
          </w:p>
        </w:tc>
        <w:tc>
          <w:tcPr>
            <w:tcW w:w="620" w:type="dxa"/>
            <w:vAlign w:val="bottom"/>
            <w:vMerge w:val="continue"/>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1,907</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1,092</w:t>
            </w:r>
          </w:p>
        </w:tc>
        <w:tc>
          <w:tcPr>
            <w:tcW w:w="200" w:type="dxa"/>
            <w:vAlign w:val="bottom"/>
            <w:vMerge w:val="continue"/>
          </w:tcPr>
          <w:p>
            <w:pPr>
              <w:spacing w:after="0"/>
              <w:rPr>
                <w:sz w:val="21"/>
                <w:szCs w:val="21"/>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824</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GAAP Taxes on income (benefit)</w:t>
            </w: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Tax effect on to the above non-GAAP adjustments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Tax benefit (b)</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Taxes on income</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8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Share-based compensation (1)</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3,884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expenses (2)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Intangible assets amortization (3)</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Excess cost of product on acquired inventory (a)</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Restructuring expenses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 associated with ASC 842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Tax effect on to the above non-GAAP adjustments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 based on an Israeli statutory tax rate (b)</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60" w:type="dxa"/>
            <w:vAlign w:val="bottom"/>
            <w:gridSpan w:val="2"/>
          </w:tcPr>
          <w:p>
            <w:pPr>
              <w:spacing w:after="0" w:line="203" w:lineRule="exact"/>
              <w:rPr>
                <w:sz w:val="20"/>
                <w:szCs w:val="20"/>
                <w:color w:val="auto"/>
              </w:rPr>
            </w:pPr>
            <w:r>
              <w:rPr>
                <w:rFonts w:ascii="Arial" w:cs="Arial" w:eastAsia="Arial" w:hAnsi="Arial"/>
                <w:sz w:val="18"/>
                <w:szCs w:val="18"/>
                <w:color w:val="auto"/>
              </w:rPr>
              <w:t>Non-GAAP net income</w:t>
            </w:r>
          </w:p>
        </w:tc>
        <w:tc>
          <w:tcPr>
            <w:tcW w:w="620" w:type="dxa"/>
            <w:vAlign w:val="bottom"/>
            <w:vMerge w:val="continue"/>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7,932</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10,169</w:t>
            </w:r>
          </w:p>
        </w:tc>
        <w:tc>
          <w:tcPr>
            <w:tcW w:w="200" w:type="dxa"/>
            <w:vAlign w:val="bottom"/>
            <w:vMerge w:val="continue"/>
          </w:tcPr>
          <w:p>
            <w:pPr>
              <w:spacing w:after="0"/>
              <w:rPr>
                <w:sz w:val="21"/>
                <w:szCs w:val="21"/>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3,878</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4,833</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460" w:type="dxa"/>
            <w:vAlign w:val="bottom"/>
            <w:gridSpan w:val="2"/>
          </w:tcPr>
          <w:p>
            <w:pPr>
              <w:spacing w:after="0"/>
              <w:rPr>
                <w:sz w:val="20"/>
                <w:szCs w:val="20"/>
                <w:color w:val="auto"/>
              </w:rPr>
            </w:pPr>
            <w:r>
              <w:rPr>
                <w:rFonts w:ascii="Arial" w:cs="Arial" w:eastAsia="Arial" w:hAnsi="Arial"/>
                <w:sz w:val="18"/>
                <w:szCs w:val="18"/>
                <w:color w:val="auto"/>
              </w:rPr>
              <w:t>GAAP diluted earning per share</w:t>
            </w: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460" w:type="dxa"/>
            <w:vAlign w:val="bottom"/>
            <w:gridSpan w:val="2"/>
          </w:tcPr>
          <w:p>
            <w:pPr>
              <w:spacing w:after="0"/>
              <w:rPr>
                <w:sz w:val="20"/>
                <w:szCs w:val="20"/>
                <w:color w:val="auto"/>
              </w:rPr>
            </w:pPr>
            <w:r>
              <w:rPr>
                <w:rFonts w:ascii="Arial" w:cs="Arial" w:eastAsia="Arial" w:hAnsi="Arial"/>
                <w:sz w:val="18"/>
                <w:szCs w:val="18"/>
                <w:color w:val="auto"/>
              </w:rPr>
              <w:t>Non-GAAP diluted earning per share</w:t>
            </w: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460" w:type="dxa"/>
            <w:vAlign w:val="bottom"/>
            <w:gridSpan w:val="2"/>
          </w:tcPr>
          <w:p>
            <w:pPr>
              <w:spacing w:after="0"/>
              <w:rPr>
                <w:sz w:val="20"/>
                <w:szCs w:val="20"/>
                <w:color w:val="auto"/>
              </w:rPr>
            </w:pPr>
            <w:r>
              <w:rPr>
                <w:rFonts w:ascii="Arial" w:cs="Arial" w:eastAsia="Arial" w:hAnsi="Arial"/>
                <w:sz w:val="18"/>
                <w:szCs w:val="18"/>
                <w:color w:val="auto"/>
              </w:rPr>
              <w:t>Shares used in computing GAAP diluted net earning per share</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38,584,788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35,151,714</w:t>
            </w:r>
          </w:p>
        </w:tc>
        <w:tc>
          <w:tcPr>
            <w:tcW w:w="22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42,159,655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35,673,298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460" w:type="dxa"/>
            <w:vAlign w:val="bottom"/>
            <w:gridSpan w:val="2"/>
          </w:tcPr>
          <w:p>
            <w:pPr>
              <w:spacing w:after="0"/>
              <w:rPr>
                <w:sz w:val="20"/>
                <w:szCs w:val="20"/>
                <w:color w:val="auto"/>
              </w:rPr>
            </w:pPr>
            <w:r>
              <w:rPr>
                <w:rFonts w:ascii="Arial" w:cs="Arial" w:eastAsia="Arial" w:hAnsi="Arial"/>
                <w:sz w:val="18"/>
                <w:szCs w:val="18"/>
                <w:color w:val="auto"/>
              </w:rPr>
              <w:t>Shares used in computing Non-GAAP diluted net earning per share</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38,753,127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35,423,185</w:t>
            </w:r>
          </w:p>
        </w:tc>
        <w:tc>
          <w:tcPr>
            <w:tcW w:w="22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42,247,859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35,905,930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(1) Share-based compensation</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Cost of product revenues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80"/>
              <w:spacing w:after="0"/>
              <w:rPr>
                <w:sz w:val="20"/>
                <w:szCs w:val="20"/>
                <w:color w:val="auto"/>
              </w:rPr>
            </w:pPr>
            <w:r>
              <w:rPr>
                <w:rFonts w:ascii="Arial" w:cs="Arial" w:eastAsia="Arial" w:hAnsi="Arial"/>
                <w:sz w:val="18"/>
                <w:szCs w:val="18"/>
                <w:color w:val="auto"/>
              </w:rPr>
              <w:t>Cost of service revenues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80"/>
              <w:spacing w:after="0"/>
              <w:rPr>
                <w:sz w:val="20"/>
                <w:szCs w:val="20"/>
                <w:color w:val="auto"/>
              </w:rPr>
            </w:pPr>
            <w:r>
              <w:rPr>
                <w:rFonts w:ascii="Arial" w:cs="Arial" w:eastAsia="Arial" w:hAnsi="Arial"/>
                <w:sz w:val="18"/>
                <w:szCs w:val="18"/>
                <w:color w:val="auto"/>
              </w:rPr>
              <w:t>Selling and marketing</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842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1,739</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4,584</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3,884</w:t>
            </w:r>
          </w:p>
        </w:tc>
        <w:tc>
          <w:tcPr>
            <w:tcW w:w="2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1,841</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 Acquisition related expenses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80"/>
              <w:spacing w:after="0"/>
              <w:rPr>
                <w:sz w:val="20"/>
                <w:szCs w:val="20"/>
                <w:color w:val="auto"/>
              </w:rPr>
            </w:pPr>
            <w:r>
              <w:rPr>
                <w:rFonts w:ascii="Arial" w:cs="Arial" w:eastAsia="Arial" w:hAnsi="Arial"/>
                <w:sz w:val="18"/>
                <w:szCs w:val="18"/>
                <w:color w:val="auto"/>
              </w:rPr>
              <w:t>Cost of product revenues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4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Selling and marketing</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08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60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color w:val="auto"/>
              </w:rPr>
              <w:t>(3) Intangible assets amortization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Cost of product revenues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23"/>
        </w:trPr>
        <w:tc>
          <w:tcPr>
            <w:tcW w:w="6080" w:type="dxa"/>
            <w:vAlign w:val="bottom"/>
          </w:tcPr>
          <w:p>
            <w:pPr>
              <w:ind w:left="500"/>
              <w:spacing w:after="0"/>
              <w:rPr>
                <w:sz w:val="20"/>
                <w:szCs w:val="20"/>
                <w:color w:val="auto"/>
              </w:rPr>
            </w:pPr>
            <w:r>
              <w:rPr>
                <w:rFonts w:ascii="Arial" w:cs="Arial" w:eastAsia="Arial" w:hAnsi="Arial"/>
                <w:sz w:val="18"/>
                <w:szCs w:val="18"/>
                <w:color w:val="auto"/>
              </w:rPr>
              <w:t>Selling and marketing</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532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23"/>
        </w:trPr>
        <w:tc>
          <w:tcPr>
            <w:tcW w:w="60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charges to cost of revenues for the difference between the higher carrying cost of the acquired inventory from a distributor purchased on February 8, 2019 which was recorded at fair value and the standard cost of the Company’s inventory, which adversely impacts the Company’s gross profit.</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 cash impact related to the recognition of deferred taxes with respect to carryforward losses in Israel.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2" w:name="page13"/>
    <w:bookmarkEnd w:id="1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5960" w:type="dxa"/>
            <w:vAlign w:val="bottom"/>
            <w:gridSpan w:val="4"/>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26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tcPr>
          <w:p>
            <w:pPr>
              <w:spacing w:after="0" w:line="201" w:lineRule="exact"/>
              <w:rPr>
                <w:sz w:val="20"/>
                <w:szCs w:val="20"/>
                <w:color w:val="auto"/>
              </w:rPr>
            </w:pPr>
            <w:r>
              <w:rPr>
                <w:rFonts w:ascii="Arial" w:cs="Arial" w:eastAsia="Arial" w:hAnsi="Arial"/>
                <w:sz w:val="18"/>
                <w:szCs w:val="18"/>
                <w:color w:val="auto"/>
                <w:w w:val="93"/>
              </w:rPr>
              <w:t>Adjustments to reconcile net income to net cash provided by (used in) operating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3"/>
          </w:tcPr>
          <w:p>
            <w:pPr>
              <w:ind w:left="160"/>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Fair value of warrants deducted from revenues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8,549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3,190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Amortization of premium (discount) on marketable securities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gain on sale of marketable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Decrease (increase) in trade receivables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(23,344)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(7,584)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(11,181)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Decrease (increase) in inventory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8,919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operating leases right-of-use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Decrease (increase) in deferred taxes,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other long term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(decrease) in trade payables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operating lease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(decrease) in employees and payroll accruals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deferred revenues and advances from customers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in other payables and accrued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791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accrued severance pay,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(decrease) in other long term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sale of property and Equipment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tcPr>
          <w:p>
            <w:pPr>
              <w:spacing w:after="0" w:line="201" w:lineRule="exact"/>
              <w:rPr>
                <w:sz w:val="20"/>
                <w:szCs w:val="20"/>
                <w:color w:val="auto"/>
              </w:rPr>
            </w:pPr>
            <w:r>
              <w:rPr>
                <w:rFonts w:ascii="Arial" w:cs="Arial" w:eastAsia="Arial" w:hAnsi="Arial"/>
                <w:sz w:val="18"/>
                <w:szCs w:val="18"/>
                <w:color w:val="auto"/>
                <w:w w:val="98"/>
              </w:rPr>
              <w:t>Foreign currency translation income on inter company balances with foreign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40" w:type="dxa"/>
            <w:vAlign w:val="bottom"/>
            <w:gridSpan w:val="3"/>
          </w:tcPr>
          <w:p>
            <w:pPr>
              <w:ind w:left="160"/>
              <w:spacing w:after="0"/>
              <w:rPr>
                <w:sz w:val="20"/>
                <w:szCs w:val="20"/>
                <w:color w:val="auto"/>
              </w:rPr>
            </w:pPr>
            <w:r>
              <w:rPr>
                <w:rFonts w:ascii="Arial" w:cs="Arial" w:eastAsia="Arial" w:hAnsi="Arial"/>
                <w:sz w:val="18"/>
                <w:szCs w:val="18"/>
                <w:color w:val="auto"/>
              </w:rPr>
              <w:t>subsidiaries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17,642</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4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(4,906)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Acquisition of intangible assets and capitalization of software development costs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in connection with acquisition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in bank deposits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(89,000)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of marketable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Proceeds from maturity of marketable securities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3,354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(44,599)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(16,680)</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(110,230)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(23,232)</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secondary offering,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129,710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Exercise of employee stock options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1,997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134,807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1,097</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Borders>
              <w:top w:val="single" w:sz="8" w:color="CCEEFF"/>
            </w:tcBorders>
            <w:gridSpan w:val="3"/>
          </w:tcPr>
          <w:p>
            <w:pPr>
              <w:spacing w:after="0" w:line="203" w:lineRule="exact"/>
              <w:rPr>
                <w:sz w:val="20"/>
                <w:szCs w:val="20"/>
                <w:color w:val="auto"/>
              </w:rPr>
            </w:pPr>
            <w:r>
              <w:rPr>
                <w:rFonts w:ascii="Arial" w:cs="Arial" w:eastAsia="Arial" w:hAnsi="Arial"/>
                <w:sz w:val="18"/>
                <w:szCs w:val="18"/>
                <w:color w:val="auto"/>
              </w:rPr>
              <w:t>Increase (decrease) in cash and cash equivalents</w:t>
            </w: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20,538</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(4,530)</w:t>
            </w: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(9,880)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(3,124)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104,550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Cash and cash equivalents at the end of the period</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9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94,670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14,099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94,670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14,099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Purchase of property and equipment on credit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539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Lease liabilities arising from obtaining right-of-use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sectPr>
      </w:pPr>
    </w:p>
    <w:bookmarkStart w:id="13" w:name="page14"/>
    <w:bookmarkEnd w:id="13"/>
    <w:p>
      <w:pPr>
        <w:spacing w:after="0"/>
        <w:tabs>
          <w:tab w:leader="none" w:pos="6940" w:val="left"/>
          <w:tab w:leader="none" w:pos="8540" w:val="left"/>
          <w:tab w:leader="none" w:pos="9680" w:val="left"/>
          <w:tab w:leader="none" w:pos="11240" w:val="left"/>
        </w:tabs>
        <w:rPr>
          <w:sz w:val="20"/>
          <w:szCs w:val="20"/>
          <w:color w:val="auto"/>
        </w:rPr>
      </w:pPr>
      <w:r>
        <w:rPr>
          <w:rFonts w:ascii="Arial" w:cs="Arial" w:eastAsia="Arial" w:hAnsi="Arial"/>
          <w:sz w:val="18"/>
          <w:szCs w:val="18"/>
          <w:color w:val="auto"/>
        </w:rPr>
        <w:t>Capitalization of software development costs</w:t>
      </w:r>
      <w:r>
        <w:rPr>
          <w:sz w:val="20"/>
          <w:szCs w:val="20"/>
          <w:color w:val="auto"/>
        </w:rPr>
        <w:tab/>
      </w: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240" w:top="1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03"/>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2019-11-28T03:51:56Z</dcterms:created>
  <dcterms:modified xsi:type="dcterms:W3CDTF">2019-11-28T03:51:56Z</dcterms:modified>
</cp:coreProperties>
</file>