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20-F</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jc w:val="center"/>
        <w:ind w:left="5580" w:right="600" w:hanging="4981"/>
        <w:spacing w:after="0" w:line="484" w:lineRule="auto"/>
        <w:tabs>
          <w:tab w:leader="none" w:pos="8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 OR</w:t>
      </w:r>
    </w:p>
    <w:p>
      <w:pPr>
        <w:spacing w:after="0" w:line="29" w:lineRule="exact"/>
        <w:rPr>
          <w:sz w:val="24"/>
          <w:szCs w:val="24"/>
          <w:color w:val="auto"/>
        </w:rPr>
      </w:pPr>
    </w:p>
    <w:p>
      <w:pPr>
        <w:jc w:val="center"/>
        <w:ind w:left="4020" w:right="1180" w:hanging="2828"/>
        <w:spacing w:after="0" w:line="501" w:lineRule="auto"/>
        <w:tabs>
          <w:tab w:leader="none" w:pos="1448" w:val="left"/>
        </w:tabs>
        <w:numPr>
          <w:ilvl w:val="2"/>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5580" w:right="1000" w:hanging="4573"/>
        <w:spacing w:after="0" w:line="484" w:lineRule="auto"/>
        <w:tabs>
          <w:tab w:leader="none" w:pos="126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9" w:lineRule="exact"/>
        <w:rPr>
          <w:rFonts w:ascii="MS PGothic" w:cs="MS PGothic" w:eastAsia="MS PGothic" w:hAnsi="MS PGothic"/>
          <w:sz w:val="18"/>
          <w:szCs w:val="18"/>
          <w:color w:val="auto"/>
        </w:rPr>
      </w:pPr>
    </w:p>
    <w:p>
      <w:pPr>
        <w:jc w:val="center"/>
        <w:ind w:left="4360" w:right="800" w:hanging="3569"/>
        <w:spacing w:after="0" w:line="532" w:lineRule="auto"/>
        <w:tabs>
          <w:tab w:leader="none" w:pos="104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2800985</wp:posOffset>
            </wp:positionH>
            <wp:positionV relativeFrom="paragraph">
              <wp:posOffset>-21590</wp:posOffset>
            </wp:positionV>
            <wp:extent cx="1663700" cy="1029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Guy Avidan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 3 908-5800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+972 3 908-0280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Title of each class</w:t>
            </w:r>
          </w:p>
        </w:tc>
        <w:tc>
          <w:tcPr>
            <w:tcW w:w="2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Ordinary shares, par value NIS</w:t>
            </w:r>
          </w:p>
        </w:tc>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 per share</w:t>
            </w: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ind w:right="240"/>
        <w:spacing w:after="0" w:line="277" w:lineRule="auto"/>
        <w:rPr>
          <w:sz w:val="20"/>
          <w:szCs w:val="20"/>
          <w:color w:val="auto"/>
        </w:rPr>
      </w:pPr>
      <w:r>
        <w:rPr>
          <w:rFonts w:ascii="Arial" w:cs="Arial" w:eastAsia="Arial" w:hAnsi="Arial"/>
          <w:sz w:val="18"/>
          <w:szCs w:val="18"/>
          <w:color w:val="auto"/>
        </w:rPr>
        <w:t>Indicate the number of outstanding shares of each of the registrant’s classes of capital or common stock as of the close of the period covered by the annual report: As of December 31, 2015, the registrant had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30,295,950 ordinary shares, par value NIS 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 known seasoned issuer, as defined in Rule 405 of the Securities Act.</w:t>
      </w:r>
    </w:p>
    <w:p>
      <w:pPr>
        <w:spacing w:after="0" w:line="193" w:lineRule="exact"/>
        <w:rPr>
          <w:sz w:val="20"/>
          <w:szCs w:val="20"/>
          <w:color w:val="auto"/>
        </w:rPr>
      </w:pPr>
    </w:p>
    <w:p>
      <w:pPr>
        <w:jc w:val="center"/>
        <w:ind w:right="-59"/>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No</w:t>
      </w:r>
    </w:p>
    <w:p>
      <w:pPr>
        <w:spacing w:after="0" w:line="2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jc w:val="center"/>
        <w:ind w:right="-7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5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ind w:right="-7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highlight w:val="black"/>
        </w:rPr>
        <w:t xml:space="preserve">☐ </w:t>
      </w:r>
      <w:r>
        <w:rPr>
          <w:rFonts w:ascii="Arial" w:cs="Arial" w:eastAsia="Arial" w:hAnsi="Arial"/>
          <w:sz w:val="16"/>
          <w:szCs w:val="16"/>
          <w:b w:val="1"/>
          <w:bCs w:val="1"/>
          <w:color w:val="auto"/>
        </w:rPr>
        <w:t>No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0"/>
          <w:szCs w:val="20"/>
          <w:color w:val="auto"/>
        </w:rPr>
      </w:pPr>
    </w:p>
    <w:p>
      <w:pPr>
        <w:jc w:val="center"/>
        <w:ind w:right="-7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w:t>
      </w:r>
    </w:p>
    <w:p>
      <w:pPr>
        <w:spacing w:after="0" w:line="193" w:lineRule="exact"/>
        <w:rPr>
          <w:sz w:val="20"/>
          <w:szCs w:val="20"/>
          <w:color w:val="auto"/>
        </w:rPr>
      </w:pPr>
    </w:p>
    <w:p>
      <w:pPr>
        <w:ind w:left="660"/>
        <w:spacing w:after="0" w:line="207" w:lineRule="exact"/>
        <w:tabs>
          <w:tab w:leader="none" w:pos="3480" w:val="left"/>
          <w:tab w:leader="none" w:pos="63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360"/>
          </w:cols>
          <w:pgMar w:left="240" w:top="908" w:right="299" w:bottom="1440" w:gutter="0" w:footer="0" w:header="0"/>
        </w:sectPr>
      </w:pPr>
    </w:p>
    <w:p>
      <w:pPr>
        <w:spacing w:after="0" w:line="19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620" w:hanging="215"/>
        <w:spacing w:after="0" w:line="23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Other</w:t>
      </w:r>
    </w:p>
    <w:p>
      <w:pPr>
        <w:spacing w:after="0" w:line="493" w:lineRule="exact"/>
        <w:rPr>
          <w:sz w:val="20"/>
          <w:szCs w:val="20"/>
          <w:color w:val="auto"/>
        </w:rPr>
      </w:pPr>
    </w:p>
    <w:p>
      <w:pPr>
        <w:sectPr>
          <w:pgSz w:w="11900" w:h="16838" w:orient="portrait"/>
          <w:cols w:equalWidth="0" w:num="4">
            <w:col w:w="160" w:space="140"/>
            <w:col w:w="2040" w:space="720"/>
            <w:col w:w="5900" w:space="720"/>
            <w:col w:w="1680"/>
          </w:cols>
          <w:pgMar w:left="240" w:top="908" w:right="2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41" w:lineRule="exact"/>
        <w:rPr>
          <w:sz w:val="20"/>
          <w:szCs w:val="20"/>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jc w:val="center"/>
        <w:ind w:right="-7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20" w:type="dxa"/>
            <w:vAlign w:val="bottom"/>
            <w:gridSpan w:val="14"/>
          </w:tcPr>
          <w:p>
            <w:pPr>
              <w:ind w:left="60"/>
              <w:spacing w:after="0"/>
              <w:rPr>
                <w:sz w:val="20"/>
                <w:szCs w:val="20"/>
                <w:color w:val="auto"/>
              </w:rPr>
            </w:pPr>
            <w:r>
              <w:rPr>
                <w:rFonts w:ascii="Arial" w:cs="Arial" w:eastAsia="Arial" w:hAnsi="Arial"/>
                <w:sz w:val="18"/>
                <w:szCs w:val="18"/>
                <w:b w:val="1"/>
                <w:bCs w:val="1"/>
                <w:color w:val="auto"/>
              </w:rPr>
              <w:t>TABLE OF CONTENTS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78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NOTE REGARDING FORWARD-LOOKING STATEMENTS</w:t>
              </w:r>
            </w:hyperlink>
          </w:p>
        </w:tc>
        <w:tc>
          <w:tcPr>
            <w:tcW w:w="3920" w:type="dxa"/>
            <w:vAlign w:val="bottom"/>
            <w:tcBorders>
              <w:bottom w:val="single" w:sz="8" w:color="CCEEFF"/>
            </w:tcBorders>
            <w:gridSpan w:val="8"/>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USE OF TRADE NAMES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CERTAIN ADDITIONAL TERMS AND CONVENTIONS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260" w:type="dxa"/>
            <w:vAlign w:val="bottom"/>
            <w:tcBorders>
              <w:bottom w:val="single" w:sz="8" w:color="0000EE"/>
            </w:tcBorders>
            <w:gridSpan w:val="27"/>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ITEM 1. IDENTITY OF DIRECTORS, SENIOR MANAGEMENT AND ADVISERS</w:t>
              </w:r>
            </w:hyperlink>
          </w:p>
        </w:tc>
        <w:tc>
          <w:tcPr>
            <w:tcW w:w="3440" w:type="dxa"/>
            <w:vAlign w:val="bottom"/>
            <w:tcBorders>
              <w:bottom w:val="single" w:sz="8" w:color="CCEEFF"/>
            </w:tcBorders>
            <w:gridSpan w:val="5"/>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tcBorders>
              <w:bottom w:val="single" w:sz="8" w:color="0000EE"/>
            </w:tcBorders>
            <w:gridSpan w:val="18"/>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ITEM 2. OFFER STATISTICS AND EXPECTED TIMETABLE</w:t>
              </w:r>
            </w:hyperlink>
          </w:p>
        </w:tc>
        <w:tc>
          <w:tcPr>
            <w:tcW w:w="5020" w:type="dxa"/>
            <w:vAlign w:val="bottom"/>
            <w:gridSpan w:val="14"/>
          </w:tcPr>
          <w:p>
            <w:pPr>
              <w:spacing w:after="0"/>
              <w:rPr>
                <w:sz w:val="15"/>
                <w:szCs w:val="15"/>
                <w:color w:val="auto"/>
              </w:rPr>
            </w:pPr>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3. KEY INFORMATION</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2"/>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4. INFORMATION ON THE COMPANY</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4A. UNRESOLVED STAFF COMMENTS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5320" w:type="dxa"/>
            <w:vAlign w:val="bottom"/>
            <w:tcBorders>
              <w:bottom w:val="single" w:sz="8" w:color="0000EE"/>
            </w:tcBorders>
            <w:gridSpan w:val="21"/>
          </w:tcPr>
          <w:p>
            <w:pPr>
              <w:spacing w:after="0" w:line="17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ITEM 5. OPERATING AND FINANCIAL REVIEW AND PROSPECTS</w:t>
              </w:r>
            </w:hyperlink>
          </w:p>
        </w:tc>
        <w:tc>
          <w:tcPr>
            <w:tcW w:w="4380" w:type="dxa"/>
            <w:vAlign w:val="bottom"/>
            <w:gridSpan w:val="11"/>
          </w:tcPr>
          <w:p>
            <w:pPr>
              <w:spacing w:after="0"/>
              <w:rPr>
                <w:sz w:val="15"/>
                <w:szCs w:val="15"/>
                <w:color w:val="auto"/>
              </w:rPr>
            </w:pPr>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8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ITEM 6. DIRECTORS, SENIOR MANAGEMENT AND EMPLOYEES</w:t>
              </w:r>
            </w:hyperlink>
          </w:p>
        </w:tc>
        <w:tc>
          <w:tcPr>
            <w:tcW w:w="4420" w:type="dxa"/>
            <w:vAlign w:val="bottom"/>
            <w:tcBorders>
              <w:bottom w:val="single" w:sz="8" w:color="CCEEFF"/>
            </w:tcBorders>
            <w:gridSpan w:val="12"/>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40" w:type="dxa"/>
            <w:vAlign w:val="bottom"/>
            <w:tcBorders>
              <w:bottom w:val="single" w:sz="8" w:color="0000EE"/>
            </w:tcBorders>
            <w:gridSpan w:val="25"/>
          </w:tcPr>
          <w:p>
            <w:pPr>
              <w:spacing w:after="0" w:line="17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ITEM 7. MAJOR SHAREHOLDERS AND RELATED PARTY TRANSACTIONS</w:t>
              </w:r>
            </w:hyperlink>
          </w:p>
        </w:tc>
        <w:tc>
          <w:tcPr>
            <w:tcW w:w="3660" w:type="dxa"/>
            <w:vAlign w:val="bottom"/>
            <w:gridSpan w:val="7"/>
          </w:tcPr>
          <w:p>
            <w:pPr>
              <w:spacing w:after="0"/>
              <w:rPr>
                <w:sz w:val="15"/>
                <w:szCs w:val="15"/>
                <w:color w:val="auto"/>
              </w:rPr>
            </w:pPr>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8. FINANCIAL INFORMATION</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tcBorders>
              <w:top w:val="single" w:sz="8" w:color="0000EE"/>
            </w:tcBorders>
            <w:gridSpan w:val="10"/>
          </w:tcPr>
          <w:p>
            <w:pPr>
              <w:spacing w:after="0" w:line="176"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ITEM 9. THE OFFER AND LISTING</w:t>
              </w:r>
            </w:hyperlink>
          </w:p>
        </w:tc>
        <w:tc>
          <w:tcPr>
            <w:tcW w:w="6800" w:type="dxa"/>
            <w:vAlign w:val="bottom"/>
            <w:tcBorders>
              <w:top w:val="single" w:sz="8" w:color="CCEEFF"/>
            </w:tcBorders>
            <w:gridSpan w:val="22"/>
          </w:tcPr>
          <w:p>
            <w:pPr>
              <w:spacing w:after="0"/>
              <w:rPr>
                <w:sz w:val="15"/>
                <w:szCs w:val="15"/>
                <w:color w:val="auto"/>
              </w:rPr>
            </w:pPr>
          </w:p>
        </w:tc>
        <w:tc>
          <w:tcPr>
            <w:tcW w:w="1700" w:type="dxa"/>
            <w:vAlign w:val="bottom"/>
            <w:tcBorders>
              <w:top w:val="single" w:sz="8" w:color="CCEEFF"/>
            </w:tcBorders>
          </w:tcPr>
          <w:p>
            <w:pPr>
              <w:jc w:val="center"/>
              <w:ind w:left="710"/>
              <w:spacing w:after="0" w:line="176" w:lineRule="exact"/>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10. ADDITIONAL INFORMATION</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CCEEFF"/>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6880" w:type="dxa"/>
            <w:vAlign w:val="bottom"/>
            <w:tcBorders>
              <w:bottom w:val="single" w:sz="8" w:color="0000EE"/>
            </w:tcBorders>
            <w:gridSpan w:val="28"/>
          </w:tcPr>
          <w:p>
            <w:pPr>
              <w:spacing w:after="0" w:line="176" w:lineRule="exact"/>
              <w:rPr>
                <w:rFonts w:ascii="Arial" w:cs="Arial" w:eastAsia="Arial" w:hAnsi="Arial"/>
                <w:sz w:val="18"/>
                <w:szCs w:val="18"/>
                <w:color w:val="0000EE"/>
                <w:w w:val="97"/>
              </w:rPr>
            </w:pPr>
            <w:hyperlink w:anchor="page99">
              <w:r>
                <w:rPr>
                  <w:rFonts w:ascii="Arial" w:cs="Arial" w:eastAsia="Arial" w:hAnsi="Arial"/>
                  <w:sz w:val="18"/>
                  <w:szCs w:val="18"/>
                  <w:color w:val="0000EE"/>
                  <w:w w:val="97"/>
                </w:rPr>
                <w:t>ITEM 11. QUANTITATIVE AND QUALITATIVE DISCLOSURES ABOUT MARKET RISK</w:t>
              </w:r>
            </w:hyperlink>
          </w:p>
        </w:tc>
        <w:tc>
          <w:tcPr>
            <w:tcW w:w="2820" w:type="dxa"/>
            <w:vAlign w:val="bottom"/>
            <w:gridSpan w:val="4"/>
          </w:tcPr>
          <w:p>
            <w:pPr>
              <w:spacing w:after="0"/>
              <w:rPr>
                <w:sz w:val="15"/>
                <w:szCs w:val="15"/>
                <w:color w:val="auto"/>
              </w:rPr>
            </w:pPr>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9"/>
              </w:rPr>
              <w:t>96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12. DESCRIPTION OF SECURITIES OTHER THAN EQUITY SECURITIES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PART II</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7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576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ITEM 13. DEFAULTS, DIVIDEND ARREARAGES AND DELINQUENCIES</w:t>
              </w:r>
            </w:hyperlink>
          </w:p>
        </w:tc>
        <w:tc>
          <w:tcPr>
            <w:tcW w:w="3940" w:type="dxa"/>
            <w:vAlign w:val="bottom"/>
            <w:tcBorders>
              <w:bottom w:val="single" w:sz="8" w:color="CCEEFF"/>
            </w:tcBorders>
            <w:gridSpan w:val="9"/>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2"/>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14. MATERIAL MODIFICATIONS TO THE RIGHTS OF SECURITY HOLDERS AND USE OF PROCEEDS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ITEM 15. CONTROLS AND PROCEDURES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6"/>
          </w:tcPr>
          <w:p>
            <w:pPr>
              <w:spacing w:after="0" w:line="176" w:lineRule="exact"/>
              <w:rPr>
                <w:rFonts w:ascii="Arial" w:cs="Arial" w:eastAsia="Arial" w:hAnsi="Arial"/>
                <w:sz w:val="18"/>
                <w:szCs w:val="18"/>
                <w:color w:val="0000EE"/>
                <w:w w:val="94"/>
              </w:rPr>
            </w:pPr>
            <w:hyperlink w:anchor="page102">
              <w:r>
                <w:rPr>
                  <w:rFonts w:ascii="Arial" w:cs="Arial" w:eastAsia="Arial" w:hAnsi="Arial"/>
                  <w:sz w:val="18"/>
                  <w:szCs w:val="18"/>
                  <w:color w:val="0000EE"/>
                  <w:w w:val="94"/>
                </w:rPr>
                <w:t>ITEM 16. [RESERVED]</w:t>
              </w:r>
            </w:hyperlink>
          </w:p>
        </w:tc>
        <w:tc>
          <w:tcPr>
            <w:tcW w:w="1560" w:type="dxa"/>
            <w:vAlign w:val="bottom"/>
            <w:tcBorders>
              <w:top w:val="single" w:sz="8" w:color="0000EE"/>
            </w:tcBorders>
            <w:gridSpan w:val="7"/>
          </w:tcPr>
          <w:p>
            <w:pPr>
              <w:spacing w:after="0"/>
              <w:rPr>
                <w:sz w:val="15"/>
                <w:szCs w:val="15"/>
                <w:color w:val="auto"/>
              </w:rPr>
            </w:pPr>
          </w:p>
        </w:tc>
        <w:tc>
          <w:tcPr>
            <w:tcW w:w="6360" w:type="dxa"/>
            <w:vAlign w:val="bottom"/>
            <w:tcBorders>
              <w:top w:val="single" w:sz="8" w:color="CCEEFF"/>
            </w:tcBorders>
            <w:gridSpan w:val="19"/>
          </w:tcPr>
          <w:p>
            <w:pPr>
              <w:spacing w:after="0"/>
              <w:rPr>
                <w:sz w:val="15"/>
                <w:szCs w:val="15"/>
                <w:color w:val="auto"/>
              </w:rPr>
            </w:pPr>
          </w:p>
        </w:tc>
        <w:tc>
          <w:tcPr>
            <w:tcW w:w="1700" w:type="dxa"/>
            <w:vAlign w:val="bottom"/>
            <w:tcBorders>
              <w:top w:val="single" w:sz="8" w:color="CCEEFF"/>
            </w:tcBorders>
          </w:tcPr>
          <w:p>
            <w:pPr>
              <w:jc w:val="center"/>
              <w:ind w:left="710"/>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8"/>
              </w:rPr>
            </w:pPr>
            <w:hyperlink w:anchor="page102">
              <w:r>
                <w:rPr>
                  <w:rFonts w:ascii="Arial" w:cs="Arial" w:eastAsia="Arial" w:hAnsi="Arial"/>
                  <w:sz w:val="18"/>
                  <w:szCs w:val="18"/>
                  <w:color w:val="0000EE"/>
                  <w:w w:val="98"/>
                </w:rPr>
                <w:t>ITEM 16A. AUDIT COMMITTEE FINANCIAL EXPERT</w:t>
              </w:r>
            </w:hyperlink>
          </w:p>
        </w:tc>
        <w:tc>
          <w:tcPr>
            <w:tcW w:w="5420" w:type="dxa"/>
            <w:vAlign w:val="bottom"/>
            <w:tcBorders>
              <w:bottom w:val="single" w:sz="8" w:color="CCEEFF"/>
            </w:tcBorders>
            <w:gridSpan w:val="16"/>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2"/>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ITEM 16B. CODE OF ETHICS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ITEM 16C. PRINCIPAL ACCOUNTANT FEES AND SERVICES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040" w:type="dxa"/>
            <w:vAlign w:val="bottom"/>
            <w:tcBorders>
              <w:bottom w:val="single" w:sz="8" w:color="0000EE"/>
            </w:tcBorders>
            <w:gridSpan w:val="29"/>
          </w:tcPr>
          <w:p>
            <w:pPr>
              <w:spacing w:after="0" w:line="176" w:lineRule="exact"/>
              <w:rPr>
                <w:rFonts w:ascii="Arial" w:cs="Arial" w:eastAsia="Arial" w:hAnsi="Arial"/>
                <w:sz w:val="18"/>
                <w:szCs w:val="18"/>
                <w:color w:val="0000EE"/>
                <w:w w:val="96"/>
              </w:rPr>
            </w:pPr>
            <w:hyperlink w:anchor="page103">
              <w:r>
                <w:rPr>
                  <w:rFonts w:ascii="Arial" w:cs="Arial" w:eastAsia="Arial" w:hAnsi="Arial"/>
                  <w:sz w:val="18"/>
                  <w:szCs w:val="18"/>
                  <w:color w:val="0000EE"/>
                  <w:w w:val="96"/>
                </w:rPr>
                <w:t>ITEM 16D. EXEMPTIONS FROM THE LISTING STANDARDS FOR AUDIT COMMITTEES</w:t>
              </w:r>
            </w:hyperlink>
          </w:p>
        </w:tc>
        <w:tc>
          <w:tcPr>
            <w:tcW w:w="2660" w:type="dxa"/>
            <w:vAlign w:val="bottom"/>
            <w:gridSpan w:val="3"/>
          </w:tcPr>
          <w:p>
            <w:pPr>
              <w:spacing w:after="0"/>
              <w:rPr>
                <w:sz w:val="15"/>
                <w:szCs w:val="15"/>
                <w:color w:val="auto"/>
              </w:rPr>
            </w:pPr>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ITEM 16E. PURCHASES OF EQUITY SECURITIES BY THE ISSUER AND AFFILIATED PURCHASERS</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tcBorders>
              <w:top w:val="single" w:sz="8" w:color="0000EE"/>
              <w:bottom w:val="single" w:sz="8" w:color="0000EE"/>
            </w:tcBorders>
            <w:gridSpan w:val="22"/>
          </w:tcPr>
          <w:p>
            <w:pPr>
              <w:spacing w:after="0" w:line="176" w:lineRule="exact"/>
              <w:rPr>
                <w:rFonts w:ascii="Arial" w:cs="Arial" w:eastAsia="Arial" w:hAnsi="Arial"/>
                <w:sz w:val="18"/>
                <w:szCs w:val="18"/>
                <w:color w:val="0000EE"/>
                <w:w w:val="96"/>
              </w:rPr>
            </w:pPr>
            <w:hyperlink w:anchor="page103">
              <w:r>
                <w:rPr>
                  <w:rFonts w:ascii="Arial" w:cs="Arial" w:eastAsia="Arial" w:hAnsi="Arial"/>
                  <w:sz w:val="18"/>
                  <w:szCs w:val="18"/>
                  <w:color w:val="0000EE"/>
                  <w:w w:val="96"/>
                </w:rPr>
                <w:t>ITEM 16F. CHANGE IN REGISTRANT’S CERTIFYING ACCOUNTANT</w:t>
              </w:r>
            </w:hyperlink>
          </w:p>
        </w:tc>
        <w:tc>
          <w:tcPr>
            <w:tcW w:w="2480" w:type="dxa"/>
            <w:vAlign w:val="bottom"/>
            <w:tcBorders>
              <w:top w:val="single" w:sz="8" w:color="0000EE"/>
            </w:tcBorders>
            <w:gridSpan w:val="8"/>
          </w:tcPr>
          <w:p>
            <w:pPr>
              <w:spacing w:after="0"/>
              <w:rPr>
                <w:sz w:val="15"/>
                <w:szCs w:val="15"/>
                <w:color w:val="auto"/>
              </w:rPr>
            </w:pPr>
          </w:p>
        </w:tc>
        <w:tc>
          <w:tcPr>
            <w:tcW w:w="1700" w:type="dxa"/>
            <w:vAlign w:val="bottom"/>
            <w:tcBorders>
              <w:top w:val="single" w:sz="8" w:color="CCEEFF"/>
            </w:tcBorders>
            <w:gridSpan w:val="2"/>
          </w:tcPr>
          <w:p>
            <w:pPr>
              <w:spacing w:after="0"/>
              <w:rPr>
                <w:sz w:val="15"/>
                <w:szCs w:val="15"/>
                <w:color w:val="auto"/>
              </w:rPr>
            </w:pPr>
          </w:p>
        </w:tc>
        <w:tc>
          <w:tcPr>
            <w:tcW w:w="1700" w:type="dxa"/>
            <w:vAlign w:val="bottom"/>
            <w:tcBorders>
              <w:top w:val="single" w:sz="8" w:color="CCEEFF"/>
            </w:tcBorders>
          </w:tcPr>
          <w:p>
            <w:pPr>
              <w:jc w:val="center"/>
              <w:ind w:left="710"/>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700" w:type="dxa"/>
            <w:vAlign w:val="bottom"/>
            <w:gridSpan w:val="32"/>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ITEM 16G. CORPORATE GOVERNANCE</w:t>
              </w:r>
            </w:hyperlink>
          </w:p>
        </w:tc>
        <w:tc>
          <w:tcPr>
            <w:tcW w:w="1700" w:type="dxa"/>
            <w:vAlign w:val="bottom"/>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9700" w:type="dxa"/>
            <w:vAlign w:val="bottom"/>
            <w:gridSpan w:val="32"/>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ITEM 16H. MINE SAFETY DISCLOSURE</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80" w:type="dxa"/>
            <w:vAlign w:val="bottom"/>
            <w:tcBorders>
              <w:top w:val="single" w:sz="8" w:color="0000EE"/>
            </w:tcBorders>
            <w:shd w:val="clear" w:color="auto" w:fill="CCEEFF"/>
          </w:tcPr>
          <w:p>
            <w:pPr>
              <w:spacing w:after="0"/>
              <w:rPr>
                <w:sz w:val="17"/>
                <w:szCs w:val="17"/>
                <w:color w:val="auto"/>
              </w:rPr>
            </w:pPr>
          </w:p>
        </w:tc>
        <w:tc>
          <w:tcPr>
            <w:tcW w:w="48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9700" w:type="dxa"/>
            <w:vAlign w:val="bottom"/>
            <w:gridSpan w:val="32"/>
          </w:tcPr>
          <w:p>
            <w:pPr>
              <w:spacing w:after="0" w:line="176" w:lineRule="exact"/>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III</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2900" w:type="dxa"/>
            <w:vAlign w:val="bottom"/>
            <w:tcBorders>
              <w:bottom w:val="single" w:sz="8" w:color="0000EE"/>
            </w:tcBorders>
            <w:gridSpan w:val="10"/>
          </w:tcPr>
          <w:p>
            <w:pPr>
              <w:spacing w:after="0" w:line="176"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ITEM 17. FINANCIAL STATEMENTS</w:t>
              </w:r>
            </w:hyperlink>
          </w:p>
        </w:tc>
        <w:tc>
          <w:tcPr>
            <w:tcW w:w="6800" w:type="dxa"/>
            <w:vAlign w:val="bottom"/>
            <w:gridSpan w:val="22"/>
          </w:tcPr>
          <w:p>
            <w:pPr>
              <w:spacing w:after="0"/>
              <w:rPr>
                <w:sz w:val="15"/>
                <w:szCs w:val="15"/>
                <w:color w:val="auto"/>
              </w:rPr>
            </w:pPr>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ITEM 18. FINANCIAL STATEMENTS</w:t>
              </w:r>
            </w:hyperlink>
          </w:p>
        </w:tc>
        <w:tc>
          <w:tcPr>
            <w:tcW w:w="6800" w:type="dxa"/>
            <w:vAlign w:val="bottom"/>
            <w:tcBorders>
              <w:bottom w:val="single" w:sz="8" w:color="CCEEFF"/>
            </w:tcBorders>
            <w:gridSpan w:val="22"/>
            <w:shd w:val="clear" w:color="auto" w:fill="CCEEFF"/>
          </w:tcPr>
          <w:p>
            <w:pPr>
              <w:spacing w:after="0"/>
              <w:rPr>
                <w:sz w:val="15"/>
                <w:szCs w:val="15"/>
                <w:color w:val="auto"/>
              </w:rPr>
            </w:pPr>
          </w:p>
        </w:tc>
        <w:tc>
          <w:tcPr>
            <w:tcW w:w="1700" w:type="dxa"/>
            <w:vAlign w:val="bottom"/>
            <w:tcBorders>
              <w:bottom w:val="single" w:sz="8" w:color="CCEEFF"/>
            </w:tcBorders>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700" w:type="dxa"/>
            <w:vAlign w:val="bottom"/>
            <w:gridSpan w:val="32"/>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ITEM 19. EXHIBITS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9700" w:type="dxa"/>
            <w:vAlign w:val="bottom"/>
            <w:gridSpan w:val="32"/>
          </w:tcPr>
          <w:p>
            <w:pPr>
              <w:spacing w:after="0" w:line="176"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SIGNATURES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420" w:type="dxa"/>
            <w:vAlign w:val="bottom"/>
            <w:tcBorders>
              <w:top w:val="single" w:sz="8" w:color="0000EE"/>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700" w:type="dxa"/>
            <w:vAlign w:val="bottom"/>
            <w:gridSpan w:val="32"/>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INDEX TO FINANCIAL STATEMENTS</w:t>
              </w:r>
            </w:hyperlink>
          </w:p>
        </w:tc>
        <w:tc>
          <w:tcPr>
            <w:tcW w:w="1700" w:type="dxa"/>
            <w:vAlign w:val="bottom"/>
          </w:tcPr>
          <w:p>
            <w:pPr>
              <w:jc w:val="center"/>
              <w:ind w:left="710"/>
              <w:spacing w:after="0" w:line="17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689"/>
        </w:trPr>
        <w:tc>
          <w:tcPr>
            <w:tcW w:w="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impacts of variability on our future revenues;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expand into continue our expansion into new product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continue to invest in research and development to introduce new systems and improved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to file and procure additional patents relating to our intellectual property rights and the adequate protection of these rights;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“ITEM 3.D Risk Factors,” “ITEM 4 Information on the Company,” and “ITEM 5 Operating and Financial Review and Prospects.”</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t>USE OF TRADE NAMES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Throughout this annual report, we refer to various trademarks, service marks and trade names that we use in our business. The “Kornit Digital” design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holders.We do not intend our use or display of other companies’ tradenames, trademarks or service marks to imply a relationship with, or endorsement or sponsorship of us by, these other companies.</w:t>
      </w:r>
    </w:p>
    <w:p>
      <w:pPr>
        <w:spacing w:after="0" w:line="17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CERTAIN ADDITIONAL TERMS AND CONVENTIONS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annual report,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“Kornit Digital,” “our company,” “the Company,” “the registrant,” “we,” “us,” and “our” refer to Kornit Digital Ltd.;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to “ordinary shares”, “our shares” and similar expressions refer to the Company’s Ordinary Shares, par value NIS 0.01 per share;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“dollars”, “U.S. dollars”, “U.S. $” and “$” are to United States Dollars;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“shekels” and “NIS” are to New Israeli Shekels, the Israeli currency;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“GAAP” are to U.S. Generally Accepted Accounting Principles;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our “articles” are to our Articles of Association,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“Companies Law” are to the Israeli Companies Law, 5759-1999,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“Securities Act” are to the U.S. Securities Act of 1933,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“Exchange Act” are to the U.S. Securities Exchange Act of 1934,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“NASDAQ” are to the NASDAQ Stock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“SEC” are to the United States Securities and Exchange Commission;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“IPO” are to the initial public offering of our ordinary shares in the United States, which closed on April 8, 2015.</w:t>
      </w:r>
    </w:p>
    <w:p>
      <w:pPr>
        <w:spacing w:after="0" w:line="22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Identity of Directors, Senior Management and Advisers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Offer Statistics and Expected Timetable</w:t>
      </w:r>
      <w:r>
        <w:rPr>
          <w:rFonts w:ascii="Arial" w:cs="Arial" w:eastAsia="Arial" w:hAnsi="Arial"/>
          <w:sz w:val="16"/>
          <w:szCs w:val="16"/>
          <w:b w:val="1"/>
          <w:bCs w:val="1"/>
          <w:color w:val="auto"/>
        </w:rPr>
        <w:t>.</w:t>
      </w:r>
    </w:p>
    <w:p>
      <w:pPr>
        <w:spacing w:after="0" w:line="229" w:lineRule="exact"/>
        <w:rPr>
          <w:sz w:val="20"/>
          <w:szCs w:val="20"/>
          <w:color w:val="auto"/>
        </w:rPr>
      </w:pPr>
    </w:p>
    <w:p>
      <w:pPr>
        <w:jc w:val="center"/>
        <w:ind w:right="88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Key Information</w:t>
      </w:r>
      <w:r>
        <w:rPr>
          <w:rFonts w:ascii="Arial" w:cs="Arial" w:eastAsia="Arial" w:hAnsi="Arial"/>
          <w:sz w:val="16"/>
          <w:szCs w:val="16"/>
          <w:b w:val="1"/>
          <w:bCs w:val="1"/>
          <w:color w:val="auto"/>
        </w:rPr>
        <w:t>.</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annual report, including “ITEM 5 - Operating and Financial Review and Prospects” and our consolidated financial statements and the related notes appearing elsewhere in this annual report.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5" w:name="page6"/>
    <w:bookmarkEnd w:id="5"/>
    <w:p>
      <w:pPr>
        <w:ind w:right="60" w:firstLine="648"/>
        <w:spacing w:after="0" w:line="297" w:lineRule="auto"/>
        <w:rPr>
          <w:sz w:val="20"/>
          <w:szCs w:val="20"/>
          <w:color w:val="auto"/>
        </w:rPr>
      </w:pPr>
      <w:r>
        <w:rPr>
          <w:rFonts w:ascii="Arial" w:cs="Arial" w:eastAsia="Arial" w:hAnsi="Arial"/>
          <w:sz w:val="16"/>
          <w:szCs w:val="16"/>
          <w:color w:val="auto"/>
        </w:rPr>
        <w:t>The selected consolidated statements of income data for the years ended December 31, 2013, 2014 and 2015 and selected consolidated balance sheet data as of December 31, 2014 and 2015 are derived from our audited consolidated financial statements appearing in ITEM 18. Financial Statements. The selected consolidated statements of income data for the year ended December 31, 2012 and the selected consolidated balance sheet data as of December 31, 2012 and 2013 has been derived from our audited consolidated financial statements not appearing in this annual report. The historical results set forth below are not necessarily indicative of the results to be expected in future periods. Our financial statements have been prepared in accordance with GAAP.</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3"/>
              </w:rPr>
              <w:t>Year Ended December 31,</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80" w:type="dxa"/>
            <w:vAlign w:val="bottom"/>
            <w:gridSpan w:val="11"/>
          </w:tcPr>
          <w:p>
            <w:pPr>
              <w:jc w:val="right"/>
              <w:spacing w:after="0"/>
              <w:rPr>
                <w:sz w:val="20"/>
                <w:szCs w:val="20"/>
                <w:color w:val="auto"/>
              </w:rPr>
            </w:pPr>
            <w:r>
              <w:rPr>
                <w:rFonts w:ascii="Arial" w:cs="Arial" w:eastAsia="Arial" w:hAnsi="Arial"/>
                <w:sz w:val="18"/>
                <w:szCs w:val="18"/>
                <w:b w:val="1"/>
                <w:bCs w:val="1"/>
                <w:color w:val="auto"/>
              </w:rPr>
              <w:t>(in thousands, except share and per share data)</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49,395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66,364</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740" w:type="dxa"/>
            <w:vAlign w:val="bottom"/>
          </w:tcPr>
          <w:p>
            <w:pPr>
              <w:spacing w:after="0" w:line="269" w:lineRule="exact"/>
              <w:rPr>
                <w:sz w:val="20"/>
                <w:szCs w:val="20"/>
                <w:color w:val="auto"/>
              </w:rPr>
            </w:pPr>
            <w:r>
              <w:rPr>
                <w:rFonts w:ascii="Arial" w:cs="Arial" w:eastAsia="Arial" w:hAnsi="Arial"/>
                <w:sz w:val="18"/>
                <w:szCs w:val="18"/>
                <w:color w:val="auto"/>
              </w:rPr>
              <w:t xml:space="preserve">Cost of revenues </w:t>
            </w:r>
            <w:r>
              <w:rPr>
                <w:rFonts w:ascii="Arial" w:cs="Arial" w:eastAsia="Arial" w:hAnsi="Arial"/>
                <w:sz w:val="30"/>
                <w:szCs w:val="30"/>
                <w:color w:val="auto"/>
                <w:vertAlign w:val="superscript"/>
              </w:rPr>
              <w:t>(1)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22,741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27,953</w:t>
            </w: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37,187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45,820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4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7,443</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4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9"/>
                <w:szCs w:val="29"/>
                <w:color w:val="auto"/>
                <w:vertAlign w:val="superscript"/>
              </w:rPr>
              <w:t>(1)</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7,734</w:t>
            </w: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740" w:type="dxa"/>
            <w:vAlign w:val="bottom"/>
            <w:shd w:val="clear" w:color="auto" w:fill="CCEEFF"/>
          </w:tcPr>
          <w:p>
            <w:pPr>
              <w:ind w:left="200"/>
              <w:spacing w:after="0" w:line="269"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30"/>
                <w:szCs w:val="30"/>
                <w:color w:val="auto"/>
                <w:vertAlign w:val="superscript"/>
              </w:rPr>
              <w:t>(1)</w:t>
            </w:r>
          </w:p>
        </w:tc>
        <w:tc>
          <w:tcPr>
            <w:tcW w:w="3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12,599</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18,455</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25,357</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34,817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Finance expenses, net</w:t>
            </w:r>
          </w:p>
        </w:tc>
        <w:tc>
          <w:tcPr>
            <w:tcW w:w="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Taxes on income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740" w:type="dxa"/>
            <w:vAlign w:val="bottom"/>
            <w:vMerge w:val="continue"/>
            <w:shd w:val="clear" w:color="auto" w:fill="CCEEFF"/>
          </w:tcPr>
          <w:p>
            <w:pPr>
              <w:spacing w:after="0"/>
              <w:rPr>
                <w:sz w:val="21"/>
                <w:szCs w:val="21"/>
                <w:color w:val="auto"/>
              </w:rPr>
            </w:pP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Borders>
              <w:top w:val="single" w:sz="8" w:color="CCEEFF"/>
              <w:bottom w:val="single" w:sz="8" w:color="CCEEFF"/>
            </w:tcBorders>
            <w:vMerge w:val="restart"/>
          </w:tcPr>
          <w:p>
            <w:pPr>
              <w:spacing w:after="0" w:line="256" w:lineRule="exact"/>
              <w:rPr>
                <w:sz w:val="20"/>
                <w:szCs w:val="20"/>
                <w:color w:val="auto"/>
              </w:rPr>
            </w:pPr>
            <w:r>
              <w:rPr>
                <w:rFonts w:ascii="Arial" w:cs="Arial" w:eastAsia="Arial" w:hAnsi="Arial"/>
                <w:sz w:val="18"/>
                <w:szCs w:val="18"/>
                <w:color w:val="auto"/>
              </w:rPr>
              <w:t xml:space="preserve">Net earnings (loss) per ordinary share </w:t>
            </w:r>
            <w:r>
              <w:rPr>
                <w:rFonts w:ascii="Arial" w:cs="Arial" w:eastAsia="Arial" w:hAnsi="Arial"/>
                <w:sz w:val="29"/>
                <w:szCs w:val="29"/>
                <w:color w:val="auto"/>
                <w:vertAlign w:val="superscript"/>
              </w:rPr>
              <w:t>(2)</w:t>
            </w: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740" w:type="dxa"/>
            <w:vAlign w:val="bottom"/>
            <w:tcBorders>
              <w:bottom w:val="single" w:sz="8" w:color="CCEEFF"/>
            </w:tcBorders>
            <w:vMerge w:val="continue"/>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740" w:type="dxa"/>
            <w:vAlign w:val="bottom"/>
            <w:shd w:val="clear" w:color="auto" w:fill="CCEEFF"/>
          </w:tcPr>
          <w:p>
            <w:pPr>
              <w:spacing w:after="0" w:line="165" w:lineRule="exact"/>
              <w:rPr>
                <w:sz w:val="20"/>
                <w:szCs w:val="20"/>
                <w:color w:val="auto"/>
              </w:rPr>
            </w:pPr>
            <w:r>
              <w:rPr>
                <w:rFonts w:ascii="Arial" w:cs="Arial" w:eastAsia="Arial" w:hAnsi="Arial"/>
                <w:sz w:val="18"/>
                <w:szCs w:val="18"/>
                <w:color w:val="auto"/>
                <w:w w:val="94"/>
              </w:rPr>
              <w:t>Weighted average number of ordinary shares used in computing income per</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740" w:type="dxa"/>
            <w:vAlign w:val="bottom"/>
            <w:shd w:val="clear" w:color="auto" w:fill="CCEEFF"/>
          </w:tcPr>
          <w:p>
            <w:pPr>
              <w:ind w:left="200"/>
              <w:spacing w:after="0" w:line="266" w:lineRule="exact"/>
              <w:rPr>
                <w:sz w:val="20"/>
                <w:szCs w:val="20"/>
                <w:color w:val="auto"/>
              </w:rPr>
            </w:pPr>
            <w:r>
              <w:rPr>
                <w:rFonts w:ascii="Arial" w:cs="Arial" w:eastAsia="Arial" w:hAnsi="Arial"/>
                <w:sz w:val="18"/>
                <w:szCs w:val="18"/>
                <w:color w:val="auto"/>
              </w:rPr>
              <w:t xml:space="preserve">ordinary share </w:t>
            </w:r>
            <w:r>
              <w:rPr>
                <w:rFonts w:ascii="Arial" w:cs="Arial" w:eastAsia="Arial" w:hAnsi="Arial"/>
                <w:sz w:val="30"/>
                <w:szCs w:val="30"/>
                <w:color w:val="auto"/>
                <w:vertAlign w:val="superscript"/>
              </w:rPr>
              <w:t>(2)</w:t>
            </w: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8,953,565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8,953,565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8,969,588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24,633,369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top w:val="single" w:sz="8" w:color="CCEEFF"/>
              <w:bottom w:val="single" w:sz="8" w:color="CCEEFF"/>
            </w:tcBorders>
            <w:shd w:val="clear" w:color="auto" w:fill="CCEEFF"/>
          </w:tcPr>
          <w:p>
            <w:pPr>
              <w:ind w:left="200"/>
              <w:spacing w:after="0" w:line="190" w:lineRule="exact"/>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9,649,573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9,880,049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10,446,329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26,458,584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As of December 31,</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4,663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5,329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57"/>
        </w:trPr>
        <w:tc>
          <w:tcPr>
            <w:tcW w:w="4300" w:type="dxa"/>
            <w:vAlign w:val="bottom"/>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(3)</w:t>
            </w:r>
          </w:p>
        </w:tc>
        <w:tc>
          <w:tcPr>
            <w:tcW w:w="1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12,166</w:t>
            </w:r>
          </w:p>
        </w:tc>
        <w:tc>
          <w:tcPr>
            <w:tcW w:w="3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12,811</w:t>
            </w:r>
          </w:p>
        </w:tc>
        <w:tc>
          <w:tcPr>
            <w:tcW w:w="3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14,863</w:t>
            </w:r>
          </w:p>
        </w:tc>
        <w:tc>
          <w:tcPr>
            <w:tcW w:w="3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65,455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24,407</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31,627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34,714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Total long term liabilities</w:t>
            </w: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1,372</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1,617</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2,025</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14,311</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15,608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19,351</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share-based compensation expense as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Year Ended December 31,</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Share-based Compensation Expense:</w:t>
            </w: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4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207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508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4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5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vMerge w:val="continue"/>
            <w:shd w:val="clear" w:color="auto" w:fill="CCEEFF"/>
          </w:tcPr>
          <w:p>
            <w:pPr>
              <w:spacing w:after="0"/>
              <w:rPr>
                <w:sz w:val="21"/>
                <w:szCs w:val="21"/>
                <w:color w:val="auto"/>
              </w:rPr>
            </w:pPr>
          </w:p>
        </w:tc>
        <w:tc>
          <w:tcPr>
            <w:tcW w:w="244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897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80" w:right="180" w:hanging="372"/>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Basic and diluted net earnings per ordinary share is computed based on the basic and diluted weighted average number of ordinary shares outstanding during each period. For additional information, see notes 2q and 9 to our consolidated financial statements included in ITEM 18. Financial Statements.</w:t>
      </w:r>
    </w:p>
    <w:p>
      <w:pPr>
        <w:spacing w:after="0" w:line="123" w:lineRule="exact"/>
        <w:rPr>
          <w:rFonts w:ascii="Arial" w:cs="Arial" w:eastAsia="Arial" w:hAnsi="Arial"/>
          <w:sz w:val="16"/>
          <w:szCs w:val="16"/>
          <w:color w:val="auto"/>
        </w:rPr>
      </w:pPr>
    </w:p>
    <w:p>
      <w:pPr>
        <w:ind w:left="380" w:right="200" w:hanging="372"/>
        <w:spacing w:after="0" w:line="297"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 In November 2015, the Financial Accounting Standards Board, or the FASB, issued Accounting Standards Update No. 2015-17, Income Taxes (Topic 740): Balance Sheet Classification of Deferred Taxes (ASU 2015-17), which simplifies the presentation of deferred income taxes by requiring deferred tax assets and liabilities to be classified as noncurrent on the balance sheet. We early adopted this standard retrospectively and reclassified all of our current deferred tax assets to noncurrent deferred tax assets which has resulted in a change to previously published working capital amounts for the years ended December 31, 2012, 2013 and 2014.</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 w:name="page8"/>
    <w:bookmarkEnd w:id="7"/>
    <w:p>
      <w:pPr>
        <w:ind w:left="660" w:right="8240" w:hanging="328"/>
        <w:spacing w:after="0" w:line="501"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660" w:right="7480" w:hanging="328"/>
        <w:spacing w:after="0" w:line="501"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i w:val="1"/>
          <w:iCs w:val="1"/>
          <w:color w:val="auto"/>
        </w:rPr>
        <w:t>Our business involves a high degree of risk. Please carefully consider the risks we describe below in addition to the other information set forth in this annual report and in our other filings with the SEC. These risks could materally and adversely affect our business, financial condition and results of operations. See “Cautionary Note Regarding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8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business model benefits significantly from recurring sales of our ink and other consumables for our existing and growing installed base of systems. Third parties could try to sell, and purchasers of our systems can seek to buy, alternative versions of our ink or other consumables. Third-party ink and other consumables might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 w:name="page9"/>
    <w:bookmarkEnd w:id="8"/>
    <w:p>
      <w:pPr>
        <w:ind w:right="100" w:firstLine="648"/>
        <w:spacing w:after="0" w:line="293" w:lineRule="auto"/>
        <w:rPr>
          <w:sz w:val="20"/>
          <w:szCs w:val="20"/>
          <w:color w:val="auto"/>
        </w:rPr>
      </w:pPr>
      <w:r>
        <w:rPr>
          <w:rFonts w:ascii="Arial" w:cs="Arial" w:eastAsia="Arial" w:hAnsi="Arial"/>
          <w:sz w:val="16"/>
          <w:szCs w:val="16"/>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compete successfully could cause our revenues and demand for our solutions to decline.</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principal competition for our digital printing systems comes from manufacturers of screen printing systems. Our principal competitor in the high throughput digital direct-to-garment, or DTG, market is Aeoon Technologies GmbH. We also face competition from Brother International Corporation, Seiko Epson Corporation, Ricoh and a number of smaller competitors with respect to our entry level systems. Some of our current and potential competitors have larger overall installed bases of customers, longer operating histories and greater name recognition than we have. In addition, many of these competitors have greater sales and marketing resources, more advanced manufacturing operations, broader distribution channels and established relationships with channel partners, and greater customer support resources than we have. Current and future competitors may be able to respond more quickly to changes in customer demands and devote greater resources to the development, promotion and sale of their printers and ink and other consumables than we can. Our current and potential competitors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subject to revenue concentration with respect to two of our independent distributors. In 2014 and 2015, our distributors in the United States, Hirsch International Corporation, accounted for 25% and 18% of our revenues in each such period, respectively and SPSI, Inc. accounted for 15% of our revenues in each such period. We have entered into non-exclusive distributor agreements with each of these distributors with a term that ends in April 2017 subject to automatic renewal for successive one-year periods unless one party notifies the other party that it does not wish to renew the agreement. These distributors may fail to devote the same level of attention to our solutions as they currently do, elect to distribute competitors’ products or be less successful than distributors of competitors’ products in their territories and, as a result, sales of our solutions may suffer. In addition, our relationships with these distributors could be terminated with little or no notice if these distributors become subject to bankruptcy or other similar proceedings or otherwise become unable or unwilling to continue their business relationship with us and we may not be able to find qualified and successful replacements for our distributors in a timely manner. Due to the concentration of our revenues with these distributors, any such event could have a material adverse effect on our results of operations. Additionally, a default by one or more independent distributors that has a significant receivables balance could harm our financial condition.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 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Moreover, the closing of an especially large transaction in a particular quarter may make it more difficult for us to meet market expectations in subsequent quarters, and our failure to close a large transaction in a particular quarter could adversely impact our revenues for that quarter.</w:t>
      </w:r>
    </w:p>
    <w:p>
      <w:pPr>
        <w:spacing w:after="0" w:line="1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while we recently started implementing a means of collecting real time data about our customers’ consumption of ink and other consumables when using our systems, we have thus far done so only to a limited extent and, accordingly, our ability to predict consumption is limited. 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92"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Furthermore, we base our current and future expense levels on our revenue forecasts and operating plans, and our costs are relatively fixed in the short term, due in part to long lead times required for ordering certain components of our systems and ordering assembly of our systems by third-party manufacturers. Accordingly, we would likely not be able to reduce our 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relationships with suppliers, especially with single source suppliers of components, were to terminate, our business could be harmed.</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52" w:lineRule="exact"/>
        <w:rPr>
          <w:sz w:val="20"/>
          <w:szCs w:val="20"/>
          <w:color w:val="auto"/>
        </w:rPr>
      </w:pPr>
    </w:p>
    <w:p>
      <w:pPr>
        <w:ind w:left="980" w:hanging="324"/>
        <w:spacing w:after="0" w:line="255"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print heads for our systems are supplied by a sole supplier, FujiFilm Dimatix, Inc., or FDMX. We entered into a new agreement with FDMX in 2015, pursuant to which FDMX is continuing to sell us certain off-the-shelf print heads and additional products, all of which FDMX regularly sells to providers of inkjet systems. The agreement provides that beginning with the start of the first one-year renewal period, FDMX may increase the prices of the products that we purchase from it upon 90-days’ prior notice, subject to certain conditions. The agreement renews automatically for successive one-year periods, but FDMX or we can terminate the agreement upon 90 days’ notice prior to the end of the then current term. Our current agreement terminates in December 2019 and provides for one three year renewal period and for further one year renewal periods thereafter. Our agreement further provides that FDMX may, at its option, discontinue products supplied under the agreement, provided that we are given one year notice of the planned discontinuance and are provided with an end of life purchase program.</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0" w:name="page11"/>
    <w:bookmarkEnd w:id="10"/>
    <w:p>
      <w:pPr>
        <w:ind w:left="980" w:right="10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chemical used in some of our inks is supplied by BG Bond, a subsidiary of Ashtrom Ltd., a large public Israeli industrial company. For some of our inks, this chemical is supplied by The Dow Chemical Company, a multinational producer of chemicals and other compounds. We currently purchase these chemicals on a purchase order basis.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loss of any of these suppliers, or of a supplier for which there are limited other sources, could result in the delay of the manufacture and delivery of our systems.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raw materials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25" w:lineRule="exact"/>
        <w:rPr>
          <w:sz w:val="20"/>
          <w:szCs w:val="20"/>
          <w:color w:val="auto"/>
        </w:rPr>
      </w:pPr>
    </w:p>
    <w:p>
      <w:pPr>
        <w:ind w:left="980" w:right="1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 in a timely manner;</w:t>
      </w:r>
    </w:p>
    <w:p>
      <w:pPr>
        <w:spacing w:after="0" w:line="170"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production delays related to the evaluation and testing of products from alternative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subject to price fluctuations due to a lack of long-term supply arrangements for key components;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or inks and other consumables;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If we cannot successfully market our systems to major brand owners and fashion designers, our future growth and prospects could be harmed.</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 key element of our strategy for growing our business is to market and sell digital printing systems to contract printers that serve major textile brand owners and fashion designers. Accordingly, we are investing in efforts to educate leading textile brand owners and fashion designers about the potential benefits of digital textile printing. Although we have successfully marketed our systems to online businesses and custom decorators, we have limited experience marketing our systems to brand owners and fashion designers. If our efforts to expand awareness of our systems do not succeed or do not influence major brand owners and fashion designers to adopt our digital printing technologies, or if there is a significant reduction in the popularity of printed textiles, especially those that are customized or personalized, among the consumers to whom such brand owners and fashion designers cater, our future growth and prospects could suffer.</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Disruption of operations at our manufacturing site or those of third-party manufacturers could prevent us from filling customer orders on a timely basis.</w:t>
      </w:r>
    </w:p>
    <w:p>
      <w:pPr>
        <w:spacing w:after="0" w:line="26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manufacture our ink and other consumables at our facility in Kiryat Gat, Israel. We also rely on contract manufacturing services provided by ITS Industrial Techno Logic Solutions Ltd and Flextronics Israel Ltd., which are also in Israel, to assemble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at any given moment we have only a limited inventory of our systems and ink and other consumables that we can supply to our customers in the event that our manufacturing is disrupted.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introduce new systems or other technological enhancements to the market on the timescales that we project.</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growth plan includes the introduction of new systems. For example, we are seeking to continue to penetrate the roll-to-roll, or R2R, market with our Allegro system, which we began selling commercially in the second quarter of 2015. We are also seeking to expand our presence in the industrial market with the commercial launch of our Vulcan system, which is targeted to occur in the second half of 2016. The process of developing new or improved solutions is expensive, complex and involves uncertainties. The success of new or improved solutions depends on several factors, including appropriate component and raw materials costs, timely completion and introduction, reliability and stability, differentiation of new or improved solutions, and market acceptance. There can be no assurance that we will be successful in developing and marketing our new or improved solutions in a timely manner or that our new or improved solutions will adequately address market demands. Furthermore, we may experience unanticipated delays in the availability of new or improved solutions, and may fail to meet customer expectations with respect to the timing of such availability.</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Allegro system, which we began selling commercially in the second quarter of 2015, may not achieve market acceptance or gain adequate market share.</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Allegro system is our first R2R printing system. Although the Allegro is based on the technology used in our DTG printing systems and we have experience in marketing our systems and ink and other consumables to the DTG printing market, the Allegro is our first R2R system. The market for digital R2R printers is more mature than the market for digital DTG printers, and we face significant competition from major textile printer and ink manufacturers in the R2R market, such as Dover Corporation, Electronic for Imaging, Inc., and Durst Phototechnik AG. In addition, we expect to continue to focus marketing efforts for our R2R systems towards customers with more capital-intensive operations, such as fabric converters, who source large quantities of fabric and convert untreated fabrics into finished materials to be sold to garment and home décor manufacturers. This differs from the customer base that we currently serve in the DTG market. We cannot ensure that the significant investments that we have made in distribution, sales and customer service teams to launch the Allegro will enable us to continue to market, sell and distribute the Allegro as planned. Market acceptance of the Allegro will depend on, among other things, the system demonstrating a real advantage over existing printers, the success of our sales and marketing teams in creating awareness of the Allegro, the sales price and the return on investment of the Allegro relative to alternative printers, customer recognition of the value of our technology, the effectiveness of our marketing campaigns, and the general willingness of potential customers to try new technologies. In the event that we are unable to achieve market acceptance of the Allegro, our growth and future prospects may be adversely affected.</w:t>
      </w:r>
    </w:p>
    <w:p>
      <w:pPr>
        <w:spacing w:after="0" w:line="1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effectively manage our growth, our business and operations will be negatively affected, and as we invest in the growth of our business, our operating and net profit margins could decline in the near-term.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experienced significant growth in a relatively short period of time and intend to continue to grow our business. Our revenues grew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$49.4 million in 2013 to $86.4 million in 2015. Our headcount increased from 200 as of December 31, 2013 to 343 as of December 31, 2015. We plan to hire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employees across all areas of our company. Our rapid growth has placed significant demands on our management, sales and operational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financial infrastructure, and our growth will continue to place significant demands on these resources. Further, in order to manage our future growth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effectively, we must continue to improve and expand our IT and financial infrastructure, operating and administrative systems and controls and efficiently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 headcount, capital and processes. We may not be able to successfully implement these improvements in a timely or efficient manner, and our failure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do so may materially impact our projected growth rate.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ind w:right="40"/>
        <w:spacing w:after="0" w:line="277" w:lineRule="auto"/>
        <w:rPr>
          <w:sz w:val="20"/>
          <w:szCs w:val="20"/>
          <w:color w:val="auto"/>
        </w:rPr>
      </w:pPr>
      <w:r>
        <w:rPr>
          <w:rFonts w:ascii="Arial" w:cs="Arial" w:eastAsia="Arial" w:hAnsi="Arial"/>
          <w:sz w:val="18"/>
          <w:szCs w:val="18"/>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Israeli shekel, the Euro and other non-U.S. currencies may negatively affect our earnings.</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dollar depreciated by 6.4% and 0.9% against the NIS in 2013 and 2014, respectively, and appreciated by 8.6% against the NIS in 2015. This effect was compounded by inflation in Israel of 1.8% in 2013 and deflation in Israel of 0.2% and 1.0% in 2014 and 2015, respectively. If the dollar cost of our operations increases, our dollar-measured results of operations will be adversely affected. See “ITEM 11. Quantitative and Qualitative Disclosures About Market Risk— Foreign Currency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right="80"/>
        <w:spacing w:after="0" w:line="381" w:lineRule="auto"/>
        <w:rPr>
          <w:sz w:val="20"/>
          <w:szCs w:val="20"/>
          <w:color w:val="auto"/>
        </w:rPr>
      </w:pPr>
      <w:r>
        <w:rPr>
          <w:rFonts w:ascii="Arial" w:cs="Arial" w:eastAsia="Arial" w:hAnsi="Arial"/>
          <w:sz w:val="15"/>
          <w:szCs w:val="15"/>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0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8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engineering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9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as well as longer collection periods;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uncertainty around the world;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4" w:name="page15"/>
    <w:bookmarkEnd w:id="14"/>
    <w:p>
      <w:pPr>
        <w:ind w:left="980" w:right="14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risk of a failure of employees to comply with both U.S. and foreign laws, including antitrust regulations, the U.S. Foreign Corrupt Practices Act (FCPA), and any trade regulations ensuring fair trade practices; and</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obtain patent protection for our solutions or otherwise protect our intellectual property rights, our business could suffer.</w:t>
      </w:r>
    </w:p>
    <w:p>
      <w:pPr>
        <w:spacing w:after="0" w:line="23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As of December 31, 2015, we owned nine issued patents in the United States and six provisional or pending U.S. patent applications. We also had ten patents issued in non-U.S. jurisdictions, and three pending Patent Cooperation Treaty patent applications, which are counterparts of our U.S. patent applications. The non-U.S. jurisdictions in which we have issued patents are China, the European Union, Hong Kong and Japan.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5" w:name="page16"/>
    <w:bookmarkEnd w:id="15"/>
    <w:p>
      <w:pPr>
        <w:ind w:right="20" w:firstLine="648"/>
        <w:spacing w:after="0" w:line="287" w:lineRule="auto"/>
        <w:rPr>
          <w:sz w:val="20"/>
          <w:szCs w:val="20"/>
          <w:color w:val="auto"/>
        </w:rPr>
      </w:pPr>
      <w:r>
        <w:rPr>
          <w:rFonts w:ascii="Arial" w:cs="Arial" w:eastAsia="Arial" w:hAnsi="Arial"/>
          <w:sz w:val="16"/>
          <w:szCs w:val="16"/>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 our trademark rights. Any unauthorized use of our trademarks could harm our reputation or commercial interests. In addition, efforts to enforce our trademarks may be expensive and time-consuming, and may not effectively prevent infringement.</w:t>
      </w:r>
    </w:p>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third parties will not assert that our solutions, services and intellectual property infringe, misappropriate or otherwise violate their intellectual property or other proprietary rights.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February 2015, one of our U.S. distributors, Hirsch, provided us with a letter Hirsch received from Direct Imaging Systems, Inc., or DIS, claiming that Hirsch was infringing on a DIS patent (no. 6,095,628), which expires in August 2016, through its distribution of our Breeze printing system. In January 2016, we and Hirsch settled the claim with DIS in exchange for a payment to DIS. See “ITEM 8.A. Legal Proceedings.”</w:t>
      </w:r>
    </w:p>
    <w:p>
      <w:pPr>
        <w:spacing w:after="0" w:line="16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Intellectual property disputes, such as the third-party claim described above,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 party intellectual property rights and entitle us to assume the defense of any claim as part of the indemnification undertaking. Our assumption of the defense of such a claim may result in similar costs, disruption and diversion of management attention to an extent similar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require us to redesign our technology or force us to enter into costly settlement or license agreements on terms that are unfavorable to us;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prevent us from manufacturing, importing, using, or selling some or all of our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 our operations or the markets in which we compete;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costly damage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indemnify our distributors and customers;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pay royalties.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decisions by the Committee (which have been upheld by the Israeli Supreme Court on appeal) have created uncertainty in this area, as it held that employees may be entitled to remuneration for their service inventions despite having specifically waived any such rights. However, a recent decision by the Committee held that such right can be waived by the employee. The Committee further held that an explicit reference to the waived right is not necessary in every circumstance in order for the employee’s waiver of such right to be valid. Such waiver can be formalized in writing or orally or be implied by the actions of the parties in accordance with the rules of interpretation of Israeli contract law.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Undetected defects in the design or manufacturing of our products may harm our business and results of operations.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17" w:name="page18"/>
    <w:bookmarkEnd w:id="17"/>
    <w:p>
      <w:pPr>
        <w:ind w:right="280"/>
        <w:spacing w:after="0" w:line="277" w:lineRule="auto"/>
        <w:rPr>
          <w:sz w:val="20"/>
          <w:szCs w:val="20"/>
          <w:color w:val="auto"/>
        </w:rPr>
      </w:pPr>
      <w:r>
        <w:rPr>
          <w:rFonts w:ascii="Arial" w:cs="Arial" w:eastAsia="Arial" w:hAnsi="Arial"/>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 part of our business strategy and in order to remain competitive, we have acquired businesses and may acquire or make investments in other complementary companies, products or technologies. However, we have only made small acquisitions and our experience in acquiring and integrating other companies, products or technologies is limited. We may not be able to find suitable acquisition candidates, and we may not be able to complete such acquisitions on favorable terms, if at all. If we do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ordinary shares were first offered publicly in our initial public offering in April 2015 at a price of $10.00 per share, and our ordinary shares have subsequently traded as high as $17.50 and as low as $9.80 through March 10, 2016. In addition, the market price of our ordinary shares could be highly volatile and may fluctuate substantially as a result of many factors, including:</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and/or our competitors’ results of operations and financial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changes in service provider relationships, acquisitions or expansion plans;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prices of our solutions;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8" w:name="page19"/>
    <w:bookmarkEnd w:id="18"/>
    <w:p>
      <w:pPr>
        <w:ind w:right="40"/>
        <w:spacing w:after="0" w:line="277" w:lineRule="auto"/>
        <w:rPr>
          <w:sz w:val="20"/>
          <w:szCs w:val="20"/>
          <w:color w:val="auto"/>
        </w:rPr>
      </w:pPr>
      <w:r>
        <w:rPr>
          <w:rFonts w:ascii="Arial" w:cs="Arial" w:eastAsia="Arial" w:hAnsi="Arial"/>
          <w:sz w:val="18"/>
          <w:szCs w:val="18"/>
          <w:b w:val="1"/>
          <w:bCs w:val="1"/>
          <w:i w:val="1"/>
          <w:iCs w:val="1"/>
          <w:color w:val="auto"/>
        </w:rPr>
        <w:t>Entities and individuals affiliated with Fortissimo Capital have a significant influence over matters requiring shareholder approval, which could delay or prevent a change of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Entities and individuals affiliated with Fortissimo Capital beneficially owned 49.5% of our ordinary shares as of February 29, 2016.</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a result, this shareholder could exert significant influence over our operations and business strategy and may have sufficient voting power to control the outcome of matters requiring shareholder approval. These matters may include:</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amending our articles, which govern the rights attached to our ordinary shares.</w:t>
      </w:r>
    </w:p>
    <w:p>
      <w:pPr>
        <w:spacing w:after="0" w:line="22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This concentration of ownership of our ordinary shares could delay or prevent proxy contests, mergers, tender offers, open-market purchase programs or other purchases of our ordinary shares. This concentration of ownership may also adversely affect our share price.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23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(ii) independent director oversight requirement for director nominations and (iii) independence requirement for the board of directors. See “ITEM 16G. Corporate Governance.” Furthermore, we may in the future elect to follow Israeli home country practices with regard to other matters such as the requirement to have a compensation committee,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9" w:name="page20"/>
    <w:bookmarkEnd w:id="19"/>
    <w:p>
      <w:pPr>
        <w:ind w:right="28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the provisions of Regulation FD or U.S. proxy rules and are exempt from filing certain Exchange Act reports.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spacing w:after="0" w:line="16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spacing w:after="0" w:line="17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6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7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are not required to comply with the auditor attestation requirements of Section 404 of the Sarbanes-Oxley Act for up to five fiscal years after April 2, 2015, the date of our initial public offering. We will remain an emerging growth company until the earliest of: (a) the last day of our fiscal year during which we have total annual gross revenues of at least $1.0 billion; (b) the last day of our fiscal year following the fifth anniversary of the completion of our initial public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Under Section 404 of the Sarbanes-Oxley Act and as an emerging growth company, we are currently not required to obtain an auditor attestation regarding our internal control over financial reporting and we have, therefore, not yet determined whether our existing internal controls over financial reporting are effective.</w:t>
      </w:r>
    </w:p>
    <w:p>
      <w:pPr>
        <w:spacing w:after="0" w:line="18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are not required to comply with the internal control, evaluation and certification requirements of Section 404 of the Sarbanes-Oxley Act until we file our Annual Report on Form 20-F for the year ending December 31, 2016.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 over financial reporting systems are compliant with Section 404 and whether there are any material weaknesses or significant deficiencies in our existing internal controls. The process of evaluating our internal control over financial reporting will require an investment of substantial time and resources, including by our Chief Financial Officer and other members of our senior management. As a result, this process may divert internal resources and take a significant amount of time and effort to complete. In addition, we cannot predict the outcome of this determination and whether we will need to implement remedial actions in order to implement effective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858"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classified as a passive foreign investment company.</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certain estimates of our gross income and gross assets and the nature of our business, we do not believe that we were a PFIC for 2015 and we do not expect that we will be classified as a PFIC for the taxable year ending December 31, 2016. Because PFIC status is based on our income, assets and activities for the entire taxable year, it is not possible to determine whether we will be characterized as a PFIC for our 2016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-U.S. and Israeli Tax Consequences for our Shareholders—United States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are currently considering evaluating a business continuity plan to provide for alternative sites outside of Israel, there can be no assurance that we will be able to implement such a plan on a cost-effective basis, or at all, and even if implemented, whether such plan would be successful. Any armed conflict involving Israel could adversely affect our operations and results of operations.</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Further, our operations could be disrupted by the obligations of personnel to perform military service. As of December 31, 2015, we had 220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9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right="60"/>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and our wholly-owned Israeli subsidiary, Kornit Digital Technologies Ltd., or Kornit Technologies, are entitled to various tax benefits under the Israeli Law for the Encouragement of Capital Investments, 1959, or the Investment Law. As a result of this status, the effective tax rate for our taxable income generated in Israel is expected to be between zero and 5% in 2016. However, if we do not meet the requirements for maintaining these benefits, they may be reduced or cancelled and the relevant operations would be subject to Israeli corporate tax at the standard rate, which was 26.5% in 2014 and 2015 and is currently set at 25% for 2016 and onwards. In addition to being subject to the standard corporate tax rate, we could be required to refund any tax benefits that we have already received, as adjusted by the Israeli consumer price index,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via acquisitions, our increased activities may not be eligible for inclusion in Israeli tax benefit programs. See “ITEM 5. Operating and Financial Review and Prospects - Taxation and Israeli Government Programs Applicable to our Company—Law for the Encouragement of Capital Investments, 5719-1959.”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We received Israeli government grants for certain research and development activities. The terms of those grants require us to satisfy specified conditions.</w:t>
      </w:r>
    </w:p>
    <w:p>
      <w:pPr>
        <w:spacing w:after="0" w:line="26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research and development efforts were financed in part through grants from the Israeli National Authority for Technological Innovation (previously known as the Israeli Office of the Chief Scientist), or OCS, which we repaid in full in 2015. Even though we have fully repaid our OCS grants, we must nevertheless continue to comply with the requirements of the Israeli Law for the Encouragement of Research, Development and Technological Innovation, 5744-1984, and related regulations, or collectively, the R&amp;D Law. When a company develops know-how, technology or products using OCS grants, the terms of these grants and the R&amp;D Law restrict the transfer outside of Israel of OCS-supported know-how, and the manufacturing or manufacturing rights of such products, technologies or know-how, without the prior approval of the OCS. Therefore, if aspects of our technologies are deemed to have been developed with OCS funding, the discretionary approval of an authorized OCS committee, or the Committee, would be required for any transfer to third parties outside of Israel of know-how or of manufacturing or manufacturing rights related to such technologies. We may not receive those approvals. Furthermore, the Committee may impose conditions on any arrangement under which it permits us to transfer OCS-supported technology or know-how out of Israel.</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transfer of OCS-supported technology or know-how outside of Israel may involve the payment of significant penalties and other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manufacturing activities with respect to any product or technology outside of Israel. Furthermore, the consideration in a sale transaction involving the actual transfer outside of Israel of technology or know-how developed with OCS funding may be reduced by any amounts that we are required to pay to the OCS.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“ITEM 10.B - Articles of Association— Acquisitions under Israeli Law” for additional information.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right="320" w:firstLine="648"/>
        <w:spacing w:after="0" w:line="277" w:lineRule="auto"/>
        <w:rPr>
          <w:sz w:val="20"/>
          <w:szCs w:val="20"/>
          <w:color w:val="auto"/>
        </w:rPr>
      </w:pPr>
      <w:r>
        <w:rPr>
          <w:rFonts w:ascii="Arial" w:cs="Arial" w:eastAsia="Arial" w:hAnsi="Arial"/>
          <w:sz w:val="18"/>
          <w:szCs w:val="18"/>
          <w:color w:val="auto"/>
        </w:rPr>
        <w:t>Our articles provide that our directors (other than external directors) are elected on a staggered basis, such that a potential acquirer cannot readily replace our entire board of directors at a single annual general shareholder meeting.</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or our officers and directors, to assert U.S. securities laws claims in Israel or to serve process on our officers and directors.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170"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Information on the Company</w:t>
      </w:r>
      <w:r>
        <w:rPr>
          <w:rFonts w:ascii="Arial" w:cs="Arial" w:eastAsia="Arial" w:hAnsi="Arial"/>
          <w:sz w:val="16"/>
          <w:szCs w:val="16"/>
          <w:b w:val="1"/>
          <w:bCs w:val="1"/>
          <w:color w:val="auto"/>
        </w:rPr>
        <w:t>.</w:t>
      </w:r>
    </w:p>
    <w:p>
      <w:pPr>
        <w:spacing w:after="0" w:line="225" w:lineRule="exact"/>
        <w:rPr>
          <w:sz w:val="20"/>
          <w:szCs w:val="20"/>
          <w:color w:val="auto"/>
        </w:rPr>
      </w:pPr>
    </w:p>
    <w:p>
      <w:pPr>
        <w:ind w:right="7500" w:firstLine="332"/>
        <w:spacing w:after="0" w:line="503" w:lineRule="auto"/>
        <w:tabs>
          <w:tab w:leader="none" w:pos="64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 Our History</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legal name is Kornit Digital Ltd. and we were incorporated under the laws of the State of Israel on January 16, 2002.</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April 2015, we completed our IPO, pursuant to which we sold 8.165 million ordinary shares for aggregate gross proceeds (before underwriting discounts, commissions and expenses) of $81.65 million. Our ordinary shares began trading on the NASDAQ Global Select Market, under the symbol “KRNT,” on April 2, 2015.</w:t>
      </w:r>
    </w:p>
    <w:p>
      <w:pPr>
        <w:spacing w:after="0" w:line="18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We are subject to the provisions of the Israeli Companies Law, 5759-1999. Our principal executive offices are located at 12 Ha’Amal Street, Rosh Ha’Ayin 4809246, Israel, and our telephone number is +972-3-908-5800. Our website address is </w:t>
      </w:r>
      <w:r>
        <w:rPr>
          <w:rFonts w:ascii="Arial" w:cs="Arial" w:eastAsia="Arial" w:hAnsi="Arial"/>
          <w:sz w:val="16"/>
          <w:szCs w:val="16"/>
          <w:u w:val="single" w:color="auto"/>
          <w:color w:val="auto"/>
        </w:rPr>
        <w:t>www.kornit.com</w:t>
      </w:r>
      <w:r>
        <w:rPr>
          <w:rFonts w:ascii="Arial" w:cs="Arial" w:eastAsia="Arial" w:hAnsi="Arial"/>
          <w:sz w:val="16"/>
          <w:szCs w:val="16"/>
          <w:color w:val="auto"/>
        </w:rPr>
        <w:t xml:space="preserve"> (the information contained therein or linked thereto shall not be considered incorporated by reference in this annual report). Our agent for service of process in the United States is Kornit Digital North America Inc., located at 10541-10601 North Commerce Street, Mequon, Wisconsin 53092, and its telephone number is (262) 518-0200.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Capital Expenditures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majority of our investment activities have historically been related to capital expenditures. Capital expenditures for purchase of property, plant and equipment and intangible assets were $1.6 million, $1.9 million and $2.9 million in the years ended December 31, 2013, 2014 and 2015, respectively. Capital expenditures for the year ended December 31, 2013, 2014 and 2015 were primarily related to purchase of property and equipment and, in 2013 and 2015, intangible assets.</w:t>
      </w:r>
    </w:p>
    <w:p>
      <w:pPr>
        <w:spacing w:after="0" w:line="18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There is a diverse ecosystem of businesses that utilize textile printing processes, such as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in the Textile Printing Market</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Textile printing is most commonly conducted using an analog printing method known as screen printing, which includes rotary screen printing and manual or automated carousel screen printing techniques. Rotary screen printing involves passing rolls of fabric through rotating cylinders that are engraved with the image or design to be printed, whereas carousel screen printing involves squeezing ink onto fabric through purpose-built mesh stencils.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4" w:name="page25"/>
    <w:bookmarkEnd w:id="24"/>
    <w:p>
      <w:pPr>
        <w:ind w:right="100" w:firstLine="648"/>
        <w:spacing w:after="0" w:line="276" w:lineRule="auto"/>
        <w:rPr>
          <w:sz w:val="20"/>
          <w:szCs w:val="20"/>
          <w:color w:val="auto"/>
        </w:rPr>
      </w:pPr>
      <w:r>
        <w:rPr>
          <w:rFonts w:ascii="Arial" w:cs="Arial" w:eastAsia="Arial" w:hAnsi="Arial"/>
          <w:sz w:val="17"/>
          <w:szCs w:val="17"/>
          <w:color w:val="auto"/>
        </w:rPr>
        <w:t>Digital printing, which uses specially engineered inkjet heads to print designs and patterns directly onto fabrics, currently represents a small, but rapidly growing, portion of the global printed textile industry. Digital textile printing allows a full image or design to be printed on a garment or cut fabric in one manufacturing step compared to multiple steps in an analog printing process. Digital textile printing gives manufacturers the ability to print small runs in a cost-effective manner with a minimum order quantity of one unit. Demand for digital equipment and consumables is expanding due to the increasing acceptance of digital textile printing processes among industry participants and in order to respond to the following trends:</w:t>
      </w:r>
    </w:p>
    <w:p>
      <w:pPr>
        <w:spacing w:after="0" w:line="173" w:lineRule="exact"/>
        <w:rPr>
          <w:sz w:val="20"/>
          <w:szCs w:val="20"/>
          <w:color w:val="auto"/>
        </w:rPr>
      </w:pPr>
    </w:p>
    <w:p>
      <w:pPr>
        <w:ind w:left="980" w:right="1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demand for variety and complexity of images and designs. </w:t>
      </w:r>
      <w:r>
        <w:rPr>
          <w:rFonts w:ascii="Arial" w:cs="Arial" w:eastAsia="Arial" w:hAnsi="Arial"/>
          <w:sz w:val="18"/>
          <w:szCs w:val="18"/>
          <w:color w:val="auto"/>
        </w:rPr>
        <w:t>In order to distinguish themselves from the masses, consumers demand,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brand owners seek to supply, a wide range of styles that are innovative and diverse.</w:t>
      </w:r>
    </w:p>
    <w:p>
      <w:pPr>
        <w:spacing w:after="0" w:line="170" w:lineRule="exact"/>
        <w:rPr>
          <w:rFonts w:ascii="Arial" w:cs="Arial" w:eastAsia="Arial" w:hAnsi="Arial"/>
          <w:sz w:val="18"/>
          <w:szCs w:val="18"/>
          <w:color w:val="auto"/>
        </w:rPr>
      </w:pPr>
    </w:p>
    <w:p>
      <w:pPr>
        <w:ind w:left="980" w:right="66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Mass customization and personalization. </w:t>
      </w:r>
      <w:r>
        <w:rPr>
          <w:rFonts w:ascii="Arial" w:cs="Arial" w:eastAsia="Arial" w:hAnsi="Arial"/>
          <w:sz w:val="17"/>
          <w:szCs w:val="17"/>
          <w:color w:val="auto"/>
        </w:rPr>
        <w:t>We believe consumers are increasingly seeking the ability to customize products by choosing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features from a menu of options, or the ability to personalize products by adding an individualized pattern.</w:t>
      </w:r>
    </w:p>
    <w:p>
      <w:pPr>
        <w:spacing w:after="0" w:line="146" w:lineRule="exact"/>
        <w:rPr>
          <w:rFonts w:ascii="Arial" w:cs="Arial" w:eastAsia="Arial" w:hAnsi="Arial"/>
          <w:sz w:val="17"/>
          <w:szCs w:val="17"/>
          <w:color w:val="auto"/>
        </w:rPr>
      </w:pPr>
    </w:p>
    <w:p>
      <w:pPr>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Reduced time between design and production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digital textile printing process allows for samples or small quantities to be quickly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evaluated, and modified, which permits brand owners to increase the frequency and variety of replenishment cycles in response to fashion trends.</w:t>
      </w:r>
    </w:p>
    <w:p>
      <w:pPr>
        <w:spacing w:after="0" w:line="181"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reducing risk of excess inventory. </w:t>
      </w:r>
      <w:r>
        <w:rPr>
          <w:rFonts w:ascii="Arial" w:cs="Arial" w:eastAsia="Arial" w:hAnsi="Arial"/>
          <w:sz w:val="18"/>
          <w:szCs w:val="18"/>
          <w:color w:val="auto"/>
        </w:rPr>
        <w:t>The costly and time-consuming upfront setup required in analog production methods is avoided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using digital printing technologies. Therefore, digital printing enables the cost efficient production of a smaller quantity of garments which mitigates excess inventory risk and improves profitability.</w:t>
      </w:r>
    </w:p>
    <w:p>
      <w:pPr>
        <w:spacing w:after="0" w:line="181" w:lineRule="exact"/>
        <w:rPr>
          <w:rFonts w:ascii="Arial" w:cs="Arial" w:eastAsia="Arial" w:hAnsi="Arial"/>
          <w:sz w:val="18"/>
          <w:szCs w:val="18"/>
          <w:color w:val="auto"/>
        </w:rPr>
      </w:pPr>
    </w:p>
    <w:p>
      <w:pPr>
        <w:ind w:left="980" w:right="80" w:hanging="324"/>
        <w:spacing w:after="0" w:line="25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Environmentally friendly production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bodies and consumers are increasingly focused on social responsibility and eco-friendly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193" w:lineRule="exact"/>
        <w:rPr>
          <w:rFonts w:ascii="Arial" w:cs="Arial" w:eastAsia="Arial" w:hAnsi="Arial"/>
          <w:sz w:val="18"/>
          <w:szCs w:val="18"/>
          <w:color w:val="auto"/>
        </w:rPr>
      </w:pPr>
    </w:p>
    <w:p>
      <w:pPr>
        <w:ind w:left="980" w:right="20" w:hanging="324"/>
        <w:spacing w:after="0" w:line="25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Reduced labor and physical space requirements. </w:t>
      </w:r>
      <w:r>
        <w:rPr>
          <w:rFonts w:ascii="Arial" w:cs="Arial" w:eastAsia="Arial" w:hAnsi="Arial"/>
          <w:sz w:val="18"/>
          <w:szCs w:val="18"/>
          <w:color w:val="auto"/>
        </w:rPr>
        <w:t>Digital textile printing requires significantly less labor to print an equivalent output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152400</wp:posOffset>
            </wp:positionV>
            <wp:extent cx="5102860" cy="2195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0286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152400</wp:posOffset>
            </wp:positionV>
            <wp:extent cx="6852285" cy="1012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2285"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80" w:hanging="324"/>
        <w:spacing w:after="0" w:line="272" w:lineRule="auto"/>
        <w:tabs>
          <w:tab w:leader="none" w:pos="980"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Rotary screen printing. </w:t>
      </w:r>
      <w:r>
        <w:rPr>
          <w:rFonts w:ascii="Arial" w:cs="Arial" w:eastAsia="Arial" w:hAnsi="Arial"/>
          <w:sz w:val="17"/>
          <w:szCs w:val="17"/>
          <w:color w:val="auto"/>
        </w:rPr>
        <w:t>Rotary screen printing is commonly used to print on outerwear, underwear, sportswear, upholstery and linens.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involves 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152400</wp:posOffset>
            </wp:positionV>
            <wp:extent cx="2160905" cy="2092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090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80" w:right="20" w:hanging="324"/>
        <w:spacing w:after="0" w:line="289" w:lineRule="auto"/>
        <w:tabs>
          <w:tab w:leader="none" w:pos="980"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Automated carousel screen printing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Automated carousel screen printing is commonly used to print on t-shirts and jeans. In automated carousel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152400</wp:posOffset>
            </wp:positionV>
            <wp:extent cx="2178050" cy="2478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805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25" w:lineRule="exact"/>
        <w:rPr>
          <w:sz w:val="20"/>
          <w:szCs w:val="20"/>
          <w:color w:val="auto"/>
        </w:rPr>
      </w:pPr>
    </w:p>
    <w:p>
      <w:pPr>
        <w:jc w:val="both"/>
        <w:ind w:left="980" w:hanging="324"/>
        <w:spacing w:after="0" w:line="264" w:lineRule="auto"/>
        <w:tabs>
          <w:tab w:leader="none" w:pos="9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Direct-to-Garment (DTG). </w:t>
      </w:r>
      <w:r>
        <w:rPr>
          <w:rFonts w:ascii="Arial" w:cs="Arial" w:eastAsia="Arial" w:hAnsi="Arial"/>
          <w:sz w:val="18"/>
          <w:szCs w:val="18"/>
          <w:color w:val="auto"/>
        </w:rPr>
        <w:t>In DTG printing, an inkjet printer prints directly on the textile. DTG printing allows for printing images and designs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10" w:lineRule="exact"/>
        <w:rPr>
          <w:rFonts w:ascii="Arial" w:cs="Arial" w:eastAsia="Arial" w:hAnsi="Arial"/>
          <w:sz w:val="18"/>
          <w:szCs w:val="18"/>
          <w:b w:val="1"/>
          <w:bCs w:val="1"/>
          <w:i w:val="1"/>
          <w:iCs w:val="1"/>
          <w:color w:val="auto"/>
        </w:rPr>
      </w:pPr>
    </w:p>
    <w:p>
      <w:pPr>
        <w:ind w:left="980" w:right="60" w:hanging="324"/>
        <w:spacing w:after="0" w:line="277" w:lineRule="auto"/>
        <w:tabs>
          <w:tab w:leader="none" w:pos="9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Roll-to-Roll (R2R). </w:t>
      </w:r>
      <w:r>
        <w:rPr>
          <w:rFonts w:ascii="Arial" w:cs="Arial" w:eastAsia="Arial" w:hAnsi="Arial"/>
          <w:sz w:val="18"/>
          <w:szCs w:val="18"/>
          <w:color w:val="auto"/>
        </w:rPr>
        <w:t>In R2R printing, rolls of fabric pass in-line through wide-format inkjet printers that are utilized to directly print images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-1073785</wp:posOffset>
            </wp:positionV>
            <wp:extent cx="3713480" cy="608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13480" cy="608965"/>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117475</wp:posOffset>
            </wp:positionV>
            <wp:extent cx="4450715" cy="582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507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Recent technological developments in digital printing have supported the adoption of digital printing by the global printed textile industry, including by leading fashion designers, apparel brands, and contract manufacturers. Digital printing systems are now capable of printing increasingly large volumes of textiles with complex, customized images and designs at high throughput levels, which have enabled the global printed textile industry to harness the advantages of digital textile printing in a cost-effective manner. Additionally, the growth of e-commerce has given rise to many online apparel and home décor vendors who are unencumbered by legacy manufacturing processes and who rely primarily on digital printing systems to serve their large customer bases. As a result of these trends, we believe that the global printed textile industry offers a significant and rapidly growing market for digital printing solutions.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20" w:firstLine="638"/>
        <w:spacing w:after="0" w:line="270" w:lineRule="auto"/>
        <w:rPr>
          <w:sz w:val="20"/>
          <w:szCs w:val="20"/>
          <w:color w:val="auto"/>
        </w:rPr>
      </w:pPr>
      <w:r>
        <w:rPr>
          <w:rFonts w:ascii="Arial" w:cs="Arial" w:eastAsia="Arial" w:hAnsi="Arial"/>
          <w:sz w:val="17"/>
          <w:szCs w:val="17"/>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78" w:lineRule="exact"/>
        <w:rPr>
          <w:sz w:val="20"/>
          <w:szCs w:val="20"/>
          <w:color w:val="auto"/>
        </w:rPr>
      </w:pPr>
    </w:p>
    <w:p>
      <w:pPr>
        <w:ind w:firstLine="638"/>
        <w:spacing w:after="0" w:line="270" w:lineRule="auto"/>
        <w:rPr>
          <w:sz w:val="20"/>
          <w:szCs w:val="20"/>
          <w:color w:val="auto"/>
        </w:rPr>
      </w:pPr>
      <w:r>
        <w:rPr>
          <w:rFonts w:ascii="Arial" w:cs="Arial" w:eastAsia="Arial" w:hAnsi="Arial"/>
          <w:sz w:val="17"/>
          <w:szCs w:val="17"/>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In conjunction with these trends, changes in buying habits also have a significant impact on demand for our solutions. For instance, as online shopping for apparel and décor continues to gain momentum, offering shoppers endless variety of design, online retailers are increasingly demanding digital printing systems that can be operated close to consumers in order to reduce the time between order placement and delivery.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78" w:lineRule="exact"/>
        <w:rPr>
          <w:sz w:val="20"/>
          <w:szCs w:val="20"/>
          <w:color w:val="auto"/>
        </w:rPr>
      </w:pPr>
    </w:p>
    <w:p>
      <w:pPr>
        <w:ind w:right="20" w:firstLine="638"/>
        <w:spacing w:after="0" w:line="289" w:lineRule="auto"/>
        <w:rPr>
          <w:sz w:val="20"/>
          <w:szCs w:val="20"/>
          <w:color w:val="auto"/>
        </w:rPr>
      </w:pPr>
      <w:r>
        <w:rPr>
          <w:rFonts w:ascii="Arial" w:cs="Arial" w:eastAsia="Arial" w:hAnsi="Arial"/>
          <w:sz w:val="16"/>
          <w:szCs w:val="16"/>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40 to 250 garments per hour, our entry level and high throughput DTG solutions are suited to the needs of a variety of customers, from smaller commercial operators with limited budgets to mass producers with mature operations and complex manufacturing requirements. Our patented NeoPigment PURE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and value added services aimed at optimizing the use of our systems.</w:t>
      </w:r>
    </w:p>
    <w:p>
      <w:pPr>
        <w:spacing w:after="0" w:line="167" w:lineRule="exact"/>
        <w:rPr>
          <w:sz w:val="20"/>
          <w:szCs w:val="20"/>
          <w:color w:val="auto"/>
        </w:rPr>
      </w:pPr>
    </w:p>
    <w:p>
      <w:pPr>
        <w:ind w:right="40" w:firstLine="638"/>
        <w:spacing w:after="0" w:line="271" w:lineRule="auto"/>
        <w:rPr>
          <w:sz w:val="20"/>
          <w:szCs w:val="20"/>
          <w:color w:val="auto"/>
        </w:rPr>
      </w:pPr>
      <w:r>
        <w:rPr>
          <w:rFonts w:ascii="Arial" w:cs="Arial" w:eastAsia="Arial" w:hAnsi="Arial"/>
          <w:sz w:val="17"/>
          <w:szCs w:val="17"/>
          <w:color w:val="auto"/>
        </w:rPr>
        <w:t>Building on the expertise and capabilities we have accumulated throughout our history in developing and offering differentiated solutions for the DTG market, we introduced a digital printing solution aimed at another segment of the printed textile industry, the roll-to-roll, or R2R, market. While the DTG market generally involves printing on finished garments, the R2R market is focused on printing on fabrics that are subsequently converted into finished garments, home or office décor and other items. Our R2R solution utilizes our proprietary wet-on-wet printing methodology and houses an integrated dryer within the system. It is the first single-step, stand-alone R2R digital textile printing solution available on the market. We market our R2R solution, the Allegro, to online businesses that require large variety and limited quantity orders and to fabric converters, who source large quantities of fabric and convert untreated fabrics into finished materials to be sold to garment and home décor manufacturers. We began selling the Allegro commercially in the second quarter of 2015 and believe it offers us a significant opportunity for growth.</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founded in 2002 in Israel and shipped our first system in 2005. As of December 31, 2015, we had 343 employees located across four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regions: Israel, the United States, Europe and the Asia Pacific region. In 2015, we generated revenues of $86.4 million, representing an increase of 30.2%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prior fiscal year, and recorded net income of $4.7 million. In 2015, we generated 56.4 % of our revenues from the Americas, 25% from EMEA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18.6 % from the Asia Pacific region.</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Our Competitive Strengths and Growth Strategy</w:t>
      </w:r>
    </w:p>
    <w:p>
      <w:pPr>
        <w:spacing w:after="0" w:line="212" w:lineRule="exact"/>
        <w:rPr>
          <w:sz w:val="20"/>
          <w:szCs w:val="20"/>
          <w:color w:val="auto"/>
        </w:rPr>
      </w:pPr>
    </w:p>
    <w:p>
      <w:pPr>
        <w:ind w:left="980" w:hanging="324"/>
        <w:spacing w:after="0" w:line="239" w:lineRule="auto"/>
        <w:tabs>
          <w:tab w:leader="none" w:pos="98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Leading player in fast-growing digital DTG printing market</w:t>
      </w:r>
      <w:r>
        <w:rPr>
          <w:rFonts w:ascii="Arial" w:cs="Arial" w:eastAsia="Arial" w:hAnsi="Arial"/>
          <w:sz w:val="17"/>
          <w:szCs w:val="17"/>
          <w:color w:val="auto"/>
        </w:rPr>
        <w:t>. We are a leading player in the fast-growing digital DTG printing market based</w:t>
      </w:r>
      <w:r>
        <w:rPr>
          <w:rFonts w:ascii="Arial" w:cs="Arial" w:eastAsia="Arial" w:hAnsi="Arial"/>
          <w:sz w:val="17"/>
          <w:szCs w:val="17"/>
          <w:b w:val="1"/>
          <w:bCs w:val="1"/>
          <w:color w:val="auto"/>
        </w:rPr>
        <w:t xml:space="preserve"> </w:t>
      </w:r>
      <w:r>
        <w:rPr>
          <w:rFonts w:ascii="Arial" w:cs="Arial" w:eastAsia="Arial" w:hAnsi="Arial"/>
          <w:sz w:val="17"/>
          <w:szCs w:val="17"/>
          <w:color w:val="auto"/>
        </w:rPr>
        <w:t>on our sales and installed base. We estimate that global revenue from digital textile printing equipment and ink will grow at a 17% compound annual growth rate between 2014 and 2019 based on the estimate of such revenue for 2014 and the projection for 2019, in each case, contained in a 2014 report by Smithers Pira, a provider of market intelligence on the printed textile industry, or the Pira report. In 2014, we grew our revenues 34.4% compared to 2013 and, in 2015, we grew our revenues 30.2% compared to 2014.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184" w:lineRule="exact"/>
        <w:rPr>
          <w:rFonts w:ascii="Arial" w:cs="Arial" w:eastAsia="Arial" w:hAnsi="Arial"/>
          <w:sz w:val="17"/>
          <w:szCs w:val="17"/>
          <w:b w:val="1"/>
          <w:bCs w:val="1"/>
          <w:color w:val="auto"/>
        </w:rPr>
      </w:pPr>
    </w:p>
    <w:p>
      <w:pPr>
        <w:ind w:left="980" w:right="40" w:hanging="324"/>
        <w:spacing w:after="0" w:line="255" w:lineRule="auto"/>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Unique Single-Step Manufacturing Solution in the R2R Market</w:t>
      </w:r>
      <w:r>
        <w:rPr>
          <w:rFonts w:ascii="Arial" w:cs="Arial" w:eastAsia="Arial" w:hAnsi="Arial"/>
          <w:sz w:val="18"/>
          <w:szCs w:val="18"/>
          <w:color w:val="auto"/>
        </w:rPr>
        <w:t>. Our Allegro printer combined with our proprietary process was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a single step manufacturing solution which is especially suited for printers who don’t have a vertically integrated textile mill. Unlike other digital textile printers, the Allegro does not require multiple pre-processing and post-processing steps which are customarily used in vertically integrated textile mills. Given its architecture, it is perfectly suited for short and micro runs. Allegro is compact in size and requires a single person to operate and fits very well in an urban and non-industrial setting. Allegro is unique in its ability to print on multiple fabric types without the need for different inks and consumables, while generally other systems and technologies for R2R digital printing require dedication of discrete printers to specific fabric types.</w:t>
      </w:r>
    </w:p>
    <w:p>
      <w:pPr>
        <w:spacing w:after="0" w:line="189" w:lineRule="exact"/>
        <w:rPr>
          <w:rFonts w:ascii="Arial" w:cs="Arial" w:eastAsia="Arial" w:hAnsi="Arial"/>
          <w:sz w:val="18"/>
          <w:szCs w:val="18"/>
          <w:b w:val="1"/>
          <w:bCs w:val="1"/>
          <w:color w:val="auto"/>
        </w:rPr>
      </w:pPr>
    </w:p>
    <w:p>
      <w:pPr>
        <w:ind w:left="980" w:right="40" w:hanging="324"/>
        <w:spacing w:after="0" w:line="270" w:lineRule="auto"/>
        <w:tabs>
          <w:tab w:leader="none" w:pos="98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Disruptive technology that enables our customers to adopt new or improve existing business models. </w:t>
      </w:r>
      <w:r>
        <w:rPr>
          <w:rFonts w:ascii="Arial" w:cs="Arial" w:eastAsia="Arial" w:hAnsi="Arial"/>
          <w:sz w:val="17"/>
          <w:szCs w:val="17"/>
          <w:color w:val="auto"/>
        </w:rPr>
        <w:t>The flexibility that our digital</w:t>
      </w:r>
      <w:r>
        <w:rPr>
          <w:rFonts w:ascii="Arial" w:cs="Arial" w:eastAsia="Arial" w:hAnsi="Arial"/>
          <w:sz w:val="17"/>
          <w:szCs w:val="17"/>
          <w:b w:val="1"/>
          <w:bCs w:val="1"/>
          <w:color w:val="auto"/>
        </w:rPr>
        <w:t xml:space="preserve"> </w:t>
      </w:r>
      <w:r>
        <w:rPr>
          <w:rFonts w:ascii="Arial" w:cs="Arial" w:eastAsia="Arial" w:hAnsi="Arial"/>
          <w:sz w:val="17"/>
          <w:szCs w:val="17"/>
          <w:color w:val="auto"/>
        </w:rPr>
        <w:t>printing solutions provide to our customers, including custom decorators, online businesses, brand owners and contract printers, enable them to develop new or improve their existing business models. Custom decorators utilize our solutions to produce short to medium runs of high-quality customized garments quickly and efficiently, enabling them to increase average selling prices compared to screen printed garments. For online businesses, our solutions facilitate the creation of “produce to order” garment production with minimum order quantities of one unit, at high average selling prices, while achieving significant margins. Brand owners benefit from our solutions’ streamlined pre- and post-treatment processes that allow them to handle some of their production needs in house as they reduce labor, physical space requirements, industrial water consumption and eliminate the need for waste water clearing mechanisms. Our solutions also benefit high-volume contract printers that provide printing services to brand owners and high-end garment manufacturers by allowing them to print high resolution images and designs at qualities that meet high fashion standards.</w:t>
      </w:r>
    </w:p>
    <w:p>
      <w:pPr>
        <w:spacing w:after="0" w:line="177" w:lineRule="exact"/>
        <w:rPr>
          <w:rFonts w:ascii="Arial" w:cs="Arial" w:eastAsia="Arial" w:hAnsi="Arial"/>
          <w:sz w:val="17"/>
          <w:szCs w:val="17"/>
          <w:b w:val="1"/>
          <w:bCs w:val="1"/>
          <w:color w:val="auto"/>
        </w:rPr>
      </w:pPr>
    </w:p>
    <w:p>
      <w:pPr>
        <w:ind w:left="980" w:right="40" w:hanging="324"/>
        <w:spacing w:after="0" w:line="287"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Our technology supports the growing trend towards fast fashion. </w:t>
      </w:r>
      <w:r>
        <w:rPr>
          <w:rFonts w:ascii="Arial" w:cs="Arial" w:eastAsia="Arial" w:hAnsi="Arial"/>
          <w:sz w:val="16"/>
          <w:szCs w:val="16"/>
          <w:color w:val="auto"/>
        </w:rPr>
        <w:t>For the past several years, the textile industry has been looking for ways to</w:t>
      </w:r>
      <w:r>
        <w:rPr>
          <w:rFonts w:ascii="Arial" w:cs="Arial" w:eastAsia="Arial" w:hAnsi="Arial"/>
          <w:sz w:val="16"/>
          <w:szCs w:val="16"/>
          <w:b w:val="1"/>
          <w:bCs w:val="1"/>
          <w:color w:val="auto"/>
        </w:rPr>
        <w:t xml:space="preserve"> </w:t>
      </w:r>
      <w:r>
        <w:rPr>
          <w:rFonts w:ascii="Arial" w:cs="Arial" w:eastAsia="Arial" w:hAnsi="Arial"/>
          <w:sz w:val="16"/>
          <w:szCs w:val="16"/>
          <w:color w:val="auto"/>
        </w:rPr>
        <w:t>improve its inefficient inventory management processes. Given the fact that traditional cycle times between design and retail sales have ranged between 21 and 25 weeks, textile companies have had to account for the significant risk of under stocking or over stocking certain items. Traditional cycle times have also limited textile companies’ ability to promptly react to changing fashion trends, which leads to mark downs or write offs of large parts of their inventories. To address this inherent difficulty, many brands have changed their supply model to short cycles of up to four weeks, with each batch delivered representing much smaller quantities of discrete designs, allowing them to replenish and cycle new products through their channels several times per year. This process not only improves inventory management but also creates a different shopping experience, whereby scarcity of supply increases demand, store visiting increases with a need to “see what’s new” and the amount of mark downs is significantly reduced. Digital printing technology is inherently fitting to serve these needs as printers can be installed in any location, they are not encumbered by the need to manufacture large quantities of particular designs and can deal with any design complexity and any needed quantity. We believe we are well positioned to enjoy the potential offered by this trend and are taking active measures to penetrate brands and retailers looking or already in the process of moving to a fast fashion business model.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left="324" w:hanging="324"/>
        <w:spacing w:after="0" w:line="237" w:lineRule="auto"/>
        <w:tabs>
          <w:tab w:leader="none" w:pos="32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The move to Direct to Consumer (DTC) by brands and retailers</w:t>
      </w:r>
      <w:r>
        <w:rPr>
          <w:rFonts w:ascii="Arial" w:cs="Arial" w:eastAsia="Arial" w:hAnsi="Arial"/>
          <w:sz w:val="17"/>
          <w:szCs w:val="17"/>
          <w:color w:val="auto"/>
        </w:rPr>
        <w:t>. While the trend towards customization and personalization continues to</w:t>
      </w:r>
      <w:r>
        <w:rPr>
          <w:rFonts w:ascii="Arial" w:cs="Arial" w:eastAsia="Arial" w:hAnsi="Arial"/>
          <w:sz w:val="17"/>
          <w:szCs w:val="17"/>
          <w:b w:val="1"/>
          <w:bCs w:val="1"/>
          <w:color w:val="auto"/>
        </w:rPr>
        <w:t xml:space="preserve"> </w:t>
      </w:r>
      <w:r>
        <w:rPr>
          <w:rFonts w:ascii="Arial" w:cs="Arial" w:eastAsia="Arial" w:hAnsi="Arial"/>
          <w:sz w:val="17"/>
          <w:szCs w:val="17"/>
          <w:color w:val="auto"/>
        </w:rPr>
        <w:t>gain momentum, online shopping for apparel and décor that is not customized or personalized is even larger in volume. Online stores have become a significant part of all businesses. Specifically, online shopping for apparel and home décor has been growing faster than online shopping for other product categories. Major brands such as Nike have stated that DTC forms a large part of their growth plans for the next several years. Brick and mortar stores are closing (such as retail stores like GAP, which in 2015 announced plans to close approximately 175 stores around the world over the next few years) in favor of webstores. Chinese online shopping for apparel has been the fastest growing online shopping market for the last several years, with a growth rate of approximately 75% per year from 2013 to 2014, according to the China Internet Network Information Center. Since online shopping experience relies heavily on the display of large varieties of designs as well as short cycle times from order to delivery, webstores are faced with a need to carefully manage their inventories. Digital printing is well positioned to assist with this transition because it allows retailers to establish fulfilment centers in different parts of the world, which supports consumers’ demand for variety and shortens lead times from order to delivery.</w:t>
      </w:r>
    </w:p>
    <w:p>
      <w:pPr>
        <w:spacing w:after="0" w:line="186" w:lineRule="exact"/>
        <w:rPr>
          <w:rFonts w:ascii="Arial" w:cs="Arial" w:eastAsia="Arial" w:hAnsi="Arial"/>
          <w:sz w:val="17"/>
          <w:szCs w:val="17"/>
          <w:b w:val="1"/>
          <w:bCs w:val="1"/>
          <w:color w:val="auto"/>
        </w:rPr>
      </w:pPr>
    </w:p>
    <w:p>
      <w:pPr>
        <w:ind w:left="324" w:right="60" w:hanging="324"/>
        <w:spacing w:after="0" w:line="274" w:lineRule="auto"/>
        <w:tabs>
          <w:tab w:leader="none" w:pos="32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Attractive business model. </w:t>
      </w:r>
      <w:r>
        <w:rPr>
          <w:rFonts w:ascii="Arial" w:cs="Arial" w:eastAsia="Arial" w:hAnsi="Arial"/>
          <w:sz w:val="17"/>
          <w:szCs w:val="17"/>
          <w:color w:val="auto"/>
        </w:rPr>
        <w:t>We currently offer a broad portfolio of differentiated digital printing solutions for the digital DTG market. Our</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and growing installed base of systems results in recurring sales of ink and other consumables, which are specially formulated to enable our systems to operate at the highest throughput level.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 our ability to provide value added services to our customers.</w:t>
      </w:r>
    </w:p>
    <w:p>
      <w:pPr>
        <w:spacing w:after="0" w:line="173" w:lineRule="exact"/>
        <w:rPr>
          <w:rFonts w:ascii="Arial" w:cs="Arial" w:eastAsia="Arial" w:hAnsi="Arial"/>
          <w:sz w:val="17"/>
          <w:szCs w:val="17"/>
          <w:b w:val="1"/>
          <w:bCs w:val="1"/>
          <w:color w:val="auto"/>
        </w:rPr>
      </w:pPr>
    </w:p>
    <w:p>
      <w:pPr>
        <w:ind w:left="324" w:right="40" w:hanging="324"/>
        <w:spacing w:after="0" w:line="274" w:lineRule="auto"/>
        <w:tabs>
          <w:tab w:leader="none" w:pos="32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Robust intellectual property portfolio driven by an innovation-based culture. </w:t>
      </w:r>
      <w:r>
        <w:rPr>
          <w:rFonts w:ascii="Arial" w:cs="Arial" w:eastAsia="Arial" w:hAnsi="Arial"/>
          <w:sz w:val="17"/>
          <w:szCs w:val="17"/>
          <w:color w:val="auto"/>
        </w:rPr>
        <w:t>Our intellectual property portfolio reflects over a decade of</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investments in digital textile printing, which we believe creates significant barriers to entry. We have developed a strong base of technology know-how, backed by our portfolio of intellectual property, featuring 19 issued patents and 18 pending patent applications, covering wet-on-wet printing methodology, ink formulations, printing processes and related methods and systems. Our team of over 90 researchers and developers, including chemists, electrical engineers, system engineers and mechanical engineers, ensures that our systems remain technologically advanced, and are well engineered, user-friendly and highly reliable.</w:t>
      </w:r>
    </w:p>
    <w:p>
      <w:pPr>
        <w:spacing w:after="0" w:line="173" w:lineRule="exact"/>
        <w:rPr>
          <w:rFonts w:ascii="Arial" w:cs="Arial" w:eastAsia="Arial" w:hAnsi="Arial"/>
          <w:sz w:val="17"/>
          <w:szCs w:val="17"/>
          <w:b w:val="1"/>
          <w:bCs w:val="1"/>
          <w:color w:val="auto"/>
        </w:rPr>
      </w:pPr>
    </w:p>
    <w:p>
      <w:pPr>
        <w:ind w:left="324" w:hanging="324"/>
        <w:spacing w:after="0" w:line="272" w:lineRule="auto"/>
        <w:tabs>
          <w:tab w:leader="none" w:pos="324"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Extensive product portfolio and strong new product pipeline. </w:t>
      </w:r>
      <w:r>
        <w:rPr>
          <w:rFonts w:ascii="Arial" w:cs="Arial" w:eastAsia="Arial" w:hAnsi="Arial"/>
          <w:sz w:val="17"/>
          <w:szCs w:val="17"/>
          <w:color w:val="auto"/>
        </w:rPr>
        <w:t>We offer a broad range of printing systems, and our DTG systems are suited</w:t>
      </w:r>
      <w:r>
        <w:rPr>
          <w:rFonts w:ascii="Arial" w:cs="Arial" w:eastAsia="Arial" w:hAnsi="Arial"/>
          <w:sz w:val="17"/>
          <w:szCs w:val="17"/>
          <w:b w:val="1"/>
          <w:bCs w:val="1"/>
          <w:color w:val="auto"/>
        </w:rPr>
        <w:t xml:space="preserve"> </w:t>
      </w:r>
      <w:r>
        <w:rPr>
          <w:rFonts w:ascii="Arial" w:cs="Arial" w:eastAsia="Arial" w:hAnsi="Arial"/>
          <w:sz w:val="17"/>
          <w:szCs w:val="17"/>
          <w:color w:val="auto"/>
        </w:rPr>
        <w:t>for smaller commercial operators with limited budgets, as well as mass producers with mature operations and complex needs. In addition, in the second quarter of 2015 we introduced a new solution to market, the Allegro, a one-step, integrated R2R printing and curing system. During the second half of 2016, we plan to introduce another new solution to market, the Vulcan, a cost-effective digital substitution for carousel screen printing that enables mass production of customized garments for the DTG market. As of December 31, 2015, we had installed the first of three evaluation systems at a leading customer site. We believe both solutions offer capabilities that no other player in the global printed textile industry currently offers and will further strengthen our leading position in the digital printed textile market as well as provide additional growth opportunities for our business.</w:t>
      </w:r>
    </w:p>
    <w:p>
      <w:pPr>
        <w:spacing w:after="0" w:line="38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24"/>
          </w:cols>
          <w:pgMar w:left="896" w:top="891" w:right="279" w:bottom="1440" w:gutter="0" w:footer="0" w:header="0"/>
        </w:sectPr>
      </w:pPr>
    </w:p>
    <w:bookmarkStart w:id="30" w:name="page31"/>
    <w:bookmarkEnd w:id="30"/>
    <w:p>
      <w:pPr>
        <w:ind w:left="324" w:hanging="324"/>
        <w:spacing w:after="0" w:line="271" w:lineRule="auto"/>
        <w:tabs>
          <w:tab w:leader="none" w:pos="324"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Environmentally friendly printing processes. </w:t>
      </w:r>
      <w:r>
        <w:rPr>
          <w:rFonts w:ascii="Arial" w:cs="Arial" w:eastAsia="Arial" w:hAnsi="Arial"/>
          <w:sz w:val="17"/>
          <w:szCs w:val="17"/>
          <w:color w:val="auto"/>
        </w:rPr>
        <w:t>A significant portion of global industrial water pollution comes from textile treatment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74" w:lineRule="exact"/>
        <w:rPr>
          <w:rFonts w:ascii="Arial" w:cs="Arial" w:eastAsia="Arial" w:hAnsi="Arial"/>
          <w:sz w:val="17"/>
          <w:szCs w:val="17"/>
          <w:b w:val="1"/>
          <w:bCs w:val="1"/>
          <w:color w:val="auto"/>
        </w:rPr>
      </w:pPr>
    </w:p>
    <w:p>
      <w:pPr>
        <w:ind w:left="324" w:right="100" w:hanging="324"/>
        <w:spacing w:after="0" w:line="273" w:lineRule="auto"/>
        <w:tabs>
          <w:tab w:leader="none" w:pos="324"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Experienced management team. </w:t>
      </w:r>
      <w:r>
        <w:rPr>
          <w:rFonts w:ascii="Arial" w:cs="Arial" w:eastAsia="Arial" w:hAnsi="Arial"/>
          <w:sz w:val="17"/>
          <w:szCs w:val="17"/>
          <w:color w:val="auto"/>
        </w:rPr>
        <w:t>We believe that our management team’s industry expertise, long history with our company and extensive</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running global publicly traded companies will enable us to execute our growth strategy. Our Chief Executive Officer, Gabi Seligsohn, was the President and Chief Executive Officer of Nova Measuring Instruments (NASDAQ:NVMI) for seven years prior to joining our company. Our Chief Financial Officer, Guy Avidan, was most recently the Chief Financial Officer of Audiocodes (NASDAQ:AUDC). Mr. Seligsohn and Mr. Avidan bring extensive experience of managing publicly traded companies. Our founder and Chief Technology Officer, Ofer Ben-Zur, has over 20 years of digital printing experience. Our Executive Vice President of Sales, Sarel Ashkenazy joined our company in 2004 and together with Mr. Ben-Zur, have helped us to develop into a strong global player.</w:t>
      </w:r>
    </w:p>
    <w:p>
      <w:pPr>
        <w:spacing w:after="0" w:line="199" w:lineRule="exact"/>
        <w:rPr>
          <w:rFonts w:ascii="Arial" w:cs="Arial" w:eastAsia="Arial" w:hAnsi="Arial"/>
          <w:sz w:val="17"/>
          <w:szCs w:val="17"/>
          <w:b w:val="1"/>
          <w:bCs w:val="1"/>
          <w:color w:val="auto"/>
        </w:rPr>
      </w:pPr>
    </w:p>
    <w:p>
      <w:pPr>
        <w:ind w:left="324" w:right="120" w:hanging="324"/>
        <w:spacing w:after="0" w:line="256"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Becoming a textile solution provider. </w:t>
      </w:r>
      <w:r>
        <w:rPr>
          <w:rFonts w:ascii="Arial" w:cs="Arial" w:eastAsia="Arial" w:hAnsi="Arial"/>
          <w:sz w:val="18"/>
          <w:szCs w:val="18"/>
          <w:color w:val="auto"/>
        </w:rPr>
        <w:t>Our vision is that digital printing will be widely adopted over the next several years in several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printed textile market. With fabric and textile innovation continuously increasing, we believe we must continue to push the performance envelope of our products and tune our offering to meet the challenges posed by the textile industry's technology roadmap. In doing so we have been increasing the number of people we employ with a background in textiles and deepening technology collaboration activities with research institutes and leading players in the textile market. We believe this will ultimately enrich our technology portfolio, product offering and intellectual property.</w:t>
      </w:r>
    </w:p>
    <w:p>
      <w:pPr>
        <w:spacing w:after="0" w:line="214" w:lineRule="exact"/>
        <w:rPr>
          <w:rFonts w:ascii="Arial" w:cs="Arial" w:eastAsia="Arial" w:hAnsi="Arial"/>
          <w:sz w:val="18"/>
          <w:szCs w:val="18"/>
          <w:color w:val="auto"/>
        </w:rPr>
      </w:pPr>
    </w:p>
    <w:p>
      <w:pPr>
        <w:ind w:left="324" w:right="40" w:hanging="324"/>
        <w:spacing w:after="0" w:line="255" w:lineRule="auto"/>
        <w:tabs>
          <w:tab w:leader="none" w:pos="3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Extend our technological leadership through ongoing research and development and continuing to introduce new products. </w:t>
      </w:r>
      <w:r>
        <w:rPr>
          <w:rFonts w:ascii="Arial" w:cs="Arial" w:eastAsia="Arial" w:hAnsi="Arial"/>
          <w:sz w:val="18"/>
          <w:szCs w:val="18"/>
          <w:color w:val="auto"/>
        </w:rPr>
        <w:t>We will seek</w:t>
      </w:r>
      <w:r>
        <w:rPr>
          <w:rFonts w:ascii="Arial" w:cs="Arial" w:eastAsia="Arial" w:hAnsi="Arial"/>
          <w:sz w:val="18"/>
          <w:szCs w:val="18"/>
          <w:b w:val="1"/>
          <w:bCs w:val="1"/>
          <w:color w:val="auto"/>
        </w:rPr>
        <w:t xml:space="preserve"> </w:t>
      </w:r>
      <w:r>
        <w:rPr>
          <w:rFonts w:ascii="Arial" w:cs="Arial" w:eastAsia="Arial" w:hAnsi="Arial"/>
          <w:sz w:val="18"/>
          <w:szCs w:val="18"/>
          <w:color w:val="auto"/>
        </w:rPr>
        <w:t>to continue to differentiate ourselves and extend our technological leadership by investing in research and development.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Our product pipeline includes the Vulcan system, which will offer an alternative to carousel screen printing. The Vulcan will enable customers to print small runs at throughputs comparable to those achieved through carousel screen printing. We expect to launch the Vulcan commercially in the second half of 2016.</w:t>
      </w:r>
    </w:p>
    <w:p>
      <w:pPr>
        <w:spacing w:after="0" w:line="200" w:lineRule="exact"/>
        <w:rPr>
          <w:sz w:val="20"/>
          <w:szCs w:val="20"/>
          <w:color w:val="auto"/>
        </w:rPr>
      </w:pPr>
    </w:p>
    <w:p>
      <w:pPr>
        <w:spacing w:after="0" w:line="20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Our Systems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181" w:lineRule="exact"/>
        <w:rPr>
          <w:sz w:val="20"/>
          <w:szCs w:val="20"/>
          <w:color w:val="auto"/>
        </w:rPr>
      </w:pPr>
    </w:p>
    <w:p>
      <w:pPr>
        <w:ind w:left="980" w:right="300" w:hanging="324"/>
        <w:spacing w:after="0" w:line="257" w:lineRule="auto"/>
        <w:tabs>
          <w:tab w:leader="none" w:pos="9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Our entry level systems consist of our Breeze and Thunder systems. These systems reduce the need for floor space for</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equipment by eliminating certain process steps and by consolidating multiple process steps into a single printing system. The Breeze and Thunder allow businesses to adopt digital technology with a limited upfront investment and use the same technology as our high throughput systems but with smaller garment printing areas and at lower throughput levels. We intend to stop selling our Thunder systems during 2016.</w:t>
      </w:r>
    </w:p>
    <w:p>
      <w:pPr>
        <w:spacing w:after="0" w:line="188" w:lineRule="exact"/>
        <w:rPr>
          <w:rFonts w:ascii="Arial" w:cs="Arial" w:eastAsia="Arial" w:hAnsi="Arial"/>
          <w:sz w:val="18"/>
          <w:szCs w:val="18"/>
          <w:i w:val="1"/>
          <w:iCs w:val="1"/>
          <w:color w:val="auto"/>
        </w:rPr>
      </w:pPr>
    </w:p>
    <w:p>
      <w:pPr>
        <w:jc w:val="both"/>
        <w:ind w:left="980" w:right="560" w:hanging="324"/>
        <w:spacing w:after="0" w:line="264" w:lineRule="auto"/>
        <w:tabs>
          <w:tab w:leader="none" w:pos="9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 and Paradigm II, offer high</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printing capabilities and are designed for customers who conduct large scale printing of small runs of a variety of images and designs.</w:t>
      </w:r>
    </w:p>
    <w:p>
      <w:pPr>
        <w:spacing w:after="0" w:line="181" w:lineRule="exact"/>
        <w:rPr>
          <w:sz w:val="20"/>
          <w:szCs w:val="20"/>
          <w:color w:val="auto"/>
        </w:rPr>
      </w:pPr>
    </w:p>
    <w:p>
      <w:pPr>
        <w:jc w:val="both"/>
        <w:ind w:right="140" w:firstLine="648"/>
        <w:spacing w:after="0" w:line="288" w:lineRule="auto"/>
        <w:rPr>
          <w:sz w:val="20"/>
          <w:szCs w:val="20"/>
          <w:color w:val="auto"/>
        </w:rPr>
      </w:pPr>
      <w:r>
        <w:rPr>
          <w:rFonts w:ascii="Arial" w:cs="Arial" w:eastAsia="Arial" w:hAnsi="Arial"/>
          <w:sz w:val="16"/>
          <w:szCs w:val="16"/>
          <w:color w:val="auto"/>
        </w:rPr>
        <w:t>Our printers vary in throughput and productivity, applications of use, breadth of color gamut and cost per print. The underlying strategy behind our product line up is to accommodate a variety of customer needs with a variety of capabilities and at a variety of price points. All of our DTG systems utilize our patented wet-on-wet printing methodology that involves spraying a wetting solution on the fabric before applying our proprietary pigment-based inks.</w:t>
      </w:r>
    </w:p>
    <w:p>
      <w:pPr>
        <w:ind w:right="180"/>
        <w:spacing w:after="0" w:line="254" w:lineRule="auto"/>
        <w:rPr>
          <w:sz w:val="20"/>
          <w:szCs w:val="20"/>
          <w:color w:val="auto"/>
        </w:rPr>
      </w:pPr>
      <w:r>
        <w:rPr>
          <w:rFonts w:ascii="Arial" w:cs="Arial" w:eastAsia="Arial" w:hAnsi="Arial"/>
          <w:sz w:val="18"/>
          <w:szCs w:val="18"/>
          <w:color w:val="auto"/>
        </w:rPr>
        <w:t>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9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Allegro system was the first R2R printing system to allow for one-step R2R printing. Unlike the Allegro, all existing R2R printers require additional steps. We began selling the Allegro commercially in the second quarter of 2015.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 By using our proprietary pigment based ink, Allegro is able to print on a variety of natural and synthetic fabrics providing customers with a significant level of flexibility. Other dye-based systems are specifically designed to either print on natural fabrics or on synthetics and these systems cannot be used with other types of fabric as the processes and consumables used vary considerably from one to the other.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under Development</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Vulcan system is currently in beta stage. It is designed to enable mass production of customized garments with high and consistent printing quality. It is designed to run at throughputs higher than any of our existing systems. The system’s architecture takes a different ergonomic approach to the sequence of loading and unloading of garments than that of our existing systems, enabling higher throughputs. The system utilizes state of the art print head technology and specially designed inks which allow for significant reduction in cost per print. We began beta testing of the Vulcan at customer sites in the first quarter of 2016 and are targeting its commercial launch during the second half of 2016.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Ink and Other Consumables</w:t>
      </w:r>
    </w:p>
    <w:p>
      <w:pPr>
        <w:spacing w:after="0" w:line="229"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ink and other consumables consist of our patented NeoPigment PURE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We are also investing in the development of new ink formulas for our new systems and in order to expand the range of fabrics on which we can print and further improve the quality of our high resolution images and designs.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Software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All of our systems arrive with our QuickP Production software installed. QuickP Production is a basic interface that allows users to control key operating parameters of our systems, such as ink dots per inch, or DPI, and import image files created using other Ruster Image Processing, or RIP, software. Almost all of our customers also purchase our QuickP Designer software. QuickP Designer is a software package that combines our own internally developed RIP software with other print job management capabilities and allows greater control over the image design process than QuickP Production, such as the ability to resize and reposition images and improve image quality. A single QuickP Designer license can be used to support multiple Kornit systems. We also offer our QuickP Plus 2.0 software suite, which provides customers with a full workflow solution from acceptance of online orders through production via our web application server.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Our services consist of maintenance and support, and professional services. We are seeking to increase the number of customers that rely on us to provide services for their systems by expanding our service capabilities.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Our systems include a one-year end-to-end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diverse global customer base consisted of more than 900 customers as of December 31, 2015. Our customers include custom decorators, online businesses, brand owners and contract printers.</w:t>
      </w:r>
    </w:p>
    <w:p>
      <w:pPr>
        <w:spacing w:after="0" w:line="170" w:lineRule="exact"/>
        <w:rPr>
          <w:sz w:val="20"/>
          <w:szCs w:val="20"/>
          <w:color w:val="auto"/>
        </w:rPr>
      </w:pPr>
    </w:p>
    <w:p>
      <w:pPr>
        <w:ind w:left="980" w:hanging="324"/>
        <w:spacing w:after="0" w:line="264" w:lineRule="auto"/>
        <w:tabs>
          <w:tab w:leader="none" w:pos="9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Custom Decorators. </w:t>
      </w:r>
      <w:r>
        <w:rPr>
          <w:rFonts w:ascii="Arial" w:cs="Arial" w:eastAsia="Arial" w:hAnsi="Arial"/>
          <w:sz w:val="18"/>
          <w:szCs w:val="18"/>
          <w:color w:val="auto"/>
        </w:rPr>
        <w:t>Our custom decorator customers produce and sell decorated garments, mostly t-shirts. Our systems allow custom decorators</w:t>
      </w:r>
      <w:r>
        <w:rPr>
          <w:rFonts w:ascii="Arial" w:cs="Arial" w:eastAsia="Arial" w:hAnsi="Arial"/>
          <w:sz w:val="18"/>
          <w:szCs w:val="18"/>
          <w:i w:val="1"/>
          <w:iCs w:val="1"/>
          <w:color w:val="auto"/>
        </w:rPr>
        <w:t xml:space="preserve"> </w:t>
      </w:r>
      <w:r>
        <w:rPr>
          <w:rFonts w:ascii="Arial" w:cs="Arial" w:eastAsia="Arial" w:hAnsi="Arial"/>
          <w:sz w:val="18"/>
          <w:szCs w:val="18"/>
          <w:color w:val="auto"/>
        </w:rPr>
        <w:t>to produce short to medium runs of high-quality customized garments quickly and efficiently, which enables them to increase average selling prices and margins compared to their screen printed garments.</w:t>
      </w:r>
    </w:p>
    <w:p>
      <w:pPr>
        <w:spacing w:after="0" w:line="181" w:lineRule="exact"/>
        <w:rPr>
          <w:rFonts w:ascii="Arial" w:cs="Arial" w:eastAsia="Arial" w:hAnsi="Arial"/>
          <w:sz w:val="18"/>
          <w:szCs w:val="18"/>
          <w:i w:val="1"/>
          <w:iCs w:val="1"/>
          <w:color w:val="auto"/>
        </w:rPr>
      </w:pPr>
    </w:p>
    <w:p>
      <w:pPr>
        <w:ind w:left="980" w:right="140" w:hanging="324"/>
        <w:spacing w:after="0" w:line="255" w:lineRule="auto"/>
        <w:tabs>
          <w:tab w:leader="none" w:pos="9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Online Businesses</w:t>
      </w:r>
      <w:r>
        <w:rPr>
          <w:rFonts w:ascii="Arial" w:cs="Arial" w:eastAsia="Arial" w:hAnsi="Arial"/>
          <w:sz w:val="18"/>
          <w:szCs w:val="18"/>
          <w:color w:val="auto"/>
        </w:rPr>
        <w:t>. The business model of our online business customers is based on “produce to order” garments, often in quantities of one, at</w:t>
      </w:r>
      <w:r>
        <w:rPr>
          <w:rFonts w:ascii="Arial" w:cs="Arial" w:eastAsia="Arial" w:hAnsi="Arial"/>
          <w:sz w:val="18"/>
          <w:szCs w:val="18"/>
          <w:i w:val="1"/>
          <w:iCs w:val="1"/>
          <w:color w:val="auto"/>
        </w:rPr>
        <w:t xml:space="preserve"> </w:t>
      </w:r>
      <w:r>
        <w:rPr>
          <w:rFonts w:ascii="Arial" w:cs="Arial" w:eastAsia="Arial" w:hAnsi="Arial"/>
          <w:sz w:val="18"/>
          <w:szCs w:val="18"/>
          <w:color w:val="auto"/>
        </w:rPr>
        <w:t>high average selling prices and significant margins. Since the online customized apparel business is growing quickly, most of our online business customers serve more than one website and have multiple systems on their production floors. Some of these customers look to us to link them with other users of our systems around the world, to cater to their own global customer base, enabling them to shorten delivery times for the orders they process through their websites. Our systems’ one-step printing process allows these customers to produce customized garments with short setup time.</w:t>
      </w:r>
    </w:p>
    <w:p>
      <w:pPr>
        <w:spacing w:after="0" w:line="193" w:lineRule="exact"/>
        <w:rPr>
          <w:rFonts w:ascii="Arial" w:cs="Arial" w:eastAsia="Arial" w:hAnsi="Arial"/>
          <w:sz w:val="18"/>
          <w:szCs w:val="18"/>
          <w:i w:val="1"/>
          <w:iCs w:val="1"/>
          <w:color w:val="auto"/>
        </w:rPr>
      </w:pPr>
    </w:p>
    <w:p>
      <w:pPr>
        <w:ind w:left="980" w:right="240" w:hanging="324"/>
        <w:spacing w:after="0" w:line="259" w:lineRule="auto"/>
        <w:tabs>
          <w:tab w:leader="none" w:pos="9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Brand Owners</w:t>
      </w:r>
      <w:r>
        <w:rPr>
          <w:rFonts w:ascii="Arial" w:cs="Arial" w:eastAsia="Arial" w:hAnsi="Arial"/>
          <w:sz w:val="18"/>
          <w:szCs w:val="18"/>
          <w:color w:val="auto"/>
        </w:rPr>
        <w:t>. Most brand owners use contract printers to produce their garments. Our systems offer an alternative to outsourcing in cases</w:t>
      </w:r>
      <w:r>
        <w:rPr>
          <w:rFonts w:ascii="Arial" w:cs="Arial" w:eastAsia="Arial" w:hAnsi="Arial"/>
          <w:sz w:val="18"/>
          <w:szCs w:val="18"/>
          <w:i w:val="1"/>
          <w:iCs w:val="1"/>
          <w:color w:val="auto"/>
        </w:rPr>
        <w:t xml:space="preserve"> </w:t>
      </w:r>
      <w:r>
        <w:rPr>
          <w:rFonts w:ascii="Arial" w:cs="Arial" w:eastAsia="Arial" w:hAnsi="Arial"/>
          <w:sz w:val="18"/>
          <w:szCs w:val="18"/>
          <w:color w:val="auto"/>
        </w:rPr>
        <w:t>where brand owners prefer to handle their production needs in house. Several brand owners that own full or partial production capacity are adopting digital textile printing technology to achieve innovation in design, greater customization and shorter lead times to market, which our systems facilitate.</w:t>
      </w:r>
    </w:p>
    <w:p>
      <w:pPr>
        <w:spacing w:after="0" w:line="186" w:lineRule="exact"/>
        <w:rPr>
          <w:rFonts w:ascii="Arial" w:cs="Arial" w:eastAsia="Arial" w:hAnsi="Arial"/>
          <w:sz w:val="18"/>
          <w:szCs w:val="18"/>
          <w:i w:val="1"/>
          <w:iCs w:val="1"/>
          <w:color w:val="auto"/>
        </w:rPr>
      </w:pPr>
    </w:p>
    <w:p>
      <w:pPr>
        <w:ind w:left="980" w:right="360" w:hanging="324"/>
        <w:spacing w:after="0" w:line="257" w:lineRule="auto"/>
        <w:tabs>
          <w:tab w:leader="none" w:pos="9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Contract Printers</w:t>
      </w:r>
      <w:r>
        <w:rPr>
          <w:rFonts w:ascii="Arial" w:cs="Arial" w:eastAsia="Arial" w:hAnsi="Arial"/>
          <w:sz w:val="18"/>
          <w:szCs w:val="18"/>
          <w:color w:val="auto"/>
        </w:rPr>
        <w:t>. Contract printers are high volume producers that are seeking industrial scale and cost-effective printing solutions. They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printing services to brand owners and high-end garment manufacturers and primarily use analog printing technologies. Our contract printer customers typically purchase our Avalanche family of products for high productivity as well as our Paradigm II DTG system, which allows them to combine complex images and designs with multiple embellishment effects, such as glitter, silicon, gel and burnout, into their ordinary screen printed textiles.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go to market strategy consists of a hybrid model of indirect and direct sales. We sell the majority of our solutions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December 31, 2015, our global network of channel partners consisted of approximately 50 independent distributors and resellers. Sales by our distributors accounted for approximately 64% of our revenues in 2015 and approximately 72% in 2014. In addition to working closely with our channel partners, our direct sales force engages in direct sales in certain geographies, and also with our largest customers, irrespective of their location.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right="40" w:firstLine="648"/>
        <w:spacing w:after="0" w:line="270" w:lineRule="auto"/>
        <w:rPr>
          <w:sz w:val="20"/>
          <w:szCs w:val="20"/>
          <w:color w:val="auto"/>
        </w:rPr>
      </w:pPr>
      <w:r>
        <w:rPr>
          <w:rFonts w:ascii="Arial" w:cs="Arial" w:eastAsia="Arial" w:hAnsi="Arial"/>
          <w:sz w:val="17"/>
          <w:szCs w:val="17"/>
          <w:color w:val="auto"/>
        </w:rPr>
        <w:t>The substantial majority of our sales in North America are performed through independent distributors. Hirsch International Corporation and SPSI, Inc. were our top two independent distributors by revenues in 2014 and 2015, Hirsch accounting for 25% and 18%, respectively, of our revenues in each such period and SPSI accounting for 15% of our revenues in each such period in the case of SPSI. We entered into distributor agreements with Hirsch and SPSI, dated April 1, 2014, each with an initial term of three years, which will renew 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as well as five Canadian provinces. Our agreement with SPSI is a non-exclusive distribution contract across the United States, including 20 states mainly in the Midwest, Northwest, and Southwest regions. For both distributors, we maintain projected sales plans for a number of different print systems on a yearly basis and there is a minimum yearly sales requirement for systems and ink and other consumables.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7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systems are assembled by ITS Industrial Techno-logic Solutions Ltd., or ITS, at its facilities in Rosh-Ha`Ayin, Israel and by Flextronics Israel Ltd., or Flextronics, at its facilities in Yavne, Israel. Aside from our print heads, we source many of the components of our systems directly, which we believe allows us to manage our material costs and take advantage of the overall volume of systems manufactured at both facilities without the overhead of having in house manufacturing.</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entered into our first manufacturing agreement with ITS in May 2009. We replaced that agreement with a new agreement dated November 19, 2014 pursuant to which ITS manufactures the Avalanche, Avalanche 1000, Storm II, Pardigm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Either party can also terminate the agreement at any time upon 365 days’ notice. Prices are set forth in the agreement and are determined separately with respect to the printers, services and raw materials.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right="40" w:firstLine="648"/>
        <w:spacing w:after="0" w:line="293" w:lineRule="auto"/>
        <w:rPr>
          <w:sz w:val="20"/>
          <w:szCs w:val="20"/>
          <w:color w:val="auto"/>
        </w:rPr>
      </w:pPr>
      <w:r>
        <w:rPr>
          <w:rFonts w:ascii="Arial" w:cs="Arial" w:eastAsia="Arial" w:hAnsi="Arial"/>
          <w:sz w:val="16"/>
          <w:szCs w:val="16"/>
          <w:color w:val="auto"/>
        </w:rPr>
        <w:t>We entered into a manufacturing services agreement with Flextronics (Israel) Ltd., or Flextronics, in May 2015, pursuant to which Flextronics manufactures our Avalanche, Breeze and Paradigm II systems and will manufacture our Vulcan system on a full turnkey basis in accordance with our bill of materials, drawings and designs. The initial term of the agreement is three years and it renews automatically for additional periods of 24 months unless notice of termination is given by either party at least 180 days prior to the end of the initial term or a renewal term. We can terminate the agreement at any time upon 180 days’ notice and Flextronics may terminate the agreement at any time upon 365 days’ notice. Prices are set in advance for periods of 18 months but are subject to change based on certain enumerated circumstances set forth in the agreement or as agreed between Flextronics and us.</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produce and bottle our ink and other consumables at our facility in Kiryat Gat, Israel using raw materials purchased from various suppliers for milling pigments and mixing, bottling and packaging.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4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print heads for our systems are supplied by a sole supplier, FDMX. We first entered into an agreement with FDMX in 2006. In December 2015, we entered into a new agreement with FDMX. Pursuant to this agreement, FDMX sells us print heads and additional by-products.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other than inks and other consumables sold by FDMX, that we sell over a relevant period or, if we do not sell ink and other consumables, a payment based on sales of our systems. We have granted customary audit rights to FDMX to verify the amount of sales that we make. The agreement provides that beginning with the start of the first one-year renewal period, FDMX may increase the prices of the products that we purchase from it upon 90-days’ prior notice, subject to certain conditions. Our current agreement terminates in December 2019 and provides for one three-year renewal period and one-year renewal periods thereafter. Our agreement further provides that FDMX may, at its option, discontinue products supplied under the agreement, provided that we are given one year notice of the planned discontinuance and are provided with an end of life purchase program.</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One of the chemicals used in some of our inks is supplied by BG Bond, a subsidiary of Ashtrom Ltd., a large Israeli industrial company. For some of our other inks, this chemical is supplied by The Dow Chemical Corporation, a large multinational manufacturer of chemicals. We currently purchase these chemicals on a purchase order basis.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right="300" w:firstLine="648"/>
        <w:spacing w:after="0" w:line="255" w:lineRule="auto"/>
        <w:rPr>
          <w:sz w:val="20"/>
          <w:szCs w:val="20"/>
          <w:color w:val="auto"/>
        </w:rPr>
      </w:pPr>
      <w:r>
        <w:rPr>
          <w:rFonts w:ascii="Arial" w:cs="Arial" w:eastAsia="Arial" w:hAnsi="Arial"/>
          <w:sz w:val="18"/>
          <w:szCs w:val="18"/>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the chemical required for our inks or components from limited source suppliers, we maintain an additional inventory of such components and chemicals. Nevertheless, such inventory may not be sufficient to enable us to continue supplying our products during the period that may be required to locate and qualify a new supplier. See “ITEM 3. Risk Factors—If our relationships with suppliers, especially with single source suppliers of components, were to terminate, our business could be harmed.”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Our current research and development efforts are primarily focused on completing the development of our Vulcan DTG printing system, which is positioned to be the first mass customization DTG printer. We are also focused on enhancing our current DTG and R2R systems with new features and functionality which will be provided as upgrades, offering new versions of existing products, improving system reliability and uptime and making our systems even more user-friendly, and investing in new chemistry for broadening our span of applications. Our research and development expenses were $7.4 million, $9.5 million and $12.0 million in 2013, 2014 and 2015, respectively.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2015, we owned nine issued patents in the United States and six provisional or pending U.S. patent applications. We also had ten patents issued in non-U.S. jurisdictions, and three pending Patent Cooperation Treaty patent applications, which are counterparts of our U.S. patent applications. The non-U.S. jurisdictions in which we have issued patents are China, the European Union, Hong Kong and Japan. The principal granted patents relate to our wet-on-wet printing methodology, ink formulations, printing processes and related methods and systems, with expiration dates ranging from 2020 to 2035.</w:t>
      </w:r>
    </w:p>
    <w:p>
      <w:pPr>
        <w:spacing w:after="0" w:line="188"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we own the registered trademarks “KORNIT” and “NEOPIGMENT” and make use of a number of additional unregistered trademarks.</w:t>
      </w:r>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78"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With respect to our R2R system, we face competition from major textile printer and ink manufacturers in the R2R market, such as Dover Corporation, Electronics for Imaging, Inc., and Durst Phototechnik AG. We believe that the ability of Allegro to print in a single step will enable us to compete against these competitors, many of which are larger and have greater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subject to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In Israel, where we manufacture our ink and other consumables, businesses storing or using certain hazardous materials, including materials necessary for our manufacturing process, are required, pursuant to the Israeli Dangerous Substances Law, 5753-1993, to obtain a toxin permit from the Ministry of Environmental Protection. We hold a valid toxin permit for use of chemicals that will remain in effect until October 14, 2016. Our activities also require permits from various governmental authorities including, local municipal authorities, such as planning and zoning authorities, and the Ministry of Health.</w:t>
      </w:r>
    </w:p>
    <w:p>
      <w:pPr>
        <w:spacing w:after="0" w:line="19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Based on information currently available to us, we do not expect environmental costs and contingencies to have a material adverse effect on our business or operations. To our knowledge, all of our facilities, operations, systems and ink and other consumables comply with the environmental laws, regulations and standards to which they are subject. The operation of our facilities, however, entails risks and significant expenditures could be required in the future to comply with environmental or health and safety laws, regulations or requirements.</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systems and certain components of such systems “put on the market” in the EU (whether or not manufactured in the EU) are subject to these directives. Additionally, we are required to comply with certain laws, regulations and directives, including TSCA in the United States and REACH in the EU, governing chemicals. These and similar laws and regulations require the testing and registration of certain chemicals we use and ship. We continuously monitor changes to these regulations and work to address such developments.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Our corporate structure consists of Kornit Digital Ltd., our Israeli parent company, and four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and (4) Kornit Digital Asia Pacific Limited, which was incorporated on November 18, 2009 under the laws of Hong Kong.</w:t>
      </w:r>
    </w:p>
    <w:p>
      <w:pPr>
        <w:spacing w:after="0" w:line="15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Plants and Equipment</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corporate headquarters are located in Rosh-Ha`Ayin, Israel in an office and R&amp;D facility consisting of approximately 70,000 square feet. The lease for this office expires in December 2020, with an option to extend the lease for an additional five years. In Israel, we also lease a manufacturing facility in Kiryat Gat, which consists of approximately 15,000 square feet. The lease for the Kiryat Gat manufacturing facility expires on May 30, 2018, and we have an option to lease this facility for an additional three years.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Our U.S. offices are located in Mequon, Wisconsin, consisting of approximately 12,000 square feet. The lease for this office expires in June 2018. We maintain additional sales, support and marketing offices in Dusseldorf, Hong Kong, Shanghai and Florida.</w:t>
      </w:r>
    </w:p>
    <w:p>
      <w:pPr>
        <w:spacing w:after="0" w:line="1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u w:val="single" w:color="auto"/>
          <w:color w:val="auto"/>
        </w:rPr>
        <w:t>Unresolved Staff Comments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Operating and Financial Review and Prospects</w:t>
      </w:r>
      <w:r>
        <w:rPr>
          <w:rFonts w:ascii="Arial" w:cs="Arial" w:eastAsia="Arial" w:hAnsi="Arial"/>
          <w:sz w:val="16"/>
          <w:szCs w:val="16"/>
          <w:b w:val="1"/>
          <w:bCs w:val="1"/>
          <w:color w:val="auto"/>
        </w:rPr>
        <w:t>.</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financial statements for the year ended December 31, 2015 and related notes and the information contained elsewhere in this annual report. Our financial statements have been prepared in accordance with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9" w:name="page40"/>
    <w:bookmarkEnd w:id="39"/>
    <w:p>
      <w:pPr>
        <w:ind w:firstLine="648"/>
        <w:spacing w:after="0" w:line="297" w:lineRule="auto"/>
        <w:rPr>
          <w:sz w:val="20"/>
          <w:szCs w:val="20"/>
          <w:color w:val="auto"/>
        </w:rPr>
      </w:pPr>
      <w:r>
        <w:rPr>
          <w:rFonts w:ascii="Arial" w:cs="Arial" w:eastAsia="Arial" w:hAnsi="Arial"/>
          <w:sz w:val="16"/>
          <w:szCs w:val="16"/>
          <w:color w:val="auto"/>
        </w:rPr>
        <w:t>Our business is driven by the changing dynamics in the global printed textile industry, which is undergoing a transition from analog to digital printing methods. Recent technological advancements in digital printing technology have enabled printing of high resolution images and designs on textiles in large volumes and at high throughput levels. For example, these capabilities have enabled online businesses, whose business models are tailored to the growing demand for customized and personalized goods, to cater to customers who order single units or small runs of a particular design. We have identified the high throughput segment of the DTG market as a high growth area and have therefore focused our solutions to primarily address that area.</w:t>
      </w:r>
    </w:p>
    <w:p>
      <w:pPr>
        <w:spacing w:after="0" w:line="158"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We offer a broad portfolio of digital printing systems for the DTG market. We target customers that manufacture textiles in large quantities with a variety of high throughput digital printing systems. We market our systems to different customers based on their desired throughput level, overall cost of ownership, the allowable space in their manufacturing facilities and the degree of preexisting knowledge they have of printing among other considerations. Most of our sales in recent years have been to high throughput manufacturers, which we believe will continue to grow in the next several years. At the same time, we believe that our advanced technology and years of experience in digital textile printing will enable us to continue to penetrate the R2R market with our Allegro system, which we began selling commercially in the second quarter of 2015. Furthermore, we are seeking to expand our presence into the mass production market with the commercial launch of our Vulcan system, targeted to occur during the second half of 2016. Our solutions also include our proprietary NeoPigment PURE ink and other consumables, associated software and value added services.</w:t>
      </w:r>
    </w:p>
    <w:p>
      <w:pPr>
        <w:spacing w:after="0" w:line="16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sell the majority of our solutions through a global network of approximately 50 independent distributors and value added resellers that we refer to as our channel partners. Our channel partners, in turn, sell the solutions they purchase from us to customers directly or, in some cases, act as facilitators of our direct sales process. Our independent distributors are generally responsible for identifying potential leads, working with our sales force to convert leads into buying customers and maintaining relationships with our customers. 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w:t>
      </w:r>
    </w:p>
    <w:p>
      <w:pPr>
        <w:spacing w:after="0" w:line="16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We plan to accomplish these goals by investing in our direct sales force, developing new applications for existing systems, introducing new solutions and growing our relationships with channel partners. Since sales of our ink and other consumables are directly linked to the number and mix of our systems that are sold, installed and active worldwide, engaging with our customers before and after sales is a key contributor to growth. We intend to drive growth by focusing our efforts on sales of our higher throughput industrial systems, which generally utilize larger amounts of ink and other consumables due to their greater capacity and higher throughput levels.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were founded in 2002 in Israel and shipped our first system in 2005. As of December 31, 2015, we had 343 employees located across four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regions: Israel, the United States, Europe and the Asia Pacific region.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Operating Results</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audited financial statements for the years ended December 31, 2013, 2014 and 2015 and related notes and the information contained in ITEM 18. Financial Statements. Our financial statements have been prepared in accordance with GAAP</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Substantially all of our revenues are generated from sales of our systems and ink and other consumables. A majority of our revenues is currently derived from sales of our systems, although we are targeting an equal mix of revenues from our systems compared to ink and other consumables in the medium term. We do not consider the period to period change in our total installed base to be a helpful metric in assessing our performance because we currently sell a number of different systems that have significantly different throughput characteristics and average selling prices. Accordingly, since we have not experienced material changes in the prices at which we sell ink and other consumables, we believe the best measure of the success of our strategy is the amount of the increase in revenues from ink and other consumables that is generated in each period.</w:t>
      </w:r>
    </w:p>
    <w:p>
      <w:pPr>
        <w:spacing w:after="0" w:line="17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also generate a portion of our revenues from the provision of spare parts to our distributors and customers, value added services consisting of time and material based support and post-warranty service contracts. During 2015, we also started to generate revenues from providing application development services and system and application training.</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principally sell our products through independent distributors who resell them to customers. Sales by our distributors accounted for approximately 72% of our revenues in 2014 and approximately 64% of our revenues during 2015. The balance of our revenues are generated through direct sales.</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recognize revenues from sales of our systems upon installation of the system in the customer’s premises when installation is undertaken by us, provided that the collection of the resulting receivable is probable, there is persuasive evidence of an arrangement, no significant obligations in respect of installation remain and the price is fixed or determinable. This is also the case for sales made through independent distributors unless the independent distributor installs the system in which case we recognize revenues upon shipment to the independent distributor provided all other revenue recognition criteria are met. We recognize revenues net of discounts and returns. Revenues from ink and other consumables are generally recognized upon shipment. Revenues from provision of value added services are generally recognized at the time such support services are provided. See “—Critical Accounting Policies —Revenue Recognition”.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35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2013</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9"/>
              </w:rPr>
              <w:t>2014</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2015</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87"/>
              </w:rPr>
              <w:t>(in thousands except percentages)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22,022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3"/>
              </w:rPr>
              <w:t>44.6%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33,188</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45,605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Americas (non-U.S.)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5,732</w:t>
            </w:r>
          </w:p>
        </w:tc>
        <w:tc>
          <w:tcPr>
            <w:tcW w:w="26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3,564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3,185</w:t>
            </w:r>
          </w:p>
        </w:tc>
        <w:tc>
          <w:tcPr>
            <w:tcW w:w="2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Asia Pacific</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7,330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11,608</w:t>
            </w:r>
          </w:p>
        </w:tc>
        <w:tc>
          <w:tcPr>
            <w:tcW w:w="280" w:type="dxa"/>
            <w:vAlign w:val="bottom"/>
          </w:tcPr>
          <w:p>
            <w:pPr>
              <w:spacing w:after="0"/>
              <w:rPr>
                <w:sz w:val="19"/>
                <w:szCs w:val="19"/>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16,015</w:t>
            </w:r>
          </w:p>
        </w:tc>
        <w:tc>
          <w:tcPr>
            <w:tcW w:w="280" w:type="dxa"/>
            <w:vAlign w:val="bottom"/>
          </w:tcPr>
          <w:p>
            <w:pPr>
              <w:spacing w:after="0"/>
              <w:rPr>
                <w:sz w:val="19"/>
                <w:szCs w:val="19"/>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2380" w:type="dxa"/>
            <w:vAlign w:val="bottom"/>
            <w:vMerge w:val="continue"/>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100.0</w:t>
            </w:r>
          </w:p>
        </w:tc>
        <w:tc>
          <w:tcPr>
            <w:tcW w:w="200" w:type="dxa"/>
            <w:vAlign w:val="bottom"/>
            <w:vMerge w:val="continue"/>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66,364</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86,405</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right="100" w:firstLine="648"/>
        <w:spacing w:after="0" w:line="257" w:lineRule="auto"/>
        <w:rPr>
          <w:sz w:val="20"/>
          <w:szCs w:val="20"/>
          <w:color w:val="auto"/>
        </w:rPr>
      </w:pPr>
      <w:r>
        <w:rPr>
          <w:rFonts w:ascii="Arial" w:cs="Arial" w:eastAsia="Arial" w:hAnsi="Arial"/>
          <w:sz w:val="18"/>
          <w:szCs w:val="18"/>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In the future, we will seek to generate greater revenues from our service offering, and thereby leverage the fixed cost component associated with it, by increasing sales of post-warranty service contracts, selling upgrade kits and providing other professional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320" w:firstLine="648"/>
        <w:spacing w:after="0" w:line="276" w:lineRule="auto"/>
        <w:rPr>
          <w:sz w:val="20"/>
          <w:szCs w:val="20"/>
          <w:color w:val="auto"/>
        </w:rPr>
      </w:pPr>
      <w:r>
        <w:rPr>
          <w:rFonts w:ascii="Arial" w:cs="Arial" w:eastAsia="Arial" w:hAnsi="Arial"/>
          <w:sz w:val="17"/>
          <w:szCs w:val="17"/>
          <w:color w:val="auto"/>
        </w:rPr>
        <w:t>Our operating expenses are classified into three categories: research and development expenses,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at a controlled pace as we hire new employees to support growth of our business. In the long term, we expect operating expenses to decrease as a percentage of revenues.</w:t>
      </w:r>
    </w:p>
    <w:p>
      <w:pPr>
        <w:spacing w:after="0" w:line="17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The largest component of our research and development expenses is salaries and related personnel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research and development employees. Research and development expenses also include purchases of laboratory supplies; expenses related to beta testing of our systems; and allocated overhead costs for facilities, including rent payments under our facilities leases. We record all research and development expenses as they are incurred. We expect research and development expenses to increase in absolute terms as we continue to hire additional engineers and chemists and establish beta sites for our Vulcan DTG printing system and additional systems that we develop. Our current research and development efforts are primarily focused on completing the development of our Vulcan printing system, and enhancing our current DTG systems with new features and functionality, improving system reliability and uptime and improving our solution user experience. We are also investing in the development of new ink formulas for our new systems and in order to expand the range of fabrics on which we can print and further improve color quality of our high resolution images and designs.</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42" w:name="page43"/>
    <w:bookmarkEnd w:id="42"/>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The largest component of our sales and marketing expenses is salaries and related personnel expenses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sales and other sales-support employees. Sales and marketing expenses also include advertising and promotions, including trade shows,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including as a part of our expansion to new territories and strengthen relationships with our distributors.</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The largest component of our general and administrative expenses is salaries and related personnel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in the near term as a result of our being a publicly traded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 Net</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Finance expenses, net consists of foreign currency exchange gains or losses and, to a lesser extent, interest income. Foreign currency exchange changes reflect gains or losses related to changes in the value of our non-U.S. dollar denominated financial assets, primarily cash and cash equivalents, and trade payables and receivables. As of December 31, 2015,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on our average investment balances and market interest rates during each reporting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The standard corporate tax rate in Israel was 25.0% in 2013, 26.5% in 2014 and 2015 and is currently set at 25.0% for 2016 and thereafter. At the parent company level, a small amount of the taxable income of Kornit Digital was taxed prior to 2014 at the 25.0% rate. However, as discussed in greater detail below under “Taxation and Israeli Government Programs Applicable To Our Company — Israeli Tax Considerations and Government Programs,” we and our wholly-owned Israeli subsidiary Kornit Technologies, are entitled to various tax benefits under the Israeli Law for the Encouragement of Capital Investments, 1959, or the Investment Law. As a result of these benefits, referred to as “benefited enterprise” and “preferred enterprise” status, prior to 2014, substantially all of the income that we generated was exempt from income tax resulting in an overall effective tax rate, on a blended basis, of approximately 5%. Although Kornit Technologies had (and continues to have) net operating loss carryforwards, prior to 2014 we were unable to apply them to offset the amount of Israeli taxable income that we generated. As a result, we were subject to taxes on our taxable income at the parent company level.</w:t>
      </w:r>
    </w:p>
    <w:p>
      <w:pPr>
        <w:spacing w:after="0" w:line="16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Starting from January 1, 2014, we consolidate the results of our Israeli operations for tax purposes such that future net operating loss carryforwards of Kornit Technologies can be used to offset Israeli taxable income from us. Kornit Technologies currently generates sufficient net operating loss carryforwards to offset the taxable income of the parent. Accordingly, we were not subject to income tax in Israel in 2014 or 2015 and our effective tax rate was the blended rate of our Israeli tax and those of our non-Israeli subsidiaries in their respective jurisdictions of organization.</w:t>
      </w:r>
    </w:p>
    <w:p>
      <w:pPr>
        <w:spacing w:after="0" w:line="17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Comparison of Period to Period Results of Operations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49,395</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66,364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86,405</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0"/>
                <w:szCs w:val="20"/>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27,953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37,187</w:t>
            </w:r>
          </w:p>
        </w:tc>
        <w:tc>
          <w:tcPr>
            <w:tcW w:w="260" w:type="dxa"/>
            <w:vAlign w:val="bottom"/>
          </w:tcPr>
          <w:p>
            <w:pPr>
              <w:spacing w:after="0"/>
              <w:rPr>
                <w:sz w:val="20"/>
                <w:szCs w:val="20"/>
                <w:color w:val="auto"/>
              </w:rPr>
            </w:pPr>
          </w:p>
        </w:tc>
        <w:tc>
          <w:tcPr>
            <w:tcW w:w="980" w:type="dxa"/>
            <w:vAlign w:val="bottom"/>
            <w:gridSpan w:val="2"/>
          </w:tcPr>
          <w:p>
            <w:pPr>
              <w:jc w:val="right"/>
              <w:ind w:right="55"/>
              <w:spacing w:after="0"/>
              <w:rPr>
                <w:sz w:val="20"/>
                <w:szCs w:val="20"/>
                <w:color w:val="auto"/>
              </w:rPr>
            </w:pPr>
            <w:r>
              <w:rPr>
                <w:rFonts w:ascii="Arial" w:cs="Arial" w:eastAsia="Arial" w:hAnsi="Arial"/>
                <w:sz w:val="18"/>
                <w:szCs w:val="18"/>
                <w:color w:val="auto"/>
              </w:rPr>
              <w:t>45,820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gridSpan w:val="2"/>
          </w:tcPr>
          <w:p>
            <w:pPr>
              <w:spacing w:after="0" w:line="203"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9,475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11,950</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7,734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10,616</w:t>
            </w:r>
          </w:p>
        </w:tc>
        <w:tc>
          <w:tcPr>
            <w:tcW w:w="260" w:type="dxa"/>
            <w:vAlign w:val="bottom"/>
          </w:tcPr>
          <w:p>
            <w:pPr>
              <w:spacing w:after="0"/>
              <w:rPr>
                <w:sz w:val="18"/>
                <w:szCs w:val="18"/>
                <w:color w:val="auto"/>
              </w:rPr>
            </w:pPr>
          </w:p>
        </w:tc>
        <w:tc>
          <w:tcPr>
            <w:tcW w:w="980" w:type="dxa"/>
            <w:vAlign w:val="bottom"/>
            <w:gridSpan w:val="2"/>
          </w:tcPr>
          <w:p>
            <w:pPr>
              <w:jc w:val="right"/>
              <w:ind w:right="55"/>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5,266</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18,455</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25,357</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34,817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Finance expenses, net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9"/>
                <w:szCs w:val="19"/>
                <w:color w:val="auto"/>
              </w:rPr>
            </w:pPr>
          </w:p>
        </w:tc>
        <w:tc>
          <w:tcPr>
            <w:tcW w:w="980" w:type="dxa"/>
            <w:vAlign w:val="bottom"/>
            <w:gridSpan w:val="2"/>
          </w:tcPr>
          <w:p>
            <w:pPr>
              <w:jc w:val="right"/>
              <w:ind w:right="55"/>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7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3,023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jc w:val="center"/>
              <w:ind w:left="410"/>
              <w:spacing w:after="0"/>
              <w:rPr>
                <w:sz w:val="20"/>
                <w:szCs w:val="20"/>
                <w:color w:val="auto"/>
              </w:rPr>
            </w:pPr>
            <w:r>
              <w:rPr>
                <w:rFonts w:ascii="Arial" w:cs="Arial" w:eastAsia="Arial" w:hAnsi="Arial"/>
                <w:sz w:val="18"/>
                <w:szCs w:val="18"/>
                <w:b w:val="1"/>
                <w:bCs w:val="1"/>
                <w:color w:val="auto"/>
                <w:w w:val="90"/>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gridSpan w:val="7"/>
          </w:tcPr>
          <w:p>
            <w:pPr>
              <w:jc w:val="center"/>
              <w:ind w:right="60"/>
              <w:spacing w:after="0"/>
              <w:rPr>
                <w:sz w:val="20"/>
                <w:szCs w:val="20"/>
                <w:color w:val="auto"/>
              </w:rPr>
            </w:pPr>
            <w:r>
              <w:rPr>
                <w:rFonts w:ascii="Arial" w:cs="Arial" w:eastAsia="Arial" w:hAnsi="Arial"/>
                <w:sz w:val="18"/>
                <w:szCs w:val="18"/>
                <w:b w:val="1"/>
                <w:bCs w:val="1"/>
                <w:color w:val="auto"/>
                <w:w w:val="89"/>
              </w:rPr>
              <w:t>(as a % of revenues)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0"/>
                <w:szCs w:val="20"/>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38.2</w:t>
            </w: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Finance expenses, net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top w:val="single" w:sz="8" w:color="CCEEFF"/>
              <w:bottom w:val="single" w:sz="8" w:color="CCEEFF"/>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2014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Revenues increased by $20.0 million, or 30.2%, to $86.4 million in 2015 from $66.4 million in 2014. The growth in revenues resulted from a 27.5% increase in system and services revenues to $51.8 million in 2015 from $40.6 million in 2014 and a 34.4% increase in sales of ink and other consumables to $34.6 million in 2015 from $25.8 million in 2014. The $11.2 million growth in system and services revenues was attributable to the initial sales of our Allegro system and a change in the mix of systems sold, specifically sales of more high throughput systems in this period, which sell for higher average selling prices than our entry level systems. We believe that the increase in sales of high throughput systems was a result of focusing our marketing efforts on high throughput systems and the growing maturity of the web-to-print business model facilitated by high throughput systems. The $8.9 million increase in ink and other consumables revenues was due to higher sales volumes of ink and other consumables and our larger installed base. The absolute and percentage increase in ink and other consumables revenues in 2015 compared to 2014 was higher than in 2014 compared to 2013 because of the increase in install base of high throughput and R2R systems in 2015, which drives higher consumption of our ink and other consumables.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Cost of revenues increased by $8.6 million, or 23.2%, to $45.8 million in 2015 from $37.2 million in 2014. Gross profit increased by $11.4 million, or 39.1%, to $40.6 million in 2015, as compared to $29.2 million in 2014. Gross margin was 47.0% in 2015 compared to 44.0% in 2014. The increase in gross margin is related to an increase in systems and services gross margin which resulted from an increase in sales of higher margin high throughput systems, economies of scale and increase in sales of service contracts. Ink and consumables gross margin remained flat from 2014 to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1"/>
              </w:rPr>
              <w:t>Revenues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Revenues</w:t>
            </w:r>
          </w:p>
        </w:tc>
        <w:tc>
          <w:tcPr>
            <w:tcW w:w="1680" w:type="dxa"/>
            <w:vAlign w:val="bottom"/>
            <w:gridSpan w:val="3"/>
          </w:tcPr>
          <w:p>
            <w:pPr>
              <w:ind w:left="24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7"/>
              </w:rPr>
              <w:t>($ 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2,475</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0"/>
              </w:rPr>
              <w:t>26.1%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10,616</w:t>
            </w:r>
          </w:p>
        </w:tc>
        <w:tc>
          <w:tcPr>
            <w:tcW w:w="14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13,367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2,751</w:t>
            </w:r>
          </w:p>
        </w:tc>
        <w:tc>
          <w:tcPr>
            <w:tcW w:w="3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25.9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4,234</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1"/>
              </w:rPr>
              <w:t>80.4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25,357</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vMerge w:val="continue"/>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34,817</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9,460</w:t>
            </w:r>
          </w:p>
        </w:tc>
        <w:tc>
          <w:tcPr>
            <w:tcW w:w="34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85"/>
              </w:rPr>
              <w:t>37.3</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26.1% in 2015 compared to 2014. This resulted primarily from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$2.0 million in salaries and related personnel expenses and share based compensation due to the hiring of additional personnel reflecting an increase in headcount, which contributed to the accelerated development of the Vulcan and other pipeline products compared to the previous year. This was offset by a decrease in consulting costs of $0.3 million and an increase of $0.3 million in facilities costs allocated to research and development in connection with the expansion of our headquarters in Rosh Ha'Ayin, Israel. As a percentage of total revenues, our research and development expenses slightly decreased during this period, from 14.3% in 2014 to 13.8% in 2015.</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25.9% in 2015 compared to 2014. This increase was primarily due to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in salaries and related personnel expenses and share based compensation expenses due to the hiring of sales and marketing personnel in 2015 reflecting an increase in headcount compared to the previous year and an increase of $0.5 million in marketing activities, including trade shows and online marketing activities. As a percentage of total revenues, our sales and marketing expenses slightly decreased during this period, from 16.0% in 2014 to 15.5% in 2015.</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80.4% in 2015 compared to 2014. This resulted primarily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$1.7 million in salaries and related personnel expenses and share based compensation due to the hiring of additional personnel reflecting an increase in headcount compared to the previous year and management changes at the end of 2014 and an increase of $0.8 million in expenses of consultants, including accountants and counsel as a result of our becoming a publicly-traded company during 2015. In addition, an increase of $0.8 million in general and administrative expenses resulted from a one-time payment to Fortissimo Capital, our principal shareholder, in connection with the termination of our management services agreement with them. As a percentage of total revenues, our general and administrative expenses increased from 7.9% in 2014 to 11% in 2015.</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Finance expenses, net increased from net expenses of $15,000 in 2014 to $0.3 million in 2015. This increase in expenses resulted primarily from the effects of exchange rates on our non-dollar denominated financial assets, specifically the exchange rate of the U.S. dollar to the NIS offset by accrued interest of our cash investments and marketable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Taxes on income decreased from $0.8 million in 2014 to $0.7 million in 2015. Our effective tax rate was 13.0% for 2015 compared to 20.6% for 2014. Starting in 2014, we consolidated Kornit Technologies for tax purposes, which resulted in significantly lower taxable income and, as such, a correspondingly lower effective tax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2013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Revenues increased by $17.0 million, or 34.4%, to $66.4 million in 2014 from $49.4 million in 2013. Most of the growth in revenues resulted from a 45.5% increase in system and services revenues to $40.6 million in 2014 from $27.9 million in 2013. The growth in revenues also resulted from a 20.0% increase in sales of ink and other consumables to $25.8 million in 2014 from $21.5 million in 2013. The substantial majority of the $12.7 million growth in system and services revenues was attributable to a change in the mix of systems sold, specifically sales of more high throughput systems in this period, which sell for higher average selling prices than our entry level systems. We believe that the increase in sales of high throughput systems was a result of our coordinated marketing efforts following the introduction of a more advanced high throughput system in mid-2013, positive reception of these products and the growing maturity of the web-to-print business model facilitated by high throughput systems. The $4.3 million increase in ink and other consumables revenues was due to higher sales volumes of ink and other consumables. The absolute and percentage increase in ink and other consumables revenues in 2014 compared to 2013 was smaller than in 2013 compared to 2012 because systems sales were lower in 2013 and accordingly drove a smaller increase in sales of ink and other consumables in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Cost of revenues increased by $9.2 million, or 32.9%, to $37.2 million in 2014 from $28.0 million in 2013. Gross profit increased by $7.8 million, or 36.4%, to $29.2 million in 2014, as compared to $21.4 million in 2013. Gross margin was 44.0% in 2014 compared to 43.4% in 2013. The increase in gross margin is related to an increase in systems gross margin partially offset by a decrease in gross margin from ink and other consumables in each case compared to the prior year. The increase in system gross margin resulted from an increase in sales of higher margin high throughput systems while the decrease in ink and other consumables gross margin resulted mainly from higher costs of revenues related to increased rent expense due to the expansion of the facility where we manufacture our ink and other consumables and increased headcount expense relating to increased production of ink and other consumables.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2013</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10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4"/>
              </w:rPr>
              <w:t>% of</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w w:val="99"/>
              </w:rPr>
              <w:t>Amount</w:t>
            </w:r>
          </w:p>
        </w:tc>
        <w:tc>
          <w:tcPr>
            <w:tcW w:w="1200" w:type="dxa"/>
            <w:vAlign w:val="bottom"/>
            <w:gridSpan w:val="2"/>
          </w:tcPr>
          <w:p>
            <w:pPr>
              <w:jc w:val="center"/>
              <w:ind w:right="270"/>
              <w:spacing w:after="0"/>
              <w:rPr>
                <w:sz w:val="20"/>
                <w:szCs w:val="20"/>
                <w:color w:val="auto"/>
              </w:rPr>
            </w:pPr>
            <w:r>
              <w:rPr>
                <w:rFonts w:ascii="Arial" w:cs="Arial" w:eastAsia="Arial" w:hAnsi="Arial"/>
                <w:sz w:val="18"/>
                <w:szCs w:val="18"/>
                <w:b w:val="1"/>
                <w:bCs w:val="1"/>
                <w:color w:val="auto"/>
                <w:w w:val="84"/>
              </w:rPr>
              <w:t>Revenues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12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Revenues</w:t>
            </w:r>
          </w:p>
        </w:tc>
        <w:tc>
          <w:tcPr>
            <w:tcW w:w="16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jc w:val="center"/>
              <w:ind w:right="70"/>
              <w:spacing w:after="0"/>
              <w:rPr>
                <w:sz w:val="20"/>
                <w:szCs w:val="20"/>
                <w:color w:val="auto"/>
              </w:rPr>
            </w:pPr>
            <w:r>
              <w:rPr>
                <w:rFonts w:ascii="Arial" w:cs="Arial" w:eastAsia="Arial" w:hAnsi="Arial"/>
                <w:sz w:val="18"/>
                <w:szCs w:val="18"/>
                <w:b w:val="1"/>
                <w:bCs w:val="1"/>
                <w:color w:val="auto"/>
                <w:w w:val="89"/>
              </w:rPr>
              <w:t>($ in thousands)</w:t>
            </w: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7"/>
              </w:rPr>
              <w:t>15.1%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0"/>
              </w:rPr>
              <w:t>27.3%</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7,734</w:t>
            </w:r>
          </w:p>
        </w:tc>
        <w:tc>
          <w:tcPr>
            <w:tcW w:w="14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10,616</w:t>
            </w:r>
          </w:p>
        </w:tc>
        <w:tc>
          <w:tcPr>
            <w:tcW w:w="14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2,882</w:t>
            </w:r>
          </w:p>
        </w:tc>
        <w:tc>
          <w:tcPr>
            <w:tcW w:w="3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37.3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5,266</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1"/>
              </w:rPr>
              <w:t>60.6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262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w w:val="79"/>
              </w:rPr>
              <w:t>37.4</w:t>
            </w:r>
          </w:p>
        </w:tc>
        <w:tc>
          <w:tcPr>
            <w:tcW w:w="220" w:type="dxa"/>
            <w:vAlign w:val="bottom"/>
            <w:vMerge w:val="continue"/>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25,357</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w:t>
            </w:r>
          </w:p>
        </w:tc>
        <w:tc>
          <w:tcPr>
            <w:tcW w:w="280" w:type="dxa"/>
            <w:vAlign w:val="bottom"/>
            <w:vMerge w:val="continue"/>
          </w:tcPr>
          <w:p>
            <w:pPr>
              <w:spacing w:after="0"/>
              <w:rPr>
                <w:sz w:val="20"/>
                <w:szCs w:val="20"/>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6,902</w:t>
            </w:r>
          </w:p>
        </w:tc>
        <w:tc>
          <w:tcPr>
            <w:tcW w:w="34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85"/>
              </w:rPr>
              <w:t>37.4</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27.3% in 2014 compared to 2013. This resulted primarily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 million in salaries and related personnel expenses due to the hiring of additional personnel. This increase related primarily to an increase in expenses relating to development of our new Vulcan system for the DTG market. As a percentage of total revenues, our research and development expenses slightly decreased in 2014 compared to 2013.</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37.3% in 2014 compared to 2013. This increase was primarily due to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$1.8 million in salaries and related personnel expenses due to the hiring of sales and marketing personnel in 2014, an increase of $0.3 million in marketing activities, including trade shows and online marketing activities. As a percentage of total revenues, our sales and marketing expenses rose slightly during this period, from 15.7% in 2013 to 16.0% in 2014. This increase reflects our strategy of continuing to increase our presence in new markets in which we operate and creating increased market awareness of our company from intensified marketing efforts.</w:t>
      </w:r>
    </w:p>
    <w:p>
      <w:pPr>
        <w:spacing w:after="0" w:line="17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60.6% in 2014 compared to 2013. This resulted primarily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$1.3 million in salaries and related personnel expenses due to the hiring of additional personnel reflecting an increase in headcount compared to the previous year and management changes. As a percentage of our total revenues in those years, such expenses increased, from 6.6% in 2013 to 7.9% in 2014 reflecting the expansion of our management team.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Finance expenses, net decreased from $460,000 in 2013 to $15,000 in 2014. This decrease resulted primarily from the effects of exchange rates on our non-dollar denominated financial assets, specifically the exchange rate of the U.S. dollar to the NIS.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Taxes on income decreased from $1.4 million in 2013 to $0.8 million in 2014. Our effective tax rate was 20.6% for 2014 compared to 55.1% for 2013. Our tax rate in 2013 reflected a full valuation allowance applied against the current loss for tax purposes incurred by our Israeli subsidiary, Kornit Technologies, which was not consolidated for tax purposes with our parent entity, Kornit Digital, which generates taxable income. Starting in 2014, we have consolidated Kornit Technologies for tax purposes resulting in significantly lower taxable income and a correspondingly lower effective tax rate.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believe that the following significant accounting policies are the basis for the most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generate revenues from the sale of our systems, ink and other consumables and value added services. We generate revenues from sale of our solutions directly to customers and indirectly through independent distributors. We recognize revenue when (1) persuasive evidence of a final agreement exists, (2) delivery has occurred or services have been rendered, (3) the selling price is fixed or determinable, and (4) collectability is reasonably assured. In respect of sale of products, installation of our systems and training, we consider the element in the arrangement to be a single unit of accounting. In accordance with ASC 605, we have concluded that our arrangements are generally consistent with the indicators suggesting that installation and training are essential to the functionality of our systems.</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an independent distributor is responsible for installation of our systems at customer sites, revenues from sales to the independent distributor are generally recognized upon shipment and when title and risk of loss have been transferred to the independent distributor. We account for such sales on a net basis since we are not the primary obligor in the arrangement. Products and services sold directly by us to customers are recognized based on the gross amount as we are the primary obligor in the arrangement, retain inventory risk for physical products, establish the price for our products, and assume the credit risk for amounts billed to its customers.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from ink and other consumable products are generally recognized upon shipment assuming all other revenue recognition criteria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systems include a one-year warranty. After the initial warranty period, we offer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right="260" w:firstLine="648"/>
        <w:spacing w:after="0" w:line="264" w:lineRule="auto"/>
        <w:rPr>
          <w:sz w:val="20"/>
          <w:szCs w:val="20"/>
          <w:color w:val="auto"/>
        </w:rPr>
      </w:pPr>
      <w:r>
        <w:rPr>
          <w:rFonts w:ascii="Arial" w:cs="Arial" w:eastAsia="Arial" w:hAnsi="Arial"/>
          <w:sz w:val="18"/>
          <w:szCs w:val="18"/>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Inventories are measured at the lower of cost or market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market value based on assumptions about future demand and historical sales patterns.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December 31, 2015, we had $15.8 million of inventory of which $8.7 million consisted of raw materials and components and $7.1 million consisted of completed systems, ink and other consumables. We recorded inventory write-offs in a total amount of $0.4 million, $0.3 million and $0.8 million for the years ended December 31, 2013, 2014 and 2015,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“Compensation—Stock Based Compensation,” or ASC 718, which requires us to measure the cost of options based on the fair value of the award on the grant date.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9" w:name="page50"/>
    <w:bookmarkEnd w:id="49"/>
    <w:p>
      <w:pPr>
        <w:ind w:firstLine="648"/>
        <w:spacing w:after="0" w:line="297" w:lineRule="auto"/>
        <w:rPr>
          <w:sz w:val="20"/>
          <w:szCs w:val="20"/>
          <w:color w:val="auto"/>
        </w:rPr>
      </w:pPr>
      <w:r>
        <w:rPr>
          <w:rFonts w:ascii="Arial" w:cs="Arial" w:eastAsia="Arial" w:hAnsi="Arial"/>
          <w:sz w:val="16"/>
          <w:szCs w:val="16"/>
          <w:color w:val="auto"/>
        </w:rPr>
        <w:t>While we believe the resulting tax balances as of December 31, 2013, 2014 and 2015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typically grant a one-year warranty on our systems and record a provision for warranty at the time the product’s revenue is recognized. We estimate the liability of possible warranty claims based on our historical experience. We estimate the costs that may be incurred under our warranty arrangements and record a liability in the amount of such costs at the time product revenue is recognized. We periodically assess the adequacy of the recorded warranty liabilities and adjust the amounts as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Marketable securities consist are currently debt securities. We determine the appropriate classification of marketable securities at the time of purchase and re-evaluate such designation at each balance sheet date. In accordance with FASB ASC No. 320, “Investment Debt and Equity Securities,” we classify marketable securities as available-for-sale. Available-for-sale securities are stated at fair value, with unrealized gains and losses reported in accumulated other comprehensive income (loss), a separate component of shareholders’ equity, net of taxes. Realized gains and losses on sales of marketable securities, as determined on a specific identification basis, are included in financial income, net. The amortized cost of marketable securities is adjusted for amortization of premium and accretion of discount to maturity, both of which, together with interest, are included in financial income, net.</w:t>
      </w:r>
    </w:p>
    <w:p>
      <w:pPr>
        <w:spacing w:after="0" w:line="16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recognize an impairment charge when a decline in the fair value of our investments in debt securities below the cost basis of such securities is judged to be other-than-temporary. The determination of credit losses requires significant judgment and actual results may be materially different from our estimates. Factors considered in making such a determination include the duration and severity of the impairment, the reason for the decline in value, the ability of the issuer to meet payment obligations, the potential recovery period and our intent to sell, including whether it is more likely than not that we will be required to sell the investment before recovery of cost basis. For securities that are deemed other-than-temporarily impaired, the amount of impairment is recognized in the statement of operations and is limited to the amount related to credit losses, while impairment related to other factors is recognized in other comprehensive income (loss).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2015, no other-than temporary impairment were recorded related to our marketable securities.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2014, the FASB issued guidance related to revenue from contracts with customers. Under this guidance, revenue is recognized when promised goods or services are transferred to customers in an amount that reflects the consideration that is expected to be received for those goods or services. The updated standard will replace most existing revenue recognition guidance under GAAP when it becomes effective and permits the use of either the retrospective or cumulative effect transition method. As currently issued and amended, ASU 2014-09 is effective for annual reporting periods beginning after December 15, 2017, including interim periods within that reporting period; although early adoption is permitted for annual reporting periods beginning after December 15, 2016. We are currently evaluating the effect that the updated standard will have on our consolidated financial statements and related disclosures.</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2015, the FASB issued Accounting Standards Update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 The amendments in this update are effective for annual periods beginning after December 15, 2016, and interim periods therein and may be applied either prospectively or retrospectively to all periods presented. Early adoption is permitted. We have early adopted this standard in the fourth quarter of 2015 on a retrospective basis. Prior years have been retrospectively adjusted.</w:t>
      </w:r>
    </w:p>
    <w:p>
      <w:pPr>
        <w:spacing w:after="0" w:line="18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February 2016, the FASB issued ASU 2016-02, “Leases (Topic 842),” which will replace the existing guidance in ASC 840, “Leases.” The updated standard aims to increase transparency and comparability among organizations by requiring lessees to recognize lease assets and lease liabilities on the balance sheet and requiring disclosure of key information about leasing arrangements. This ASU is effective for annual periods beginning after December 15, 2018, and interim periods within those annual periods; early adoption is permitted and modified retrospective application is required. We are in the process of evaluating this guidance to determine the impact it will have on our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 Considerations and Government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brief summary of the material Israeli tax laws applicable to us, and certain Israeli Government programs that benefit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225"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Israeli companies are generally subject to corporate tax on their taxable income. As of 2016, the corporate tax rate is 25% (in 2014 and 2015, the corporate tax rate was 26.5%).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Industry (Taxes), 5729-1969</w:t>
      </w:r>
    </w:p>
    <w:p>
      <w:pPr>
        <w:spacing w:after="0" w:line="225"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2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Industry Encouragement Law defines an “Industrial Company” as a company resident in Israel, which was incorporated in Israel and of which 90% or more of its income in any tax year, other than income from certain government loans, is derived from an “Industrial Enterprise” owned by it. An “Industrial Enterprise” is defined as an enterprise whose principal activity in a given tax year is industrial production.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tax benefits, among others, are available to Industrial Companies:</w:t>
      </w:r>
    </w:p>
    <w:p>
      <w:pPr>
        <w:spacing w:after="0" w:line="212" w:lineRule="exact"/>
        <w:rPr>
          <w:sz w:val="20"/>
          <w:szCs w:val="20"/>
          <w:color w:val="auto"/>
        </w:rPr>
      </w:pPr>
    </w:p>
    <w:p>
      <w:pPr>
        <w:ind w:left="980" w:right="780" w:hanging="324"/>
        <w:spacing w:after="0" w:line="307"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deduction of the cost of purchased know-how, patents and rights to use a patent and know-how which are used for the development or promotion of the Industrial Enterprise, over an eight-year period commencing on the year in which such rights were first exercised;</w:t>
      </w:r>
    </w:p>
    <w:p>
      <w:pPr>
        <w:spacing w:after="0" w:line="137" w:lineRule="exact"/>
        <w:rPr>
          <w:rFonts w:ascii="Arial" w:cs="Arial" w:eastAsia="Arial" w:hAnsi="Arial"/>
          <w:sz w:val="16"/>
          <w:szCs w:val="16"/>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controlled by it;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Eligibility for benefits under the Industry Encouragement Law is not subject to receipt of prior approval from any governmental authority.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can be no assurance that we will continue to qualify as an Industrial Company or that the benefits described above will be available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Law for the Encouragement of Capital Investments, 5719-1959</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4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for our company, and for our Israeli subsidiary we elected to apply the benefit under the 2011 Amendment.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Subsequent to the 2005 Amendment</w:t>
      </w:r>
    </w:p>
    <w:p>
      <w:pPr>
        <w:spacing w:after="0" w:line="225" w:lineRule="exact"/>
        <w:rPr>
          <w:sz w:val="20"/>
          <w:szCs w:val="20"/>
          <w:color w:val="auto"/>
        </w:rPr>
      </w:pPr>
    </w:p>
    <w:p>
      <w:pPr>
        <w:jc w:val="both"/>
        <w:ind w:right="340" w:firstLine="648"/>
        <w:spacing w:after="0" w:line="255" w:lineRule="auto"/>
        <w:rPr>
          <w:sz w:val="20"/>
          <w:szCs w:val="20"/>
          <w:color w:val="auto"/>
        </w:rPr>
      </w:pPr>
      <w:r>
        <w:rPr>
          <w:rFonts w:ascii="Arial" w:cs="Arial" w:eastAsia="Arial" w:hAnsi="Arial"/>
          <w:sz w:val="18"/>
          <w:szCs w:val="18"/>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An enterprise that qualifies under the new provisions is referred to as a “Benefited Enterprise.” 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amendment. A company that has a Benefited Enterprise may, at its discretion, approach the Israel Tax Authority for a pre-ruling confirming that it is in compliance with the provisions of the Investment Law.</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Tax benefits are available under the 2005 Amendment to production facilities (or other eligible facilities) which are generally required to derive more than 25%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from the end of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in Israel, and a reduced corporate tax rate of between 10% to 25% for the remainder of the benefits period, depending on the level of foreign investment in the company in each year. The benefits period is limited to 12 or 14 years from the year the company first chose to have the tax benefits apply, depending on the location of the company.</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company qualifying for tax benefits under the 2005 Amendment which pays a dividend out of income derived by its Benefited Enterprise during the tax exemption period will be subject to corporate tax in respect of the gross amount of the dividend distributed (grossed-up to reflect the pre-tax income that it would have had to earn in order to distribute the dividend) at the corporate tax rate which would have otherwise been applicable. Dividends paid out of income attributed to a Benefited Enterprise (or out of dividends received from a company whose income is attributed to a Benefited Enterprise) are generally subject to withholding tax at source at the rate of 15% or such lower rate as may be provided in an applicable tax treaty (subject to the receipt in advance of a valid certificate from the Israel Tax Authority allowing for a reduced tax rate).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In the case of a Foreign Investors’ Company, the 12-year limitation on reduced withholding tax on dividends does not apply.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right="140" w:firstLine="648"/>
        <w:spacing w:after="0" w:line="264" w:lineRule="auto"/>
        <w:rPr>
          <w:sz w:val="20"/>
          <w:szCs w:val="20"/>
          <w:color w:val="auto"/>
        </w:rPr>
      </w:pPr>
      <w:r>
        <w:rPr>
          <w:rFonts w:ascii="Arial" w:cs="Arial" w:eastAsia="Arial" w:hAnsi="Arial"/>
          <w:sz w:val="18"/>
          <w:szCs w:val="18"/>
          <w:color w:val="auto"/>
        </w:rPr>
        <w:t>The benefits available to a Benefited Enterprise are subject to the fulfillment of conditions stipulated in the Investment Law and its regulations. If a company does not meet these conditions, it would be required to refund the amount of tax benefits, as adjusted by the Israeli consumer price index, and interest, or other monetary penalties.</w:t>
      </w:r>
    </w:p>
    <w:p>
      <w:pPr>
        <w:spacing w:after="0" w:line="181" w:lineRule="exact"/>
        <w:rPr>
          <w:sz w:val="20"/>
          <w:szCs w:val="20"/>
          <w:color w:val="auto"/>
        </w:rPr>
      </w:pPr>
    </w:p>
    <w:p>
      <w:pPr>
        <w:jc w:val="both"/>
        <w:ind w:right="420" w:firstLine="648"/>
        <w:spacing w:after="0" w:line="312" w:lineRule="auto"/>
        <w:rPr>
          <w:sz w:val="20"/>
          <w:szCs w:val="20"/>
          <w:color w:val="auto"/>
        </w:rPr>
      </w:pPr>
      <w:r>
        <w:rPr>
          <w:rFonts w:ascii="Arial" w:cs="Arial" w:eastAsia="Arial" w:hAnsi="Arial"/>
          <w:sz w:val="16"/>
          <w:szCs w:val="16"/>
          <w:color w:val="auto"/>
        </w:rPr>
        <w:t>We currently have Benefited Enterprise programs under the Investments Law, which, we believe, entitle us to a tax exemption for undistributed income and a reduced tax rate. The benefits period for our company began in 2010. Our company is expected to enjoy these tax benefits until 2019. Our subsidiary Kornit Technologies is subject to the 2011 Amendment (as described below) and thus the tax benefits will not be subject to time limitations.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Under the 2011 Amendment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reduced to 12.5% and 7%, respectively, in 2013 and increased to 16% and 9% in 2014 and thereafter.</w:t>
      </w:r>
    </w:p>
    <w:p>
      <w:pPr>
        <w:spacing w:after="0" w:line="178"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As of 2015, dividends paid out of income attributed to a Preferred Enterprise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15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3" w:name="page54"/>
    <w:bookmarkEnd w:id="53"/>
    <w:p>
      <w:pPr>
        <w:ind w:right="20" w:firstLine="648"/>
        <w:spacing w:after="0" w:line="277"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Liquidity and Capital Resources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As of December 31, 2015, we had approximately $18.5 million in cash and cash equivalents, $22.0 million in short term bank deposits and $33.7 million in marketable securities totaling $74.2 million. We fund our operations with cash generated from operating activities and cash raised during the IPO. In the past, we have also raised capital through the sale of equity securities to investors in private placements.</w:t>
      </w:r>
    </w:p>
    <w:p>
      <w:pPr>
        <w:spacing w:after="0" w:line="16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cash requirements have principally been for working capital and, to a lesser extent, capital expenditures. Our working capital requirements reflect the growth in our business. Historically, we have funded our working capital (primarily inventory) and capital expenditures from cash flows provided by our operating activities, investments in our equity securities and cash and cash equivalents on hand. Our capital expenditures relate primarily to our manufacturing facility for our ink and other consumables in Kiryat Gat, Israel, as well as investment in our research and development labs in Rosh Ha’ayin, Israel. In addition to investments in those facilities, our capital investments have included improvements and expansion of our distribution and corporate facilities to support our growth and investment and improvements in our information technology.</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most significant elements of our working capital requirements are for inventory, accounts receivable and trade payables. We partially fund the procurement of the components of our systems that are assembled by our third-party manufacturers. Due to the growth in our business, our inventory strategy has included increasing inventory levels to meet anticipated customer demand for our solutions. This includes maintaining an inventory of systems and inks and other consumables at levels that we expect to sell during the successive months. Our accounts receivable significantly increased due to the growth in our business and preferred payment terms we are providing our customers. Our trade payables also increased due to the growth in our business.</w:t>
      </w:r>
    </w:p>
    <w:p>
      <w:pPr>
        <w:spacing w:after="0" w:line="15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of December 31, 2015, we had three lines of credit with Israeli banks for total borrowings of up to $5.0 million, all of which was undrawn as of December 31, 2015. These lines of credit are unsecured and available subject to our maintenance of a 30% ratio of total shareholders' equity to total assets. Interest rates across our credit lines varied from 1.95% to 2.3% as of December 31, 2015. Any borrowings under our credit lines would become repayable if Fortissimo Capital ceases to be our controlling shareholder (which for this purpose generally requires Fortissimo Capital to continue to hold 25% of our outstanding ordinary shares).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significant amounts of the net proceeds from our initial public offering. Our future capital requirements will depend on many factors, including our rate of revenue growth, the expansion of our sales and marketing activities, the expansion of infrastructure, including at our headquarters in Rosh Ha’Ayin, Israel, the timing and extent of spending to support product development efforts, the timing of introductions of new solutions and the continuing market acceptance of our solutions as well as other business development efforts.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2014</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(2,103)</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738</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(58,571)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in the year ended December 31, 2015 was $2.2 million.</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Net cash used in operating activities consisted of net income of $4.6 million and an increase of approximately $4.6 million in inventory from the year ended December 31, 2014 to the year ended December 31, 2015. This was primarily due to our strategy of increasing inventory levels to meet anticipated customer demand for our solutions.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same period, we experienced an increase of $7.0 million in trade payables due to growth of our business and more favorable payment terms from our suppliers. In addition, trade receivables increased by $13.1 million due primarily to the growth of our business and better payment terms to our customers. Our days sales’ outstanding, or DSO, for the year ended December 31, 2015 was 95 compared to 54 for the year ended December 31, 2014 as a result of such better payment terms to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in 2014 was $0.3 million.</w:t>
      </w:r>
    </w:p>
    <w:p>
      <w:pPr>
        <w:spacing w:after="0" w:line="225"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Net cash used in operating activities consisted of a net income of $3.0 million and a decrease of approximately $1.6 million in trade payables from the year ended December 31, 2013 to the year ended December 31, 2014. This was primarily due to the mix of products sold in 2014, which led to a shift of production to a third-party manufacturer with shorter payment terms as well as obtaining components from suppliers with shorter payment terms.</w:t>
      </w:r>
    </w:p>
    <w:p>
      <w:pPr>
        <w:spacing w:after="0" w:line="14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During the same period, we experienced an increase of $4.4 million in trade receivables due to the growth in our business. Our DSO, for the year ended December 31, 2014 was 54 compared to 42 for the year ended December 31, 2013.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the year ended December 31, 2014 reflected the increased activity in the fourth quarter of that year compared to the previous year.</w:t>
      </w:r>
    </w:p>
    <w:p>
      <w:pPr>
        <w:spacing w:after="0" w:line="178"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Our operating cash flows to fund the above activities were driven by our net income of $3.0 million (adjusted upward to reflect $2.2 million of non-cash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Net cash used in investing activities was $58.9 million for the year ended December 31, 2015, which was primarily attributable to our investment in short term bank deposits and marketable securities. Net cash provided by investing activities was $0.7 million for the year ended December 31, 2014, which was primarily attributable to proceeds from short term bank deposits offset by our investment in property and equipment.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Net cash provided by financing activities was $74.6 million for the year ended December 31, 2015, which was primarily attributable to our IPO. Net cash used in financing activities was $0.7 million for the year ended December 31, 2014, which was attributable to the payment of deferred issuance costs.</w:t>
      </w:r>
    </w:p>
    <w:p>
      <w:pPr>
        <w:spacing w:after="0" w:line="12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For a description of our research and development programs and the amounts that we have incurred over the last three years pursuant to those programs, please see “ITEM 4.B Business Overview—Research and Development.”</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Trend Information</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results of operations and financial condition may be affected by various trends and factors discussed in “ITEM 3.D Risk Factors,” including “If the market for digital textile printing does not develop as we anticipate, our sales may not grow as quickly as expected and our share price could decline.” and “ITEM 4.B Business Overview—Industry Overview,” changes in political, military or economic conditions in Israel and in the Middle East, general slowing of local or global economies and decreased economic activity in one or more of our target markets.</w:t>
      </w:r>
    </w:p>
    <w:p>
      <w:pPr>
        <w:spacing w:after="0" w:line="16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Off-Balance Sheet Arrangements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purposes entities and other structured finance entities.</w:t>
      </w:r>
    </w:p>
    <w:p>
      <w:pPr>
        <w:spacing w:after="0" w:line="16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contractual obligations as of December 31, 2015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b w:val="1"/>
                <w:bCs w:val="1"/>
                <w:color w:val="auto"/>
                <w:w w:val="89"/>
              </w:rPr>
              <w:t>Payments Due by Period</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2021 and</w:t>
            </w:r>
          </w:p>
        </w:tc>
        <w:tc>
          <w:tcPr>
            <w:tcW w:w="100" w:type="dxa"/>
            <w:vAlign w:val="bottom"/>
          </w:tcPr>
          <w:p>
            <w:pPr>
              <w:spacing w:after="0"/>
              <w:rPr>
                <w:sz w:val="17"/>
                <w:szCs w:val="17"/>
                <w:color w:val="auto"/>
              </w:rPr>
            </w:pPr>
          </w:p>
        </w:tc>
      </w:tr>
      <w:tr>
        <w:trPr>
          <w:trHeight w:val="241"/>
        </w:trPr>
        <w:tc>
          <w:tcPr>
            <w:tcW w:w="29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after</w:t>
            </w:r>
          </w:p>
        </w:tc>
        <w:tc>
          <w:tcPr>
            <w:tcW w:w="100" w:type="dxa"/>
            <w:vAlign w:val="bottom"/>
            <w:tcBorders>
              <w:bottom w:val="single" w:sz="8" w:color="CCEEFF"/>
            </w:tcBorders>
          </w:tcPr>
          <w:p>
            <w:pPr>
              <w:spacing w:after="0"/>
              <w:rPr>
                <w:sz w:val="20"/>
                <w:szCs w:val="20"/>
                <w:color w:val="auto"/>
              </w:rPr>
            </w:pPr>
          </w:p>
        </w:tc>
      </w:tr>
      <w:tr>
        <w:trPr>
          <w:trHeight w:val="243"/>
        </w:trPr>
        <w:tc>
          <w:tcPr>
            <w:tcW w:w="292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8"/>
                <w:szCs w:val="28"/>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57"/>
        </w:trPr>
        <w:tc>
          <w:tcPr>
            <w:tcW w:w="2920" w:type="dxa"/>
            <w:vAlign w:val="bottom"/>
          </w:tcPr>
          <w:p>
            <w:pPr>
              <w:spacing w:after="0" w:line="256" w:lineRule="exact"/>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9"/>
                <w:szCs w:val="29"/>
                <w:color w:val="auto"/>
                <w:vertAlign w:val="superscript"/>
              </w:rPr>
              <w:t>(2)</w:t>
            </w: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1,074</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9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9"/>
                <w:szCs w:val="29"/>
                <w:color w:val="auto"/>
                <w:vertAlign w:val="superscript"/>
              </w:rPr>
              <w:t>(3)</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12,441</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12,441</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77"/>
        </w:trPr>
        <w:tc>
          <w:tcPr>
            <w:tcW w:w="292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 xml:space="preserve">Severance payment </w:t>
            </w:r>
            <w:r>
              <w:rPr>
                <w:rFonts w:ascii="Arial" w:cs="Arial" w:eastAsia="Arial" w:hAnsi="Arial"/>
                <w:sz w:val="30"/>
                <w:szCs w:val="30"/>
                <w:color w:val="auto"/>
                <w:vertAlign w:val="superscript"/>
              </w:rPr>
              <w:t>(4)</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5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23,672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14,166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r>
      <w:tr>
        <w:trPr>
          <w:trHeight w:val="21"/>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lease obligations consist of our contractual rental expenses under operating leases of facilities and vehicles.</w:t>
      </w:r>
    </w:p>
    <w:p>
      <w:pPr>
        <w:spacing w:after="0" w:line="23" w:lineRule="exact"/>
        <w:rPr>
          <w:rFonts w:ascii="Arial" w:cs="Arial" w:eastAsia="Arial" w:hAnsi="Arial"/>
          <w:sz w:val="18"/>
          <w:szCs w:val="18"/>
          <w:color w:val="auto"/>
        </w:rPr>
      </w:pPr>
    </w:p>
    <w:p>
      <w:pPr>
        <w:ind w:left="360" w:right="220" w:hanging="352"/>
        <w:spacing w:after="0" w:line="265" w:lineRule="auto"/>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Consists of accruals for certain income tax positions under ASC 740 that are paid upon settlement, and for which we are unable to reasonably estimate the ultimate amount and timing of settlement. See Note 12(h) to our consolidated financial statements included in ITEM 18 of this annual report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ind w:left="360" w:hanging="352"/>
        <w:spacing w:after="0" w:line="236"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commitments to purchase inventory through the end of 2016.</w:t>
      </w:r>
    </w:p>
    <w:p>
      <w:pPr>
        <w:ind w:left="360" w:right="80" w:hanging="352"/>
        <w:spacing w:after="0" w:line="266" w:lineRule="auto"/>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Severance payments of $1.84 million are payable only upon termination, retirement or death of our employees. Of this amount, $0.7 million is unfunded as of December 31, 2015. Since we are unable to reasonably estimate the timing of settlement, the timing of such payments is not specified in the table. See also Note 2(v) to our consolidated financial statements appearing included in “ITEM 18 Financial Statements” of this annual report.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Directors, Senior Management and Employees</w:t>
      </w:r>
      <w:r>
        <w:rPr>
          <w:rFonts w:ascii="Arial" w:cs="Arial" w:eastAsia="Arial" w:hAnsi="Arial"/>
          <w:sz w:val="16"/>
          <w:szCs w:val="16"/>
          <w:b w:val="1"/>
          <w:bCs w:val="1"/>
          <w:color w:val="auto"/>
        </w:rPr>
        <w:t>.</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sets forth the name, age and position of each of our executive officers and directors as of the date of this annual report: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7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Executive Officers</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Ofer Ben-Zur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President, Chief Technology Officer and Director</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Avidan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Sarel Ashkenazy</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Executive Vice President of Sales</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Sandelson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Guy Zimmerman</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2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Vice President of Marketing &amp; Business Development</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Oded Kraft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of Products</w:t>
            </w:r>
          </w:p>
        </w:tc>
      </w:tr>
      <w:tr>
        <w:trPr>
          <w:trHeight w:val="432"/>
        </w:trPr>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Directors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Yuval Cohen</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Eli Blatt</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3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Lauri Hanover </w:t>
            </w:r>
            <w:r>
              <w:rPr>
                <w:rFonts w:ascii="Arial" w:cs="Arial" w:eastAsia="Arial" w:hAnsi="Arial"/>
                <w:sz w:val="29"/>
                <w:szCs w:val="29"/>
                <w:color w:val="auto"/>
                <w:vertAlign w:val="superscript"/>
              </w:rPr>
              <w:t>(1)(2)(3)(4)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200" w:type="dxa"/>
            <w:vAlign w:val="bottom"/>
            <w:shd w:val="clear" w:color="auto" w:fill="CCEEFF"/>
          </w:tcPr>
          <w:p>
            <w:pPr>
              <w:spacing w:after="0"/>
              <w:rPr>
                <w:sz w:val="22"/>
                <w:szCs w:val="22"/>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Marc Lesnick</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Alon Lumbroso</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00" w:type="dxa"/>
            <w:vAlign w:val="bottom"/>
            <w:shd w:val="clear" w:color="auto" w:fill="CCEEFF"/>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340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Jerry Mandel</w:t>
            </w:r>
            <w:r>
              <w:rPr>
                <w:rFonts w:ascii="Arial" w:cs="Arial" w:eastAsia="Arial" w:hAnsi="Arial"/>
                <w:sz w:val="13"/>
                <w:szCs w:val="13"/>
                <w:color w:val="auto"/>
              </w:rPr>
              <w:t xml:space="preserve"> (1)(2)(3)(4)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22"/>
                <w:szCs w:val="22"/>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20" w:type="dxa"/>
            <w:vAlign w:val="bottom"/>
          </w:tcPr>
          <w:p>
            <w:pPr>
              <w:spacing w:after="0"/>
              <w:rPr>
                <w:sz w:val="22"/>
                <w:szCs w:val="22"/>
                <w:color w:val="auto"/>
              </w:rPr>
            </w:pPr>
          </w:p>
        </w:tc>
        <w:tc>
          <w:tcPr>
            <w:tcW w:w="340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Dov Ofer</w:t>
            </w:r>
            <w:r>
              <w:rPr>
                <w:rFonts w:ascii="Arial" w:cs="Arial" w:eastAsia="Arial" w:hAnsi="Arial"/>
                <w:sz w:val="13"/>
                <w:szCs w:val="13"/>
                <w:color w:val="auto"/>
              </w:rPr>
              <w:t xml:space="preserve"> (1) (2)(3)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200" w:type="dxa"/>
            <w:vAlign w:val="bottom"/>
            <w:shd w:val="clear" w:color="auto" w:fill="CCEEFF"/>
          </w:tcPr>
          <w:p>
            <w:pPr>
              <w:spacing w:after="0"/>
              <w:rPr>
                <w:sz w:val="22"/>
                <w:szCs w:val="22"/>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 director under the NASDAQ Stock Market rules.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External director under the Companies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member of our board of directors since March 2015 and has served as our Chief Executive Officer since April 2014.</w:t>
      </w:r>
      <w:r>
        <w:rPr>
          <w:rFonts w:ascii="Arial" w:cs="Arial" w:eastAsia="Arial" w:hAnsi="Arial"/>
          <w:sz w:val="16"/>
          <w:szCs w:val="16"/>
          <w:i w:val="1"/>
          <w:iCs w:val="1"/>
          <w:color w:val="auto"/>
        </w:rPr>
        <w:t xml:space="preserve"> </w:t>
      </w:r>
      <w:r>
        <w:rPr>
          <w:rFonts w:ascii="Arial" w:cs="Arial" w:eastAsia="Arial" w:hAnsi="Arial"/>
          <w:sz w:val="16"/>
          <w:szCs w:val="16"/>
          <w:color w:val="auto"/>
        </w:rPr>
        <w:t>From August 2006 until August 2013, Mr. Seligsohn served as the President and Chief Executive Officer of Nova Measuring Instruments Ltd.,or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Ofer Ben-Zur </w:t>
      </w:r>
      <w:r>
        <w:rPr>
          <w:rFonts w:ascii="Arial" w:cs="Arial" w:eastAsia="Arial" w:hAnsi="Arial"/>
          <w:sz w:val="18"/>
          <w:szCs w:val="18"/>
          <w:color w:val="auto"/>
        </w:rPr>
        <w:t>is a co-founder of our company and has served as our President and Chief Technology Officer since April 2014 and a director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2002.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Guy Avidan </w:t>
      </w:r>
      <w:r>
        <w:rPr>
          <w:rFonts w:ascii="Arial" w:cs="Arial" w:eastAsia="Arial" w:hAnsi="Arial"/>
          <w:sz w:val="18"/>
          <w:szCs w:val="18"/>
          <w:color w:val="auto"/>
        </w:rPr>
        <w:t>has served as our Chief Financial Officer since November 2014. From July 2010 until November 2014, Mr. Avidan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Finance and Chief Financial Officer of AudioCodes Ltd., or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 Mr. Avidan served as Vice President of Finance and Chief Financial Officer of Ace North Hills, which was acquired by MRV Communications. Mr. Avidan is a CPA in Israel and holds a B.A. in Economics and Accounting from Haifa University in Israel.</w:t>
      </w:r>
    </w:p>
    <w:p>
      <w:pPr>
        <w:spacing w:after="0" w:line="18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Sarel Ashkenazy </w:t>
      </w:r>
      <w:r>
        <w:rPr>
          <w:rFonts w:ascii="Arial" w:cs="Arial" w:eastAsia="Arial" w:hAnsi="Arial"/>
          <w:sz w:val="17"/>
          <w:szCs w:val="17"/>
          <w:color w:val="auto"/>
        </w:rPr>
        <w:t>has served as our Executive Vice President of Sales since April 2014. From August 2004 to April 2014, Mr. Ashkenazy was our</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of Business Development and Marketing and responsible for sales and marketing, as well as establishing and expanding our distributor network and business development. From 1999 until 2003, prior to joining our company, Mr. Ashkenazy served as Marketing Director for Image ID, a provider of Automatic Identification and Data Capture (AIDC) solutions based on imaging technology and sophisticated algorithms. Mr. Ashkenazy holds a B.B. degree in Business Management and Economics from the College of Management in Israel.</w:t>
      </w:r>
    </w:p>
    <w:p>
      <w:pPr>
        <w:spacing w:after="0" w:line="173"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i w:val="1"/>
          <w:iCs w:val="1"/>
          <w:color w:val="auto"/>
        </w:rPr>
        <w:t xml:space="preserve">Ofer Sandelson </w:t>
      </w:r>
      <w:r>
        <w:rPr>
          <w:rFonts w:ascii="Arial" w:cs="Arial" w:eastAsia="Arial" w:hAnsi="Arial"/>
          <w:sz w:val="16"/>
          <w:szCs w:val="16"/>
          <w:color w:val="auto"/>
        </w:rPr>
        <w:t>has served as our Chief Operating Officer since July 2013. Prior to joining our company, Mr. Sandelson served as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i w:val="1"/>
          <w:iCs w:val="1"/>
          <w:color w:val="auto"/>
        </w:rPr>
        <w:t xml:space="preserve">Guy Zimmerman </w:t>
      </w:r>
      <w:r>
        <w:rPr>
          <w:rFonts w:ascii="Arial" w:cs="Arial" w:eastAsia="Arial" w:hAnsi="Arial"/>
          <w:sz w:val="16"/>
          <w:szCs w:val="16"/>
          <w:color w:val="auto"/>
        </w:rPr>
        <w:t>has served as our Vice President of Marketing and Business Development since April 2013. From 2010 to April 2013, Mr.</w:t>
      </w:r>
      <w:r>
        <w:rPr>
          <w:rFonts w:ascii="Arial" w:cs="Arial" w:eastAsia="Arial" w:hAnsi="Arial"/>
          <w:sz w:val="16"/>
          <w:szCs w:val="16"/>
          <w:i w:val="1"/>
          <w:iCs w:val="1"/>
          <w:color w:val="auto"/>
        </w:rPr>
        <w:t xml:space="preserve"> </w:t>
      </w:r>
      <w:r>
        <w:rPr>
          <w:rFonts w:ascii="Arial" w:cs="Arial" w:eastAsia="Arial" w:hAnsi="Arial"/>
          <w:sz w:val="16"/>
          <w:szCs w:val="16"/>
          <w:color w:val="auto"/>
        </w:rPr>
        <w:t>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8" w:name="page59"/>
    <w:bookmarkEnd w:id="58"/>
    <w:p>
      <w:pPr>
        <w:ind w:firstLine="648"/>
        <w:spacing w:after="0" w:line="293" w:lineRule="auto"/>
        <w:rPr>
          <w:sz w:val="20"/>
          <w:szCs w:val="20"/>
          <w:color w:val="auto"/>
        </w:rPr>
      </w:pPr>
      <w:r>
        <w:rPr>
          <w:rFonts w:ascii="Arial" w:cs="Arial" w:eastAsia="Arial" w:hAnsi="Arial"/>
          <w:sz w:val="16"/>
          <w:szCs w:val="16"/>
          <w:i w:val="1"/>
          <w:iCs w:val="1"/>
          <w:color w:val="auto"/>
        </w:rPr>
        <w:t xml:space="preserve">Oded Kraft </w:t>
      </w:r>
      <w:r>
        <w:rPr>
          <w:rFonts w:ascii="Arial" w:cs="Arial" w:eastAsia="Arial" w:hAnsi="Arial"/>
          <w:sz w:val="16"/>
          <w:szCs w:val="16"/>
          <w:color w:val="auto"/>
        </w:rPr>
        <w:t>has served as our Vice President of Products since September 2014. From January 2013 to April 2014, Mr. Kraft managed a portfolio of</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businesses within the Diabetes Care Division of Roche in Germany. From 2008 to December 2012, he was the Vice President of Products at Medingo, a medical devices company, which was acquired by Roche GmbH in 2010. From 2001 to 2008, Mr. Kraft worked at GE Healthcare Nuclear Medicine division, serving as a Global Segment Leader from 2005 to 2008 and System Architect from 2002 to 2005. Mr. Kraft served in the Israel Defense Forces in an intelligence technology unit for seven years, finishing with the rank of captain and serving part of the time in the United States with a U.S. defense contractor. Mr. Kraft holds a B.Sc. in Electrical Engineering and M.B.A. from Technion-Israel Institute of Technology in Israel.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Yuval Cohen </w:t>
      </w:r>
      <w:r>
        <w:rPr>
          <w:rFonts w:ascii="Arial" w:cs="Arial" w:eastAsia="Arial" w:hAnsi="Arial"/>
          <w:sz w:val="18"/>
          <w:szCs w:val="18"/>
          <w:color w:val="auto"/>
        </w:rPr>
        <w:t>has served as the Chairman of our board of directors since August 2011. Mr. Cohen is the founding and managing partner of Fortissimo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 private equity fund established in 2004 and our controlling shareholder. From 1997 through 2002, Mr. Cohen was a General Partner at Jerusalem Venture Partners, or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a director of Wix.com Ltd. (NASDAQ: WIX) and previously served as the chairman of the board of directors of SodaStream International Ltd. (NASDAQ: SODA).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9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Eli Blatt </w:t>
      </w:r>
      <w:r>
        <w:rPr>
          <w:rFonts w:ascii="Arial" w:cs="Arial" w:eastAsia="Arial" w:hAnsi="Arial"/>
          <w:sz w:val="18"/>
          <w:szCs w:val="18"/>
          <w:color w:val="auto"/>
        </w:rPr>
        <w:t>has served as a member of our board of directors since August 2011. Mr. Blatt joined Fortissimo Capital in 2004. From March 1999 to May</w:t>
      </w:r>
      <w:r>
        <w:rPr>
          <w:rFonts w:ascii="Arial" w:cs="Arial" w:eastAsia="Arial" w:hAnsi="Arial"/>
          <w:sz w:val="18"/>
          <w:szCs w:val="18"/>
          <w:i w:val="1"/>
          <w:iCs w:val="1"/>
          <w:color w:val="auto"/>
        </w:rPr>
        <w:t xml:space="preserve"> </w:t>
      </w:r>
      <w:r>
        <w:rPr>
          <w:rFonts w:ascii="Arial" w:cs="Arial" w:eastAsia="Arial" w:hAnsi="Arial"/>
          <w:sz w:val="18"/>
          <w:szCs w:val="18"/>
          <w:color w:val="auto"/>
        </w:rPr>
        <w:t>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93"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i w:val="1"/>
          <w:iCs w:val="1"/>
          <w:color w:val="auto"/>
        </w:rPr>
        <w:t xml:space="preserve">Lauri Hanover </w:t>
      </w:r>
      <w:r>
        <w:rPr>
          <w:rFonts w:ascii="Arial" w:cs="Arial" w:eastAsia="Arial" w:hAnsi="Arial"/>
          <w:sz w:val="17"/>
          <w:szCs w:val="17"/>
          <w:color w:val="auto"/>
        </w:rPr>
        <w:t>has served as a member of our board of directors since March 2015 and a an external director under the Companies Law,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chairperson of the audit committee and a member of our compensation committee. Ms. Hanover has served as the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at University of Pennsylvania in Pennsylvania, as well as an M.B.A. from New York University in New York.</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9" w:name="page60"/>
    <w:bookmarkEnd w:id="59"/>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Marc Lesnick </w:t>
      </w:r>
      <w:r>
        <w:rPr>
          <w:rFonts w:ascii="Arial" w:cs="Arial" w:eastAsia="Arial" w:hAnsi="Arial"/>
          <w:sz w:val="16"/>
          <w:szCs w:val="16"/>
          <w:color w:val="auto"/>
        </w:rPr>
        <w:t>has served as a member of our board of directors since August 2011. Mr. Lesnick joined Fortissimo Capital in 2004. From 2001</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6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Alon Lumbroso </w:t>
      </w:r>
      <w:r>
        <w:rPr>
          <w:rFonts w:ascii="Arial" w:cs="Arial" w:eastAsia="Arial" w:hAnsi="Arial"/>
          <w:sz w:val="16"/>
          <w:szCs w:val="16"/>
          <w:color w:val="auto"/>
        </w:rPr>
        <w:t>has served as a member of our board of directors since March 2015. Since July 2015, Mr. Lumbroso has served as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Dip-Tech Digital Printing Technologies Ltd., which is a portfolio company of Forstissimo Capital. Mr. Lumbroso is the founder and partner 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16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Jerry Mandel </w:t>
      </w:r>
      <w:r>
        <w:rPr>
          <w:rFonts w:ascii="Arial" w:cs="Arial" w:eastAsia="Arial" w:hAnsi="Arial"/>
          <w:sz w:val="17"/>
          <w:szCs w:val="17"/>
          <w:color w:val="auto"/>
        </w:rPr>
        <w:t>has served as a member of our board of directors since March 2015 and is an external director under the Companies Law, chairman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compensation committee and a member of our audit committee. Mr. Mandel is the founder, Chief Executive Officer, and managing member of GC Florida Group, a group of partnerships established in 2009 that invests in and manages residential and commercial properties. From 2007 to 2009, he served as Chief Executive Officer and a director of GMF Ltd., an investment firm that provides mezzanine financing to middle-market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 Merrill Lynch &amp; Co. and responsible for the origination and execution of investment banking activities in Israel. Currently, Mr. Mandel serves as a director and audit committee member of Direct Insurance – Financial Investments Ltd. (TASE: DIFI). Mr. Mandel holds a B.Sc. in Industrial Engineering from Tel Aviv University in Israel and an M.B.A. from Columbia Business School in New York.</w:t>
      </w:r>
    </w:p>
    <w:p>
      <w:pPr>
        <w:spacing w:after="0" w:line="18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Dov Ofer </w:t>
      </w:r>
      <w:r>
        <w:rPr>
          <w:rFonts w:ascii="Arial" w:cs="Arial" w:eastAsia="Arial" w:hAnsi="Arial"/>
          <w:sz w:val="18"/>
          <w:szCs w:val="18"/>
          <w:color w:val="auto"/>
        </w:rPr>
        <w:t>has served as a member of our board of directors since March 2015 and is a member of our audit and compensation committees.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Hanita Coatings RCA Ltd., chairman of Plastopil Hazorea Company Ltd. (TASE: PPIL), vice chairman of Scodix Ltd. and director of Orbix Medical Ltd. He holds a B.A. in Economics from the Hebrew University in Israel as well as an M.B.A. from the University of California Berkeley in California.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Arrangements Concerning Election of Directors; Family Relationships</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board of directors consists of nine directors. We are not a party to, and are not aware of, any voting agreements among our shareholders. In addition, there are no family relationships among our executive officers or senior management members.</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aggregate compensation paid and equity-based compensation and other compensation expensed by us and our subsidiaries to our directors and executive officers with respect to the year ended December 31, 2015 was $4.2 million. This amount includes approximately $0.3 million set aside or accrued to provide pension, severance, retirement or similar benefits or expenses. As of December 31, 2015, options to purchase 1,492,563 ordinary shares granted to our directors and executive officers were outstanding under our share option plans at a weighted average exercise price of $4.81 per share. Certain of our officers and directors receive a severance payment of up to six months of their base salary upon termination of their employment.</w:t>
      </w:r>
    </w:p>
    <w:p>
      <w:pPr>
        <w:spacing w:after="0" w:line="15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the grant dates, number of options, related exercise prices and expiration dates of options granted to our directors and executive officers for the year ended December 31,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r>
      <w:tr>
        <w:trPr>
          <w:trHeight w:val="24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of Options</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Date of Options</w:t>
            </w:r>
          </w:p>
        </w:tc>
      </w:tr>
      <w:tr>
        <w:trPr>
          <w:trHeight w:val="216"/>
        </w:trPr>
        <w:tc>
          <w:tcPr>
            <w:tcW w:w="7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6, 2015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153,972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March 6, 2025</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August 6, 2015</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135,000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14.32</w:t>
            </w: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August 6, 2025</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28, 2015</w:t>
            </w: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120,000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28, 2025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are entitled to cash compensation and equity compensation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of our non-employee directors receive annual fees and per-meeting fees for their service on our board and its committees as follows:</w:t>
      </w:r>
    </w:p>
    <w:p>
      <w:pPr>
        <w:spacing w:after="0" w:line="237"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fees in the amount of $24,000 and $30,000 for the chairman;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per-meeting fees in the amount of $1,000 or $500 for participation in meetings via 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2015, our non-employee directors received options to purchase 153,972 ordinary shares at an exercise price of $9.97. These options vest over a three year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table below outlines the compensation granted to our five most highly compensated office holders during or with respect to the year ended December 31, 2015, in the disclosure format of Regulation 21 of the Israeli Securities Regulations (Periodic and Immediate Reports), 1970. We refer to the five individuals for whom disclosure is provided herein as our “Covered Executives.”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For purposes of the table and the summary below, and in accordance with the above mentioned securities regulations, “compensation” includes base salary, bonuses, equity-based compensation, retirement or termination payments, benefits and perquisites such as car, phone and social benefits and any undertaking to provide such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the Covered Executive</w:t>
      </w:r>
      <w:r>
        <w:rPr>
          <w:rFonts w:ascii="Arial" w:cs="Arial" w:eastAsia="Arial" w:hAnsi="Arial"/>
          <w:sz w:val="30"/>
          <w:szCs w:val="30"/>
          <w:b w:val="1"/>
          <w:bCs w:val="1"/>
          <w:color w:val="auto"/>
          <w:vertAlign w:val="superscript"/>
        </w:rPr>
        <w:t>(1)</w:t>
      </w:r>
    </w:p>
    <w:tbl>
      <w:tblPr>
        <w:tblLayout w:type="fixed"/>
        <w:tblInd w:w="0" w:type="dxa"/>
        <w:tblCellMar>
          <w:top w:w="0" w:type="dxa"/>
          <w:left w:w="0" w:type="dxa"/>
          <w:bottom w:w="0" w:type="dxa"/>
          <w:right w:w="0" w:type="dxa"/>
        </w:tblCellMar>
      </w:tblPr>
      <w:tr>
        <w:trPr>
          <w:trHeight w:val="205"/>
        </w:trPr>
        <w:tc>
          <w:tcPr>
            <w:tcW w:w="4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7"/>
              </w:rPr>
              <w:t>Benefits</w:t>
            </w:r>
          </w:p>
        </w:tc>
        <w:tc>
          <w:tcPr>
            <w:tcW w:w="13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left="210"/>
              <w:spacing w:after="0"/>
              <w:rPr>
                <w:sz w:val="20"/>
                <w:szCs w:val="20"/>
                <w:color w:val="auto"/>
              </w:rPr>
            </w:pPr>
            <w:r>
              <w:rPr>
                <w:rFonts w:ascii="Arial" w:cs="Arial" w:eastAsia="Arial" w:hAnsi="Arial"/>
                <w:sz w:val="18"/>
                <w:szCs w:val="18"/>
                <w:b w:val="1"/>
                <w:bCs w:val="1"/>
                <w:color w:val="auto"/>
                <w:w w:val="83"/>
              </w:rPr>
              <w:t>Base</w:t>
            </w:r>
          </w:p>
        </w:tc>
        <w:tc>
          <w:tcPr>
            <w:tcW w:w="5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Variable</w:t>
            </w:r>
          </w:p>
        </w:tc>
        <w:tc>
          <w:tcPr>
            <w:tcW w:w="1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Equity-Based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Principal Position</w:t>
            </w:r>
            <w:r>
              <w:rPr>
                <w:rFonts w:ascii="Arial" w:cs="Arial" w:eastAsia="Arial" w:hAnsi="Arial"/>
                <w:sz w:val="30"/>
                <w:szCs w:val="30"/>
                <w:b w:val="1"/>
                <w:bCs w:val="1"/>
                <w:color w:val="auto"/>
                <w:vertAlign w:val="superscript"/>
              </w:rPr>
              <w:t>(2)</w:t>
            </w:r>
          </w:p>
        </w:tc>
        <w:tc>
          <w:tcPr>
            <w:tcW w:w="86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Salary</w:t>
            </w:r>
          </w:p>
        </w:tc>
        <w:tc>
          <w:tcPr>
            <w:tcW w:w="5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Perquisites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Compensation</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4700" w:type="dxa"/>
            <w:vAlign w:val="bottom"/>
            <w:gridSpan w:val="2"/>
            <w:vMerge w:val="continue"/>
          </w:tcPr>
          <w:p>
            <w:pPr>
              <w:spacing w:after="0"/>
              <w:rPr>
                <w:sz w:val="24"/>
                <w:szCs w:val="24"/>
                <w:color w:val="auto"/>
              </w:rPr>
            </w:pPr>
          </w:p>
        </w:tc>
        <w:tc>
          <w:tcPr>
            <w:tcW w:w="860" w:type="dxa"/>
            <w:vAlign w:val="bottom"/>
          </w:tcPr>
          <w:p>
            <w:pPr>
              <w:jc w:val="center"/>
              <w:ind w:left="2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spacing w:after="0"/>
              <w:rPr>
                <w:sz w:val="24"/>
                <w:szCs w:val="24"/>
                <w:color w:val="auto"/>
              </w:rPr>
            </w:pPr>
          </w:p>
        </w:tc>
        <w:tc>
          <w:tcPr>
            <w:tcW w:w="130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w:t>
            </w:r>
            <w:r>
              <w:rPr>
                <w:rFonts w:ascii="Arial" w:cs="Arial" w:eastAsia="Arial" w:hAnsi="Arial"/>
                <w:sz w:val="30"/>
                <w:szCs w:val="30"/>
                <w:b w:val="1"/>
                <w:bCs w:val="1"/>
                <w:color w:val="auto"/>
                <w:w w:val="81"/>
                <w:vertAlign w:val="superscript"/>
              </w:rPr>
              <w:t>(3)</w:t>
            </w:r>
          </w:p>
        </w:tc>
        <w:tc>
          <w:tcPr>
            <w:tcW w:w="136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1"/>
              </w:rPr>
              <w:t>($)</w:t>
            </w:r>
            <w:r>
              <w:rPr>
                <w:rFonts w:ascii="Arial" w:cs="Arial" w:eastAsia="Arial" w:hAnsi="Arial"/>
                <w:sz w:val="30"/>
                <w:szCs w:val="30"/>
                <w:b w:val="1"/>
                <w:bCs w:val="1"/>
                <w:color w:val="auto"/>
                <w:w w:val="81"/>
                <w:vertAlign w:val="superscript"/>
              </w:rPr>
              <w:t>(4)</w:t>
            </w:r>
          </w:p>
        </w:tc>
        <w:tc>
          <w:tcPr>
            <w:tcW w:w="1540" w:type="dxa"/>
            <w:vAlign w:val="bottom"/>
          </w:tcPr>
          <w:p>
            <w:pPr>
              <w:jc w:val="center"/>
              <w:ind w:right="110"/>
              <w:spacing w:after="0" w:line="269" w:lineRule="exact"/>
              <w:rPr>
                <w:sz w:val="20"/>
                <w:szCs w:val="20"/>
                <w:color w:val="auto"/>
              </w:rPr>
            </w:pPr>
            <w:r>
              <w:rPr>
                <w:rFonts w:ascii="Arial" w:cs="Arial" w:eastAsia="Arial" w:hAnsi="Arial"/>
                <w:sz w:val="18"/>
                <w:szCs w:val="18"/>
                <w:b w:val="1"/>
                <w:bCs w:val="1"/>
                <w:color w:val="auto"/>
                <w:w w:val="81"/>
              </w:rPr>
              <w:t>($)</w:t>
            </w:r>
            <w:r>
              <w:rPr>
                <w:rFonts w:ascii="Arial" w:cs="Arial" w:eastAsia="Arial" w:hAnsi="Arial"/>
                <w:sz w:val="30"/>
                <w:szCs w:val="30"/>
                <w:b w:val="1"/>
                <w:bCs w:val="1"/>
                <w:color w:val="auto"/>
                <w:w w:val="81"/>
                <w:vertAlign w:val="superscript"/>
              </w:rPr>
              <w:t>(5)</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(in thousands)</w:t>
            </w:r>
          </w:p>
        </w:tc>
        <w:tc>
          <w:tcPr>
            <w:tcW w:w="15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 Chief Executive Officer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327</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Guy Avidan, Chief Financial Officer</w:t>
            </w:r>
          </w:p>
        </w:tc>
        <w:tc>
          <w:tcPr>
            <w:tcW w:w="86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93"/>
              </w:rPr>
              <w:t>267</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196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Ben Zur, President and Chief Technology Officer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274</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Guy Zimmerman, VP Marketing</w:t>
            </w:r>
          </w:p>
        </w:tc>
        <w:tc>
          <w:tcPr>
            <w:tcW w:w="86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93"/>
              </w:rPr>
              <w:t>224</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108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Sandelson, Chief Operating Officer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166</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5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9"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amounts reported in the table are in terms of cost to us, as recorded in our financial statements.</w:t>
      </w:r>
    </w:p>
    <w:p>
      <w:pPr>
        <w:spacing w:after="0" w:line="306" w:lineRule="exact"/>
        <w:rPr>
          <w:rFonts w:ascii="Arial" w:cs="Arial" w:eastAsia="Arial" w:hAnsi="Arial"/>
          <w:sz w:val="18"/>
          <w:szCs w:val="18"/>
          <w:color w:val="auto"/>
        </w:rPr>
      </w:pPr>
    </w:p>
    <w:p>
      <w:pPr>
        <w:ind w:left="360" w:right="140" w:hanging="352"/>
        <w:spacing w:after="0" w:line="246"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current executive officers listed in the table are our full-time employees. Cash compensation amounts denominated in currencies other than the U.S. dollar were converted into U.S. dollars at the average conversion rate for 2015.</w:t>
      </w:r>
    </w:p>
    <w:p>
      <w:pPr>
        <w:spacing w:after="0" w:line="142" w:lineRule="exact"/>
        <w:rPr>
          <w:rFonts w:ascii="Arial" w:cs="Arial" w:eastAsia="Arial" w:hAnsi="Arial"/>
          <w:sz w:val="18"/>
          <w:szCs w:val="18"/>
          <w:color w:val="auto"/>
        </w:rPr>
      </w:pPr>
    </w:p>
    <w:p>
      <w:pPr>
        <w:ind w:left="360" w:right="80" w:hanging="352"/>
        <w:spacing w:after="0" w:line="231"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insurances and benefits, risk insurances (e.g., life, disability, accident), convalescence pay, payments for social security, tax gross-up payments and other benefits and perquisites consistent with our guidelines.</w:t>
      </w:r>
    </w:p>
    <w:p>
      <w:pPr>
        <w:spacing w:after="0" w:line="148"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reported in this column refer to incentive and bonus payments which were paid with respect to 2015.</w:t>
      </w:r>
    </w:p>
    <w:p>
      <w:pPr>
        <w:spacing w:after="0" w:line="171" w:lineRule="exact"/>
        <w:rPr>
          <w:rFonts w:ascii="Arial" w:cs="Arial" w:eastAsia="Arial" w:hAnsi="Arial"/>
          <w:sz w:val="18"/>
          <w:szCs w:val="18"/>
          <w:color w:val="auto"/>
        </w:rPr>
      </w:pPr>
    </w:p>
    <w:p>
      <w:pPr>
        <w:ind w:left="360" w:right="480" w:hanging="352"/>
        <w:spacing w:after="0" w:line="235"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reported in this column represent the expense recorded in our financial statements for the year ended December 31, 2015 with respect to equity-based compensation. Assumptions and key variables used in the calculation of such amounts are described in paragraph (q) of Note 2 to our audited financial statements, which are included in “ITEM 18 Financial Reports” of this annual report.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May 2004 our board of directors adopted and our shareholders approved our 2004 Share Option Plan, or the 2004 Plan. The 2004 Plan was amended on June 15, 2005. We are no longer granting options under the 2004 Plan because it was superseded by the 2012 Plan, although previously granted awards remain outstanding. As of December 31, 2015, we had options to purchase 595,585 ordinary shares outstanding under the 2004 Plan.</w:t>
      </w:r>
    </w:p>
    <w:p>
      <w:pPr>
        <w:spacing w:after="0" w:line="14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2004 Plan provides for the grant of options to our and our subsidiaries’ and affiliates’ directors, employees and officers, who are expected to continue to our future growth and success.</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2004 Plan is administered by our board of directors or by a compensation committee appointed by the board of directors, which determines, subject to Israeli law, the grantees of awards and the terms of the grant, including, exercise 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Vesting schedule of options granted under the 2004 Plan is set forth in each grantee’s grant letter.</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Options granted prior to June 15, 2005 may be exercised up to 10 years from the grant date and options granted thereafter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(i.e. seven or 10 years as set forth above).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90 days after the date of termination, or (ii) the term of the options.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6"/>
          <w:szCs w:val="16"/>
          <w:color w:val="auto"/>
        </w:rPr>
        <w:t>Options may not be sold, assigned, pledged or otherwise disposed of by the participant who holds such options, except by will or the laws of descent.</w:t>
      </w:r>
    </w:p>
    <w:p>
      <w:pPr>
        <w:spacing w:after="0" w:line="24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October 2012, our board of directors adopted and our shareholders approved our 2012 Share Incentive Plan, or the 2012 Plan</w:t>
      </w:r>
      <w:r>
        <w:rPr>
          <w:rFonts w:ascii="Arial" w:cs="Arial" w:eastAsia="Arial" w:hAnsi="Arial"/>
          <w:sz w:val="17"/>
          <w:szCs w:val="17"/>
          <w:i w:val="1"/>
          <w:iCs w:val="1"/>
          <w:color w:val="auto"/>
        </w:rPr>
        <w:t>.</w:t>
      </w:r>
      <w:r>
        <w:rPr>
          <w:rFonts w:ascii="Arial" w:cs="Arial" w:eastAsia="Arial" w:hAnsi="Arial"/>
          <w:sz w:val="17"/>
          <w:szCs w:val="17"/>
          <w:color w:val="auto"/>
        </w:rPr>
        <w:t xml:space="preserve"> The 2012 Plan replaced our 2004 Plan. We are no longer granting options under the 2012 Plan because it was superseded by the 2015 Plan, although previously granted awards remain outstanding.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2015, we had options to purchase 1,642,744 ordinary shares outstanding under the 2012 Plan. Our board of directors may increase the number of shares available for future grant at any time.</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88"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102(b)(2) of the Ordinance. Our Israeli non-employee service providers and controlling shareholders may only be granted options under Section 3(i) of the Ordinance, which does not provide for similar tax benefits.</w:t>
      </w:r>
    </w:p>
    <w:p>
      <w:pPr>
        <w:spacing w:after="0" w:line="18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4" w:name="page65"/>
    <w:bookmarkEnd w:id="64"/>
    <w:p>
      <w:pPr>
        <w:ind w:right="40" w:firstLine="648"/>
        <w:spacing w:after="0" w:line="291"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w:t>
      </w:r>
    </w:p>
    <w:p>
      <w:pPr>
        <w:ind w:firstLine="8"/>
        <w:spacing w:after="0" w:line="271" w:lineRule="auto"/>
        <w:tabs>
          <w:tab w:leader="none" w:pos="2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Restricted share awards are ordinary shares that are awarded to a participant subject to the satisfaction of the terms and conditions established by the board of directors or a committee designated by the board of directors. Until such time as the applicable restrictions lapse, restricted shares are subject to forfeiture and may not be sold, assigned, pledged or otherwise disposed of by the participant who holds those shares, except by will or the laws of descent. Generally, if a grantee’s employment or service is terminated for any reason prior to the expiration of the time when the restrictions lapse, shares that are still restricted will be forfeited by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Incentive Compensation Plan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lesser of: (x) 3% of the total number of shares outstanding on December 31 of the immediately preceding calendar year, (y) an amount determined by our board of directors, and (z) 1,965,930 shares. From and after the effective date of the 2015 Plan, no further grants or awards shall be made under the 2012 Plan. Generally, shares that are forfeited, cancelled, terminated or expire unexercised, settled in cash in lieu of issuance of shares under the 2015 Plan or the 2012 Plan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 As of December 31, 2015, we had options to purchase 530,675 ordinary shares outstanding under the 2015 Plan and 1,130,169 ordinary shares reserved for additional grants, including the increase which was effective on January 1, 2016.</w:t>
      </w:r>
    </w:p>
    <w:p>
      <w:pPr>
        <w:spacing w:after="0" w:line="18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Subject to applicable law, the 2015 Plan will be administered by our compensation committee which will have full authority in all matters related to the discharge of its responsibilities and the exercise of its authority under the plan. Awards under the 2015 Plan may be granted until 10 years after the effective date of the 2015 Plan.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terms of options granted under the 2015 Plan, including the exercise price, vesting provisions and the duration of an option, shall be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Restricted share units are awards covering a number of hypothetical units with respect to shares that are granted subject to such vesting and transfer restrictions and conditions of payment as the compensation committee may determine in an award agreement. Restricted share units are payable in cash, ordinary shares of equivalent value or a combination thereof.</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5" w:name="page66"/>
    <w:bookmarkEnd w:id="65"/>
    <w:p>
      <w:pPr>
        <w:ind w:right="160" w:firstLine="648"/>
        <w:spacing w:after="0" w:line="286" w:lineRule="auto"/>
        <w:rPr>
          <w:sz w:val="20"/>
          <w:szCs w:val="20"/>
          <w:color w:val="auto"/>
        </w:rPr>
      </w:pPr>
      <w:r>
        <w:rPr>
          <w:rFonts w:ascii="Arial" w:cs="Arial" w:eastAsia="Arial" w:hAnsi="Arial"/>
          <w:sz w:val="17"/>
          <w:szCs w:val="17"/>
          <w:color w:val="auto"/>
        </w:rPr>
        <w:t>The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w:t>
      </w:r>
    </w:p>
    <w:p>
      <w:pPr>
        <w:ind w:right="120" w:firstLine="8"/>
        <w:spacing w:after="0" w:line="292" w:lineRule="auto"/>
        <w:tabs>
          <w:tab w:leader="none" w:pos="21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adjusting the number of shares 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Israeli Sub Plan</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2015 Israeli Sub Plan provides for the grant by us of awards pursuant to Sections 102 and 3(i) of the Israeli Income Tax Ordinance, or the Ordinance, and the rules and regulations promulgated thereunder. The 2015 Israeli Sub Plan is effective with respect to awards granted as of 30 days from the date we submitted it to the Israeli Tax Authority, or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102(b)(2) of the Ordinance or</w:t>
      </w:r>
    </w:p>
    <w:p>
      <w:pPr>
        <w:spacing w:after="0" w:line="2" w:lineRule="exact"/>
        <w:rPr>
          <w:sz w:val="20"/>
          <w:szCs w:val="20"/>
          <w:color w:val="auto"/>
        </w:rPr>
      </w:pPr>
    </w:p>
    <w:p>
      <w:pPr>
        <w:ind w:right="80" w:firstLine="8"/>
        <w:spacing w:after="0" w:line="261" w:lineRule="auto"/>
        <w:tabs>
          <w:tab w:leader="none" w:pos="2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U.S. Sub Plan</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2015 U.S. Sub Plan applies to grantees that are subject to U.S. federal income tax. The 2015 U.S. Sub Plan provides that options granted to the U.S. grantees will either be incentive stock options pursuant to Section 422 of the Internal Revenue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Internal Revenue Code and provided that shares delivered pursuant to “substitute awards” shall reduce the shares available for issuance of incentive stock options under the 2015 Plan. It is the intention that no award shall be deferred compensation subject to Section 409A of the Internal Revenue Code unless and to the extent that the compensation committee specifically determines otherwise. If the compensation committee determines an award will be subject to Section 409A of the Internal Revenue Code such awards shall be intended to comply in all respects with Section 409A of the Code, and the 2015 Plan and the terms and conditions of such awards shall be interpreted and administered accordingly.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have adopted an employee stock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receives on each pay day during the offering period. To date, we have not granted employees the right to make purchases under the plan. The number of shares initially reserved for purchase under the ESPP is 242,425 ordinary shares, which will be automatically increased annually on January 1 by a number of ordinary shares equal to the lesser of (i) 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ESPP is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the company’s ordinary shares determined by dividing (1) the employee’s payroll deductions accumulated prior to such exercise date and retained in the employee’s account as of the exercise date by (2) the applicable purchase price. The applicable purchase price is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6" w:name="page67"/>
    <w:bookmarkEnd w:id="66"/>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Board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Under our articles, our board of directors must consist of at least five and not more than nine directors, including at least two external directors required to be appointed under the Companies Law. Our board of directors consists of nine directors, including our two external directors. Other than external directors, for whom special election requirements apply under the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from 2016 and after, at each annual general meeting the term of office of only one class of directors expires.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Companies Law and our articles.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are divided among the three classes as follows:</w:t>
      </w:r>
    </w:p>
    <w:p>
      <w:pPr>
        <w:spacing w:after="0" w:line="225" w:lineRule="exact"/>
        <w:rPr>
          <w:sz w:val="20"/>
          <w:szCs w:val="20"/>
          <w:color w:val="auto"/>
        </w:rPr>
      </w:pPr>
    </w:p>
    <w:p>
      <w:pPr>
        <w:ind w:left="1040" w:right="240" w:hanging="384"/>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Class I directors are Alon Lumbroso and Dov Ofer, and their terms expire at the annual general meeting of the shareholders to be held in 2016 and when their successors are elected and qualified;</w:t>
      </w:r>
    </w:p>
    <w:p>
      <w:pPr>
        <w:spacing w:after="0" w:line="170" w:lineRule="exact"/>
        <w:rPr>
          <w:rFonts w:ascii="Arial" w:cs="Arial" w:eastAsia="Arial" w:hAnsi="Arial"/>
          <w:sz w:val="18"/>
          <w:szCs w:val="18"/>
          <w:color w:val="auto"/>
        </w:rPr>
      </w:pPr>
    </w:p>
    <w:p>
      <w:pPr>
        <w:ind w:left="1040" w:right="520" w:hanging="384"/>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Class II directors are Ofer Ben-Zur and Gabi Seligsohn, and their terms expire at the first annual general meeting of the shareholders following the meeting referred to in clause (i) above and when their successors are elected and qualified; and</w:t>
      </w:r>
    </w:p>
    <w:p>
      <w:pPr>
        <w:spacing w:after="0" w:line="170" w:lineRule="exact"/>
        <w:rPr>
          <w:rFonts w:ascii="Arial" w:cs="Arial" w:eastAsia="Arial" w:hAnsi="Arial"/>
          <w:sz w:val="18"/>
          <w:szCs w:val="18"/>
          <w:color w:val="auto"/>
        </w:rPr>
      </w:pPr>
    </w:p>
    <w:p>
      <w:pPr>
        <w:ind w:left="1040" w:right="880" w:hanging="384"/>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Class III directors are Eli Blatt, Yuval Cohen and Marc Lesnick, and their terms expire at the first annual general meeting of the shareholders following the meeting referred to in clause (ii) above and when their successors are elected and qualified.</w:t>
      </w:r>
    </w:p>
    <w:p>
      <w:pPr>
        <w:spacing w:after="0" w:line="14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board of directors has determined that our directors, Lauri Hanover, Jerry Mandel and Dov Ofer are independent under the rules of the NASDAQ Stock Market. The definition of “independent director” under the NASDAQ Stock Market rules and “external director” under the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Companies Law without qualifying as an “independent director” under the NASDAQ Stock Market rules, or vice-versa. The definition of external director under the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 independent directors serve for a period of three years; external directors pursuant to the requirements of the Companies Law and independent directors pursuant to the staggered board provisions of our articles. However, external directors must be elected by a special majority of shareholders while independent directors may be elected by an ordinary majority. See “—External Directors” for a description of the requirements under the Companies Law for a director to serve as an external director.</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7" w:name="page68"/>
    <w:bookmarkEnd w:id="67"/>
    <w:p>
      <w:pPr>
        <w:ind w:right="80" w:firstLine="648"/>
        <w:spacing w:after="0" w:line="291" w:lineRule="auto"/>
        <w:rPr>
          <w:sz w:val="20"/>
          <w:szCs w:val="20"/>
          <w:color w:val="auto"/>
        </w:rPr>
      </w:pPr>
      <w:r>
        <w:rPr>
          <w:rFonts w:ascii="Arial" w:cs="Arial" w:eastAsia="Arial" w:hAnsi="Arial"/>
          <w:sz w:val="16"/>
          <w:szCs w:val="16"/>
          <w:color w:val="auto"/>
        </w:rPr>
        <w:t>Under the Companies Law and our articles,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our articles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Companies Law. See “—External Directors.”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Under the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Under the Companies Law, we are required to include on our board of directors at least two members who qualify as external directors. Lauri Hanover and Jerry Mandel serve as our external directors.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provisions of the Companies Law set forth special approval requirements for the election of external directors. External directors must be elected by a majority vote of the shares present and voting at a meeting of shareholders, provided that either:</w:t>
      </w:r>
    </w:p>
    <w:p>
      <w:pPr>
        <w:spacing w:after="0" w:line="170" w:lineRule="exact"/>
        <w:rPr>
          <w:sz w:val="20"/>
          <w:szCs w:val="20"/>
          <w:color w:val="auto"/>
        </w:rPr>
      </w:pPr>
    </w:p>
    <w:p>
      <w:pPr>
        <w:ind w:left="98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81"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total number of shares voted by non-controlling, disinterested shareholders and by shareholders (as described in the previous bullet point) against the election of the external director does not exceed 2% of the aggregate voting rights in the company.</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68" w:name="page69"/>
    <w:bookmarkEnd w:id="68"/>
    <w:p>
      <w:pPr>
        <w:ind w:firstLine="648"/>
        <w:spacing w:after="0" w:line="277"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w:t>
      </w:r>
    </w:p>
    <w:p>
      <w:pPr>
        <w:spacing w:after="0" w:line="170" w:lineRule="exact"/>
        <w:rPr>
          <w:sz w:val="20"/>
          <w:szCs w:val="20"/>
          <w:color w:val="auto"/>
        </w:rPr>
      </w:pPr>
    </w:p>
    <w:p>
      <w:pPr>
        <w:ind w:left="980" w:right="40" w:hanging="324"/>
        <w:spacing w:after="0" w:line="279"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Companies Law with respect to the affiliation of the external director nominee;</w:t>
      </w:r>
    </w:p>
    <w:p>
      <w:pPr>
        <w:spacing w:after="0" w:line="171" w:lineRule="exact"/>
        <w:rPr>
          <w:rFonts w:ascii="Arial" w:cs="Arial" w:eastAsia="Arial" w:hAnsi="Arial"/>
          <w:sz w:val="17"/>
          <w:szCs w:val="17"/>
          <w:color w:val="auto"/>
        </w:rPr>
      </w:pPr>
    </w:p>
    <w:p>
      <w:pPr>
        <w:ind w:left="980" w:right="1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Select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8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If an external directorship becomes vacant and there are fewer than two external directors on the board of directors at the time, then the board of directors is required under the Companies Law to call a shareholders’ meeting as soon as practicable to appoint a replacement external director.</w:t>
      </w:r>
    </w:p>
    <w:p>
      <w:pPr>
        <w:spacing w:after="0" w:line="124"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6"/>
          <w:szCs w:val="16"/>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w:t>
      </w:r>
    </w:p>
    <w:p>
      <w:pPr>
        <w:spacing w:after="0" w:line="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Compensation of an external director is determined prior to his or her appointment and may not be changed during his or her term subject to certain exceptions.</w:t>
      </w:r>
    </w:p>
    <w:p>
      <w:pPr>
        <w:spacing w:after="0" w:line="18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9" w:name="page70"/>
    <w:bookmarkEnd w:id="69"/>
    <w:p>
      <w:pPr>
        <w:ind w:right="100" w:firstLine="648"/>
        <w:spacing w:after="0" w:line="277" w:lineRule="auto"/>
        <w:rPr>
          <w:sz w:val="20"/>
          <w:szCs w:val="20"/>
          <w:color w:val="auto"/>
        </w:rPr>
      </w:pPr>
      <w:r>
        <w:rPr>
          <w:rFonts w:ascii="Arial" w:cs="Arial" w:eastAsia="Arial" w:hAnsi="Arial"/>
          <w:sz w:val="18"/>
          <w:szCs w:val="18"/>
          <w:color w:val="auto"/>
        </w:rPr>
        <w:t>The term “relative” is defined in the Companies Law as a spouse, sibling, parent, grandparent or descendant; spouse’s sibling, parent or descendant; and the spouse of each of the foregoing persons.</w:t>
      </w:r>
    </w:p>
    <w:p>
      <w:pPr>
        <w:spacing w:after="0" w:line="1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Under the Companies Law, the term “affiliation” and the similar types of disqualifying relationships, as used above, include (subject to certain exceptions):</w:t>
      </w:r>
    </w:p>
    <w:p>
      <w:pPr>
        <w:spacing w:after="0" w:line="17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52"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14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term “office holder” is defined in the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Companies Law and the regulations promulgated thereunder.</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8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According to the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Exchange Act, (ii) meets the standards of the Listing Rules of the NASDAQ Stock Market rules for membership on the audit committee, and (iii) has accounting and financial expertise as defined under the Companies Law, then neither of our external directors is required to possess accounting and financial expertise as long as each possesses the requisite professional qualifications.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0" w:name="page71"/>
    <w:bookmarkEnd w:id="70"/>
    <w:p>
      <w:pPr>
        <w:ind w:right="40" w:firstLine="648"/>
        <w:spacing w:after="0" w:line="284"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w:t>
      </w:r>
    </w:p>
    <w:p>
      <w:pPr>
        <w:spacing w:after="0" w:line="3" w:lineRule="exact"/>
        <w:rPr>
          <w:sz w:val="20"/>
          <w:szCs w:val="20"/>
          <w:color w:val="auto"/>
        </w:rPr>
      </w:pPr>
    </w:p>
    <w:p>
      <w:pPr>
        <w:ind w:right="620" w:firstLine="8"/>
        <w:spacing w:after="0" w:line="261" w:lineRule="auto"/>
        <w:tabs>
          <w:tab w:leader="none" w:pos="2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senior position in public administration or service. The board of directors is charged with determining whether a director possesses financial and accounting expertise or professional qualifications.</w:t>
      </w:r>
    </w:p>
    <w:p>
      <w:pPr>
        <w:spacing w:after="0" w:line="184"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Our board of directors has determined that each of Lauri Hanover and Jerry Mandel possesses accounting expertise, financial expertise and professional qualifications as defined under the Companies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consists of our two external directors, Lauri Hanover (Chairperson) and Jerry Mandel as well as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Companies Law, we are required to appoint an audit committee. The audit committee must be comprised of at least three directors, including all of the external directors, one of whom must serve as chairperson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audit committee of a publicly traded company must consist of a majority of independent directors. In general, an “independent director” under the Companies Law is defined as either an external director or as a director who meets the following criteria:</w:t>
      </w:r>
    </w:p>
    <w:p>
      <w:pPr>
        <w:spacing w:after="0" w:line="189" w:lineRule="exact"/>
        <w:rPr>
          <w:sz w:val="20"/>
          <w:szCs w:val="20"/>
          <w:color w:val="auto"/>
        </w:rPr>
      </w:pPr>
    </w:p>
    <w:p>
      <w:pPr>
        <w:ind w:left="98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 or she meets the qualifications for being appointed as an external director, except for the requirement (i) that the director be an Israeli resident (which does not apply to companies such as ours whose securities have been offered outside of Israel or are listed for trading outside of Israel) and (ii) for accounting and financial expertise or professional qualifications; and</w:t>
      </w:r>
    </w:p>
    <w:p>
      <w:pPr>
        <w:spacing w:after="0" w:line="181"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All members of our audit committee meet the requirements for financial literacy under the applicable rules and regulations of the Commission and NASDAQ corporate governance rules. Our board of directors has determined that Lauri Hanover and Jerry Mandel is each an audit committee financial expert as defined by the Commission rules and has the requisite financial experience as defined by NASDAQ corporate governance rules.</w:t>
      </w:r>
    </w:p>
    <w:p>
      <w:pPr>
        <w:spacing w:after="0" w:line="14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Each of the members of our audit committee is “independent” as such term is defined in Rule 10A-3(b)(1) under the Exchange Act and satisfies the independent director requirements under the NASDAQ Stock Market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Our board of directors has an audit committee charter that sets forth the responsibilities of the audit committee consistent with the rules and regulations of the Commission and the listing requirements of the NASDAQ Stock Market, as well as the requirements for such committee under the Companies Law, including the following:</w:t>
      </w:r>
    </w:p>
    <w:p>
      <w:pPr>
        <w:spacing w:after="0" w:line="181" w:lineRule="exact"/>
        <w:rPr>
          <w:sz w:val="20"/>
          <w:szCs w:val="20"/>
          <w:color w:val="auto"/>
        </w:rPr>
      </w:pPr>
    </w:p>
    <w:p>
      <w:pPr>
        <w:ind w:left="980" w:right="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225" w:lineRule="exact"/>
        <w:rPr>
          <w:sz w:val="20"/>
          <w:szCs w:val="20"/>
          <w:color w:val="auto"/>
        </w:rPr>
      </w:pPr>
    </w:p>
    <w:p>
      <w:pPr>
        <w:ind w:left="980" w:right="300" w:hanging="324"/>
        <w:spacing w:after="0" w:line="308"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46" w:lineRule="exact"/>
        <w:rPr>
          <w:rFonts w:ascii="Arial" w:cs="Arial" w:eastAsia="Arial" w:hAnsi="Arial"/>
          <w:sz w:val="17"/>
          <w:szCs w:val="17"/>
          <w:color w:val="auto"/>
        </w:rPr>
      </w:pPr>
    </w:p>
    <w:p>
      <w:pPr>
        <w:jc w:val="both"/>
        <w:ind w:left="980" w:right="180" w:hanging="324"/>
        <w:spacing w:after="0" w:line="264"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2" w:name="page73"/>
    <w:bookmarkEnd w:id="72"/>
    <w:p>
      <w:pPr>
        <w:ind w:left="980" w:right="12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or her responsibilities;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consists of our two external directors, Jerry Mandel (Chairman) and Lauri Hanover as well as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Under the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Select Market, and who do not have a controlling shareholder, do not have to meet this majority requirement; provided, however, that the compensation committee meets other Companies Law composition requirements, as well as the requirements of the jurisdiction where the company’s securities are traded. As we currently have a controlling shareholder for this purpose, we are obligated to meet the majority requirement, although this may change in the future. Each compensation committee member who is not an external director must be a director whose compensation does not exceed an amount that may be paid to an external director. The compensation committee is subject to the same Companies Law restrictions as the audit committee as to who may not be a member of the compensation committee.</w:t>
      </w:r>
    </w:p>
    <w:p>
      <w:pPr>
        <w:spacing w:after="0" w:line="18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w:t>
      </w:r>
    </w:p>
    <w:p>
      <w:pPr>
        <w:spacing w:after="0" w:line="17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3" w:name="page74"/>
    <w:bookmarkEnd w:id="73"/>
    <w:p>
      <w:pPr>
        <w:ind w:right="200" w:firstLine="648"/>
        <w:spacing w:after="0" w:line="259" w:lineRule="auto"/>
        <w:rPr>
          <w:sz w:val="20"/>
          <w:szCs w:val="20"/>
          <w:color w:val="auto"/>
        </w:rPr>
      </w:pPr>
      <w:r>
        <w:rPr>
          <w:rFonts w:ascii="Arial" w:cs="Arial" w:eastAsia="Arial" w:hAnsi="Arial"/>
          <w:sz w:val="18"/>
          <w:szCs w:val="18"/>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previously fulfilled by a company’s audit committee with respect to matters related to approval of the terms of engagement of office holders, including:</w:t>
      </w:r>
    </w:p>
    <w:p>
      <w:pPr>
        <w:spacing w:after="0" w:line="187" w:lineRule="exact"/>
        <w:rPr>
          <w:sz w:val="20"/>
          <w:szCs w:val="20"/>
          <w:color w:val="auto"/>
        </w:rPr>
      </w:pPr>
    </w:p>
    <w:p>
      <w:pPr>
        <w:ind w:left="980" w:right="60" w:hanging="324"/>
        <w:spacing w:after="0" w:line="342"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recommending to the board of directors periodic updates to the compensation policy and assessing implementation of the compensation policy;</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approving compensation terms of executive officers, directors and employees that require approval of the compensation committee;</w:t>
      </w:r>
    </w:p>
    <w:p>
      <w:pPr>
        <w:spacing w:after="0" w:line="236" w:lineRule="exact"/>
        <w:rPr>
          <w:rFonts w:ascii="Arial" w:cs="Arial" w:eastAsia="Arial" w:hAnsi="Arial"/>
          <w:sz w:val="17"/>
          <w:szCs w:val="17"/>
          <w:color w:val="auto"/>
        </w:rPr>
      </w:pPr>
    </w:p>
    <w:p>
      <w:pPr>
        <w:ind w:left="980" w:right="80" w:hanging="324"/>
        <w:spacing w:after="0" w:line="308"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46" w:lineRule="exact"/>
        <w:rPr>
          <w:rFonts w:ascii="Arial" w:cs="Arial" w:eastAsia="Arial" w:hAnsi="Arial"/>
          <w:sz w:val="17"/>
          <w:szCs w:val="17"/>
          <w:color w:val="auto"/>
        </w:rPr>
      </w:pPr>
    </w:p>
    <w:p>
      <w:pPr>
        <w:ind w:left="980" w:right="46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Consistent with the foregoing requirements, following the recommendation of our compensation committee, our Board and our shareholders approved our compenation policy in July 2015 and September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Role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adopted a compensation committee charter that sets forth the responsibilities of the compensation committee, which include:</w:t>
      </w:r>
    </w:p>
    <w:p>
      <w:pPr>
        <w:spacing w:after="0" w:line="248"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policy;</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7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External directors are entitled to remuneration subject to the provisions and limitations set forth in the regulations promulgated under the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see “—Compensation of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Under the Companies Law, the board of directors of an Israeli public company must appoint an internal auditor recommended by the audit committee. An internal auditor may not be:</w:t>
      </w:r>
    </w:p>
    <w:p>
      <w:pPr>
        <w:spacing w:after="0" w:line="170"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person (or a relative of a person) who holds 5% or more of the company’s outstanding shares or voting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member of the company’s independent auditor, or anyone on its behalf.</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Irena Ben-Yakar of Brightman Almagor &amp; Zohar (Deloitte) serve as our internal auditor.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Companies Law codifies the fiduciary duties that office holders owe to a company. Each person listed in the table under “Directors and Senior Management” is an office holder under the Companies Law.</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2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The duty of loyalty includes a duty to:</w:t>
      </w:r>
    </w:p>
    <w:p>
      <w:pPr>
        <w:spacing w:after="0" w:line="225"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 and Approval of Certain Transactions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spacing w:after="0" w:line="154"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6" w:name="page77"/>
    <w:bookmarkEnd w:id="76"/>
    <w:p>
      <w:pPr>
        <w:ind w:right="60" w:firstLine="648"/>
        <w:spacing w:after="0" w:line="287" w:lineRule="auto"/>
        <w:rPr>
          <w:sz w:val="20"/>
          <w:szCs w:val="20"/>
          <w:color w:val="auto"/>
        </w:rPr>
      </w:pPr>
      <w:r>
        <w:rPr>
          <w:rFonts w:ascii="Arial" w:cs="Arial" w:eastAsia="Arial" w:hAnsi="Arial"/>
          <w:sz w:val="16"/>
          <w:szCs w:val="16"/>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73"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Generally, a person who has a personal interest in a matter which is considered at a meeting of the board of directors or the audit committee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Controlling Shareholders and Approval of Certain Transactions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fulfill one of the following requirements:</w:t>
      </w:r>
    </w:p>
    <w:p>
      <w:pPr>
        <w:spacing w:after="0" w:line="178" w:lineRule="exact"/>
        <w:rPr>
          <w:sz w:val="20"/>
          <w:szCs w:val="20"/>
          <w:color w:val="auto"/>
        </w:rPr>
      </w:pPr>
    </w:p>
    <w:p>
      <w:pPr>
        <w:ind w:left="980" w:right="4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7" w:name="page78"/>
    <w:bookmarkEnd w:id="77"/>
    <w:p>
      <w:pPr>
        <w:ind w:right="200" w:firstLine="648"/>
        <w:spacing w:after="0" w:line="264" w:lineRule="auto"/>
        <w:rPr>
          <w:sz w:val="20"/>
          <w:szCs w:val="20"/>
          <w:color w:val="auto"/>
        </w:rPr>
      </w:pPr>
      <w:r>
        <w:rPr>
          <w:rFonts w:ascii="Arial" w:cs="Arial" w:eastAsia="Arial" w:hAnsi="Arial"/>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Pursuant to regulations promulgated under the Companies Law, certain transactions with a controlling shareholder or his or her relative, or with directors, that would otherwise require approval of a company’s shareholders may be exempt from shareholder approval upon certain determinations of the audit committee and board of directors. Under these regulations, a shareholder holding at least 1% of the issued share capital of the company may require, within 14 days of the publication of such determinations, that despite such determinations by the audit committee and the board of directors, such transaction will require shareholder approval under the same majority requirements that would otherwise apply to such transactions.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Fortissimo Capital, which owns 49.5% of our ordinary shares, is currently a controlling shareholder, although this status may change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81"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660" w:right="3140" w:hanging="4"/>
        <w:spacing w:after="0" w:line="563" w:lineRule="auto"/>
        <w:tabs>
          <w:tab w:leader="none" w:pos="98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8" w:name="page79"/>
    <w:bookmarkEnd w:id="78"/>
    <w:p>
      <w:pPr>
        <w:ind w:right="420" w:firstLine="648"/>
        <w:spacing w:after="0" w:line="264" w:lineRule="auto"/>
        <w:rPr>
          <w:sz w:val="20"/>
          <w:szCs w:val="20"/>
          <w:color w:val="auto"/>
        </w:rPr>
      </w:pPr>
      <w:r>
        <w:rPr>
          <w:rFonts w:ascii="Arial" w:cs="Arial" w:eastAsia="Arial" w:hAnsi="Arial"/>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1" w:lineRule="exact"/>
        <w:rPr>
          <w:sz w:val="20"/>
          <w:szCs w:val="20"/>
          <w:color w:val="auto"/>
        </w:rPr>
      </w:pPr>
    </w:p>
    <w:p>
      <w:pPr>
        <w:ind w:left="980" w:hanging="324"/>
        <w:spacing w:after="0" w:line="276"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uto"/>
        </w:rPr>
      </w:pPr>
    </w:p>
    <w:p>
      <w:pPr>
        <w:ind w:left="980" w:right="80" w:hanging="324"/>
        <w:spacing w:after="0" w:line="276"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72" w:lineRule="exact"/>
        <w:rPr>
          <w:rFonts w:ascii="Arial" w:cs="Arial" w:eastAsia="Arial" w:hAnsi="Arial"/>
          <w:sz w:val="17"/>
          <w:szCs w:val="17"/>
          <w:color w:val="auto"/>
        </w:rPr>
      </w:pPr>
    </w:p>
    <w:p>
      <w:pPr>
        <w:ind w:left="980" w:right="280" w:hanging="324"/>
        <w:spacing w:after="0" w:line="264"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right="1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980" w:right="10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jc w:val="both"/>
        <w:ind w:right="40" w:firstLine="648"/>
        <w:spacing w:after="0" w:line="264" w:lineRule="auto"/>
        <w:rPr>
          <w:sz w:val="20"/>
          <w:szCs w:val="20"/>
          <w:color w:val="auto"/>
        </w:rPr>
      </w:pPr>
      <w:r>
        <w:rPr>
          <w:rFonts w:ascii="Arial" w:cs="Arial" w:eastAsia="Arial" w:hAnsi="Arial"/>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articles permit us to exculpate, indemnify and insure our office holders to the fullest extent permitted or to be permitted by the Companies Law.</w:t>
      </w:r>
    </w:p>
    <w:p>
      <w:pPr>
        <w:spacing w:after="0" w:line="24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2015, we had 343 employees and subcontractors with 220 located in Israel, 51 in the United States, 36 in Germany and 36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Hong Kong. The following table shows the breakdown of our workforce of employees and subcontractors by category of activity as of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8"/>
              </w:rPr>
              <w:t>As of December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Area of Activity</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46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Share Ownership</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information regarding the share ownership of our directors and executive officers, please refer to “ITEM 6.B. Compensation” and “ITEM 7.A. Major Shareholders.”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Major Shareholders and Related Party Transactions.</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with respect to the beneficial ownership of our ordinary shares as of February 29, 2016:</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29, 2016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noted below, each shareholder’s address is c/o Kornit Digital Ltd., 12 Ha’Amal Street, Rosh –Ha’Ayin 4809246, Israel.</w:t>
      </w:r>
    </w:p>
    <w:p>
      <w:pPr>
        <w:spacing w:after="0" w:line="2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percentages set forth below are based on 30,396,376 ordinary shares outstanding as of February 29, 2016.</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1" w:name="page82"/>
    <w:bookmarkEnd w:id="81"/>
    <w:p>
      <w:pPr>
        <w:ind w:right="60" w:firstLine="648"/>
        <w:spacing w:after="0" w:line="277" w:lineRule="auto"/>
        <w:rPr>
          <w:sz w:val="20"/>
          <w:szCs w:val="20"/>
          <w:color w:val="auto"/>
        </w:rPr>
      </w:pPr>
      <w:r>
        <w:rPr>
          <w:rFonts w:ascii="Arial" w:cs="Arial" w:eastAsia="Arial" w:hAnsi="Arial"/>
          <w:sz w:val="18"/>
          <w:szCs w:val="18"/>
          <w:color w:val="auto"/>
        </w:rPr>
        <w:t>A description of any material relationship that our major shareholders have had with us or any of our predecessors or affiliates within the past year is included under “ITEM 7.B—Related Party Transactions.”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780" w:type="dxa"/>
            <w:vAlign w:val="bottom"/>
            <w:gridSpan w:val="4"/>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5% or Greater Shareholders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Fortissimo Capital Fund II (Israel), L.P. </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15,037,481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FMR LLC </w:t>
            </w:r>
            <w:r>
              <w:rPr>
                <w:rFonts w:ascii="Arial" w:cs="Arial" w:eastAsia="Arial" w:hAnsi="Arial"/>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1,676,000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Yuval Cohen </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15,047,351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Ofer Ben-Zur </w:t>
            </w:r>
            <w:r>
              <w:rPr>
                <w:rFonts w:ascii="Arial" w:cs="Arial" w:eastAsia="Arial" w:hAnsi="Arial"/>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1,221,288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Eli Blatt </w:t>
            </w:r>
            <w:r>
              <w:rPr>
                <w:rFonts w:ascii="Arial" w:cs="Arial" w:eastAsia="Arial" w:hAnsi="Arial"/>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15,044,390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Marc Lesnick </w:t>
            </w:r>
            <w:r>
              <w:rPr>
                <w:rFonts w:ascii="Arial" w:cs="Arial" w:eastAsia="Arial" w:hAnsi="Arial"/>
                <w:sz w:val="29"/>
                <w:szCs w:val="29"/>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15,044,390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Lauri Hanover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Alon Lumbroso</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Jerry Mandel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Dov Ofer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Gabi Seligsohn</w:t>
            </w:r>
            <w:r>
              <w:rPr>
                <w:rFonts w:ascii="Arial" w:cs="Arial" w:eastAsia="Arial" w:hAnsi="Arial"/>
                <w:sz w:val="29"/>
                <w:szCs w:val="29"/>
                <w:color w:val="auto"/>
                <w:vertAlign w:val="superscript"/>
              </w:rPr>
              <w:t>(6)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376,853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Guy Avidan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Sarel Ashkenazy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Ofer Sandelson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Guy Zimmerman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Arial" w:cs="Arial" w:eastAsia="Arial" w:hAnsi="Arial"/>
                <w:sz w:val="18"/>
                <w:szCs w:val="18"/>
                <w:color w:val="auto"/>
              </w:rPr>
              <w:t>Oded Kraft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All Directors and Executive Officers as a Group (14 persons) </w:t>
            </w:r>
            <w:r>
              <w:rPr>
                <w:rFonts w:ascii="Arial" w:cs="Arial" w:eastAsia="Arial" w:hAnsi="Arial"/>
                <w:sz w:val="29"/>
                <w:szCs w:val="29"/>
                <w:b w:val="1"/>
                <w:bCs w:val="1"/>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16,909,279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592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gridSpan w:val="3"/>
          </w:tcPr>
          <w:p>
            <w:pPr>
              <w:ind w:left="40"/>
              <w:spacing w:after="0"/>
              <w:rPr>
                <w:sz w:val="20"/>
                <w:szCs w:val="20"/>
                <w:color w:val="auto"/>
              </w:rPr>
            </w:pPr>
            <w:r>
              <w:rPr>
                <w:rFonts w:ascii="Arial" w:cs="Arial" w:eastAsia="Arial" w:hAnsi="Arial"/>
                <w:sz w:val="18"/>
                <w:szCs w:val="18"/>
                <w:color w:val="auto"/>
              </w:rPr>
              <w:t>* Represents beneficial ownership of less than 1% of our outstanding ordinary shares.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right="60" w:hanging="352"/>
        <w:spacing w:after="0" w:line="253"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Schedule 13G filed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pacing w:after="0" w:line="1" w:lineRule="exact"/>
        <w:rPr>
          <w:rFonts w:ascii="Arial" w:cs="Arial" w:eastAsia="Arial" w:hAnsi="Arial"/>
          <w:sz w:val="18"/>
          <w:szCs w:val="18"/>
          <w:color w:val="auto"/>
        </w:rPr>
      </w:pPr>
    </w:p>
    <w:p>
      <w:pPr>
        <w:ind w:left="360" w:right="40" w:hanging="352"/>
        <w:spacing w:after="0" w:line="265" w:lineRule="auto"/>
        <w:tabs>
          <w:tab w:leader="none" w:pos="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a Schedule 13G filed by FMR LLC (“FMR”), as of December 31, 2015, shares beneficially owned consist of 1,676,000 shares beneficially owned by FMR Co. Inc. FMR LLC has sole voting power over all 1,676,000 shares.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address of FMR LLC is 245 Summer Street, Boston, MA 02210.</w:t>
      </w:r>
    </w:p>
    <w:p>
      <w:pPr>
        <w:spacing w:after="0" w:line="2" w:lineRule="exact"/>
        <w:rPr>
          <w:rFonts w:ascii="Arial" w:cs="Arial" w:eastAsia="Arial" w:hAnsi="Arial"/>
          <w:sz w:val="17"/>
          <w:szCs w:val="17"/>
          <w:color w:val="auto"/>
        </w:rPr>
      </w:pPr>
    </w:p>
    <w:p>
      <w:pPr>
        <w:ind w:left="360" w:right="100" w:hanging="352"/>
        <w:spacing w:after="0" w:line="250"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15,037,481 ordinary shares held by Fortissimo Capital and options to purchase 9,870 ordinary shares exercisable within 60 days of February 29, 2016.</w:t>
      </w: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1,201,629 ordinary shares and options to purchase 19,659 ordinary shares exercisable within 60 days of February 29, 2016.</w:t>
      </w:r>
    </w:p>
    <w:p>
      <w:pPr>
        <w:spacing w:after="0" w:line="9" w:lineRule="exact"/>
        <w:rPr>
          <w:rFonts w:ascii="Arial" w:cs="Arial" w:eastAsia="Arial" w:hAnsi="Arial"/>
          <w:sz w:val="18"/>
          <w:szCs w:val="18"/>
          <w:color w:val="auto"/>
        </w:rPr>
      </w:pPr>
    </w:p>
    <w:p>
      <w:pPr>
        <w:ind w:left="360" w:right="100" w:hanging="352"/>
        <w:spacing w:after="0" w:line="250"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15,037,481 ordinary shares held by Fortissimo Capital and options to purchase 6,909 ordinary shares exercisable within 60 days of February 29, 2016.</w:t>
      </w: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36,357 ordinary shares and options to purchase 340,496 ordinary shares exercisable within 60 days of February 29, 2016.</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16,275,467 ordinary shares and options to purchase 633,812 ordinary shares exercisable within 60 days of February 29, 2016.</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Recent Significant Changes in the Percentage Ownership of Major Shareholders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than changes resulting from the Company’s issuance of shares in the IPO and the acquisition of shares by FMR LLC as set forth in the table above, there have been no recent significant changes in the percentage ownership of major shareholders.</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2015, to which we were or will be a party and in which the other parties included or will include our directors, executive officers, holders of more than 10% of our voting securities or any member of the immediate family of any of the foregoing persons.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party to an amended and restated investors’ rights agreement, dated March 18, 2015, or the Investors’ Rights Agreement, with certain of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At any time, Fortissimo Capital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Rights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70"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Management Services Agreement</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were party to a management services agreement, dated August 11, 2011, pursuant to which our principal shareholder, Fortissimo Capital, assisted and advised our management on matters concerning our business and renders other management services and advice as agreed from time to time. In consideration of these management services, we paid to Fortissimo Capital an annual management fee. In March 2015, we and Fortissimo Capital agreed to terminate the management services agreement upon the consummation of our initial public offering. As consideration for Fortissimo Capital’s agreement to terminate the management services agreement, we made a one-time payment of $750,000 to Fortissimo Capital in 2015.</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074"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provides information regarding the options to purchase our ordinary shares held by each of our directors and officers who beneficially owns greater than one percent of our ordinary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1"/>
        </w:trPr>
        <w:tc>
          <w:tcPr>
            <w:tcW w:w="7020" w:type="dxa"/>
            <w:vAlign w:val="bottom"/>
            <w:gridSpan w:val="2"/>
          </w:tcPr>
          <w:p>
            <w:pPr>
              <w:ind w:left="3040"/>
              <w:spacing w:after="0"/>
              <w:rPr>
                <w:sz w:val="20"/>
                <w:szCs w:val="20"/>
                <w:color w:val="auto"/>
              </w:rPr>
            </w:pPr>
            <w:r>
              <w:rPr>
                <w:rFonts w:ascii="Arial" w:cs="Arial" w:eastAsia="Arial" w:hAnsi="Arial"/>
                <w:sz w:val="18"/>
                <w:szCs w:val="18"/>
                <w:b w:val="1"/>
                <w:bCs w:val="1"/>
                <w:color w:val="auto"/>
              </w:rPr>
              <w:t>Name/Title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16"/>
        </w:trPr>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Yuval Cohen, Chairman of the Board of Directors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29,610</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6, 2025</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Eli Blatt, Director</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20,727</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9.97</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March 6, 2025</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Lesnick, Director</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20,727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6, 2025</w:t>
            </w: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Gabi Seligsohn, Chief Executive Officer and Director</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650,992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April 27, 2024</w:t>
            </w:r>
          </w:p>
        </w:tc>
      </w:tr>
      <w:tr>
        <w:trPr>
          <w:trHeight w:val="216"/>
        </w:trPr>
        <w:tc>
          <w:tcPr>
            <w:tcW w:w="6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120,000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28, 2025</w:t>
            </w: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Ofer Ben-Zur, President and Chief Technology Officer and Director</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19,659</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1700" w:type="dxa"/>
            <w:vAlign w:val="bottom"/>
          </w:tcPr>
          <w:p>
            <w:pPr>
              <w:ind w:left="320"/>
              <w:spacing w:after="0"/>
              <w:rPr>
                <w:sz w:val="20"/>
                <w:szCs w:val="20"/>
                <w:color w:val="auto"/>
              </w:rPr>
            </w:pPr>
            <w:r>
              <w:rPr>
                <w:rFonts w:ascii="Arial" w:cs="Arial" w:eastAsia="Arial" w:hAnsi="Arial"/>
                <w:sz w:val="18"/>
                <w:szCs w:val="18"/>
                <w:color w:val="auto"/>
              </w:rPr>
              <w:t>March 28, 2017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spacing w:after="0" w:line="184" w:lineRule="exact"/>
        <w:rPr>
          <w:sz w:val="20"/>
          <w:szCs w:val="20"/>
          <w:color w:val="auto"/>
        </w:rPr>
      </w:pPr>
    </w:p>
    <w:p>
      <w:pPr>
        <w:ind w:left="660" w:right="8260" w:hanging="328"/>
        <w:spacing w:after="0" w:line="501" w:lineRule="auto"/>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Information</w:t>
      </w:r>
      <w:r>
        <w:rPr>
          <w:rFonts w:ascii="Arial" w:cs="Arial" w:eastAsia="Arial" w:hAnsi="Arial"/>
          <w:sz w:val="16"/>
          <w:szCs w:val="16"/>
          <w:b w:val="1"/>
          <w:bCs w:val="1"/>
          <w:color w:val="auto"/>
        </w:rPr>
        <w:t>.</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and Other Financial Information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appended our financial statements at the end of this annual report, starting at page F-2, as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From time to time, we may become party to litigation or other legal proceedings that we consider to be a part of the ordinary course of our business. Except as set forth below, currently, and in the recent past,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ind w:right="120" w:firstLine="648"/>
        <w:spacing w:after="0" w:line="302" w:lineRule="auto"/>
        <w:rPr>
          <w:sz w:val="20"/>
          <w:szCs w:val="20"/>
          <w:color w:val="auto"/>
        </w:rPr>
      </w:pPr>
      <w:r>
        <w:rPr>
          <w:rFonts w:ascii="Arial" w:cs="Arial" w:eastAsia="Arial" w:hAnsi="Arial"/>
          <w:sz w:val="16"/>
          <w:szCs w:val="16"/>
          <w:color w:val="auto"/>
        </w:rPr>
        <w:t>In February 2015, Hirsch, one of our distributors, received a letter for patent infringement in connection to the sale of one of our systems. The letter included copy of the complaint filed against the distributor with the U.S. District Court for the Middle District of Florida. Our agreement with the distributor contains an undertaking by us to indemnify the distributor against claims by third parties alleging that our products infringe third party intellectual property rights. In December 2015, the parties reached a settlement agreement pursuant to which we agreed to pay $90,000 to the plaintiff.</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Distribution Policy</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have never declared or paid any cash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3.D—Risk Factors— Risks Related to Our Ordinary Shares—We have never paid cash dividends on our share capital, and we do not anticipate paying any cash dividends in the foreseeable future” and “ITEM 10.B—Articles of Association—Dividend and Liquidation Rights” for an explanation concerning the payment of dividends under Israeli law</w:t>
      </w:r>
      <w:r>
        <w:rPr>
          <w:rFonts w:ascii="Arial" w:cs="Arial" w:eastAsia="Arial" w:hAnsi="Arial"/>
          <w:sz w:val="18"/>
          <w:szCs w:val="18"/>
          <w:b w:val="1"/>
          <w:bCs w:val="1"/>
          <w:color w:val="auto"/>
        </w:rPr>
        <w:t>.</w:t>
      </w:r>
    </w:p>
    <w:p>
      <w:pPr>
        <w:spacing w:after="0" w:line="18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Significant Changes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Since the date of our financial statements included in ITEM 18 of this annual report, there has not been a significant change in our company other than as described elsewhere in this annual report.</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The Offer and Listing</w:t>
      </w:r>
      <w:r>
        <w:rPr>
          <w:rFonts w:ascii="Arial" w:cs="Arial" w:eastAsia="Arial" w:hAnsi="Arial"/>
          <w:sz w:val="16"/>
          <w:szCs w:val="16"/>
          <w:b w:val="1"/>
          <w:bCs w:val="1"/>
          <w:color w:val="auto"/>
        </w:rPr>
        <w:t>.</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Listing details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ordinary shares have been quoted on the NASDAQ Global Select Market under the symbol “KRNT” since April 2, 2015. Prior to that date, there was no public trading market for our ordinary shares. Our IPO was priced at $10.00 per share on April 2, 2015. The following table sets forth for the periods indicated the high and low sales prices per ordinary share as reported on NASDAQ:</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Annual:</w:t>
            </w:r>
          </w:p>
        </w:tc>
        <w:tc>
          <w:tcPr>
            <w:tcW w:w="27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2015 (beginning April 2, 2015)</w:t>
            </w:r>
          </w:p>
        </w:tc>
        <w:tc>
          <w:tcPr>
            <w:tcW w:w="3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r>
      <w:tr>
        <w:trPr>
          <w:trHeight w:val="216"/>
        </w:trPr>
        <w:tc>
          <w:tcPr>
            <w:tcW w:w="604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2016 (through March 10, 2016)</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Fourth Quarter 2015</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2015</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Second Quarter 2015</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11.76</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Most Recent Six Months:</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March 2016 (through March 10, 2016)</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February 2016</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January 2016</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December 2015</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November 2015</w:t>
            </w:r>
          </w:p>
        </w:tc>
        <w:tc>
          <w:tcPr>
            <w:tcW w:w="2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October 2015</w:t>
            </w:r>
          </w:p>
        </w:tc>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September 2015</w:t>
            </w: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ind w:left="660" w:right="9180" w:hanging="328"/>
        <w:spacing w:after="0" w:line="563" w:lineRule="auto"/>
        <w:tabs>
          <w:tab w:leader="none" w:pos="66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328"/>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“—Listing Details” above.</w:t>
      </w:r>
    </w:p>
    <w:p>
      <w:pPr>
        <w:spacing w:after="0" w:line="221" w:lineRule="exact"/>
        <w:rPr>
          <w:rFonts w:ascii="Arial" w:cs="Arial" w:eastAsia="Arial" w:hAnsi="Arial"/>
          <w:sz w:val="18"/>
          <w:szCs w:val="18"/>
          <w:b w:val="1"/>
          <w:bCs w:val="1"/>
          <w:color w:val="auto"/>
        </w:rPr>
      </w:pPr>
    </w:p>
    <w:p>
      <w:pPr>
        <w:ind w:left="660" w:right="9120" w:hanging="328"/>
        <w:spacing w:after="0" w:line="601" w:lineRule="auto"/>
        <w:tabs>
          <w:tab w:leader="none" w:pos="66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660" w:hanging="328"/>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48" w:lineRule="exact"/>
        <w:rPr>
          <w:rFonts w:ascii="Arial" w:cs="Arial" w:eastAsia="Arial" w:hAnsi="Arial"/>
          <w:sz w:val="18"/>
          <w:szCs w:val="18"/>
          <w:b w:val="1"/>
          <w:bCs w:val="1"/>
          <w:color w:val="auto"/>
        </w:rPr>
      </w:pPr>
    </w:p>
    <w:p>
      <w:pPr>
        <w:ind w:left="660" w:hanging="328"/>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52" w:lineRule="exact"/>
        <w:rPr>
          <w:sz w:val="20"/>
          <w:szCs w:val="20"/>
          <w:color w:val="auto"/>
        </w:rPr>
      </w:pPr>
    </w:p>
    <w:p>
      <w:pPr>
        <w:jc w:val="both"/>
        <w:ind w:left="660" w:right="9600" w:hanging="328"/>
        <w:spacing w:after="0" w:line="581" w:lineRule="auto"/>
        <w:tabs>
          <w:tab w:leader="none" w:pos="66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660" w:hanging="328"/>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registration number with the Israeli Registrar of Companies is 513195420. Our purpose as set forth in our articles is to engage in any lawful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described under “ITEM 6.C Board Practices— External Directors.”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6" w:name="page87"/>
    <w:bookmarkEnd w:id="86"/>
    <w:p>
      <w:pPr>
        <w:ind w:firstLine="648"/>
        <w:spacing w:after="0" w:line="269" w:lineRule="auto"/>
        <w:rPr>
          <w:sz w:val="20"/>
          <w:szCs w:val="20"/>
          <w:color w:val="auto"/>
        </w:rPr>
      </w:pPr>
      <w:r>
        <w:rPr>
          <w:rFonts w:ascii="Arial" w:cs="Arial" w:eastAsia="Arial" w:hAnsi="Arial"/>
          <w:sz w:val="17"/>
          <w:szCs w:val="17"/>
          <w:color w:val="auto"/>
        </w:rPr>
        <w:t>Under our articles, our board of directors must consist of not less than five but no more than nine directors, including two external directors as required by the Companies Law. Pursuant to our articles, each of our directors, other than the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Companies Law. See “ITEM 6.C Board Practices— External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3"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extraordinary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16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147"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87" w:name="page88"/>
    <w:bookmarkEnd w:id="87"/>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Companies Law and our articles require that notice of any annual general meeting or extraordinary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7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recently adopted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Companies Law and under our articles, shareholders are not permitted to take action by way of written consent in lieu of a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described in “ITEM 6.C. Board Practices—Approval of Related Party Transactions under Israeli Law.” Additionally, (i) the approval and extension of a compensation policy and certain deviations therefrom require the approvals described above under “ITEM 6.C Board Practices— Compensation Committee — Companies Law Requirements,” (ii) the terms of employment or other engagement of the chief executive officer of the company require the approvals described below in this ITEM 10.B under “Disclosure of Personal Interests of an Office Holder and Approval of Certain Transactions” and (iii) the chairman of a company’s board of directors also serving as its chief executive officer require the approvals described above under “ITEM 6.C Board Practices—Board of Directors.”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Under the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a discussion of registration rights that we granted to certain of our existing shareholders prior to our IPO, please see “ITEM 7.B Related Party Transactions— 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9" w:name="page90"/>
    <w:bookmarkEnd w:id="89"/>
    <w:p>
      <w:pPr>
        <w:ind w:firstLine="648"/>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4"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“ITEM 6.C Board Practices —Approval of Related Party Transactions under Israeli Law—Disclosure of Personal Interests of Controlling Shareholders and Approval of Certain Transactions.”)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0" w:name="page91"/>
    <w:bookmarkEnd w:id="90"/>
    <w:p>
      <w:pPr>
        <w:ind w:right="40" w:firstLine="648"/>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We have not entered into any material contract within the two years prior to the date of this annual report, other than contracts entered into in the ordinary course of business, or as otherwise described below in this ITEM 10.C.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for IPO</w:t>
      </w:r>
    </w:p>
    <w:p>
      <w:pPr>
        <w:spacing w:after="0" w:line="229"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We entered into an underwriting agreement, dated March 30, 2015, with Barclays Capital Inc. and Citigroup Global Markets Inc., as representatives of the underwriters for our IPO, with respect to the ordinary shares sold in our IPO. We have agreed to indemnify the underwriters against certain liabilities, including liabilities under the Securities Act, and to contribute to payments the underwriters may be required to make in respect of such liabilities.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Other Material Contracts</w:t>
            </w:r>
          </w:p>
        </w:tc>
        <w:tc>
          <w:tcPr>
            <w:tcW w:w="5600" w:type="dxa"/>
            <w:vAlign w:val="bottom"/>
          </w:tcPr>
          <w:p>
            <w:pPr>
              <w:spacing w:after="0"/>
              <w:rPr>
                <w:sz w:val="20"/>
                <w:szCs w:val="20"/>
                <w:color w:val="auto"/>
              </w:rPr>
            </w:pPr>
          </w:p>
        </w:tc>
      </w:tr>
      <w:tr>
        <w:trPr>
          <w:trHeight w:val="439"/>
        </w:trPr>
        <w:tc>
          <w:tcPr>
            <w:tcW w:w="5820" w:type="dxa"/>
            <w:vAlign w:val="bottom"/>
            <w:gridSpan w:val="2"/>
          </w:tcPr>
          <w:p>
            <w:pPr>
              <w:ind w:left="2100"/>
              <w:spacing w:after="0"/>
              <w:rPr>
                <w:sz w:val="20"/>
                <w:szCs w:val="20"/>
                <w:color w:val="auto"/>
              </w:rPr>
            </w:pPr>
            <w:r>
              <w:rPr>
                <w:rFonts w:ascii="Arial" w:cs="Arial" w:eastAsia="Arial" w:hAnsi="Arial"/>
                <w:sz w:val="18"/>
                <w:szCs w:val="18"/>
                <w:b w:val="1"/>
                <w:bCs w:val="1"/>
                <w:color w:val="auto"/>
              </w:rPr>
              <w:t>Material Contract</w:t>
            </w:r>
          </w:p>
        </w:tc>
        <w:tc>
          <w:tcPr>
            <w:tcW w:w="5600" w:type="dxa"/>
            <w:vAlign w:val="bottom"/>
          </w:tcPr>
          <w:p>
            <w:pPr>
              <w:ind w:left="1580"/>
              <w:spacing w:after="0"/>
              <w:rPr>
                <w:sz w:val="20"/>
                <w:szCs w:val="20"/>
                <w:color w:val="auto"/>
              </w:rPr>
            </w:pPr>
            <w:r>
              <w:rPr>
                <w:rFonts w:ascii="Arial" w:cs="Arial" w:eastAsia="Arial" w:hAnsi="Arial"/>
                <w:sz w:val="18"/>
                <w:szCs w:val="18"/>
                <w:b w:val="1"/>
                <w:bCs w:val="1"/>
                <w:color w:val="auto"/>
              </w:rPr>
              <w:t>Location in This Annual Report</w:t>
            </w:r>
          </w:p>
        </w:tc>
      </w:tr>
      <w:tr>
        <w:trPr>
          <w:trHeight w:val="202"/>
        </w:trPr>
        <w:tc>
          <w:tcPr>
            <w:tcW w:w="56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1"/>
              </w:rPr>
              <w:t>Amended and Restated Investors’ Rights Agreement, dated March 15, 2015,</w:t>
            </w:r>
          </w:p>
        </w:tc>
        <w:tc>
          <w:tcPr>
            <w:tcW w:w="20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“ITEM 7.B. Related Party Transaction—Investors’ Rights Agreement.”</w:t>
            </w:r>
          </w:p>
        </w:tc>
      </w:tr>
      <w:tr>
        <w:trPr>
          <w:trHeight w:val="23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us and the parties thereto</w:t>
            </w:r>
          </w:p>
        </w:tc>
        <w:tc>
          <w:tcPr>
            <w:tcW w:w="56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Agreements and arrangements with, and compensation of, directors and executive officers</w:t>
      </w:r>
    </w:p>
    <w:p>
      <w:pPr>
        <w:spacing w:after="0" w:line="20" w:lineRule="exact"/>
        <w:rPr>
          <w:sz w:val="20"/>
          <w:szCs w:val="20"/>
          <w:color w:val="auto"/>
        </w:rPr>
      </w:pPr>
      <w:r>
        <w:rPr>
          <w:sz w:val="20"/>
          <w:szCs w:val="20"/>
          <w:color w:val="auto"/>
        </w:rPr>
        <w:br w:type="column"/>
      </w:r>
    </w:p>
    <w:p>
      <w:pPr>
        <w:ind w:right="380"/>
        <w:spacing w:after="0" w:line="342" w:lineRule="auto"/>
        <w:rPr>
          <w:sz w:val="20"/>
          <w:szCs w:val="20"/>
          <w:color w:val="auto"/>
        </w:rPr>
      </w:pPr>
      <w:r>
        <w:rPr>
          <w:rFonts w:ascii="Arial" w:cs="Arial" w:eastAsia="Arial" w:hAnsi="Arial"/>
          <w:sz w:val="16"/>
          <w:szCs w:val="16"/>
          <w:color w:val="auto"/>
        </w:rPr>
        <w:t>“ITEM 7.B. Related Party Transactions—Agreements and arrangements with, and compensation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-323215</wp:posOffset>
            </wp:positionV>
            <wp:extent cx="72466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180" w:space="640"/>
            <w:col w:w="56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Compensation Policy</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“ITEM 6.C. Board Practices-Board Committees-Compensation Committee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Compensation Policy.”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OEM Supply Agreement, dated December 3, 2015, between us and FujiFilm</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Dimatix, Inc.</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and Suppliers.”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Amended and Restated Supplier Agreement, dated March 9, 2015, between</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the Registrant and I.T.S. Industrial Technologic Solutions, Ltd.</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Manufacturing Services Agreement, dated as of May 2015, between us and</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Flextronics (Israel) Ltd.</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Office and Parking Space Lease Agreement, dated as of December 17, 2007</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"ITEM 4.D. Property, Plants and Equipment.”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between us and Industrial Building Corporation, as amended</w:t>
            </w:r>
          </w:p>
        </w:tc>
        <w:tc>
          <w:tcPr>
            <w:tcW w:w="5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Exchange Controls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except with respect to citizens of countries which are in a state of war with Israel, is not restricted in any way by our articles or by the laws of the State of Israel.</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Gains Taxes Applicable to Non-Israeli Resident Shareholders.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(26.5% in 2014 and 25.0% in 2016 and thereafter), if generated by a company, or at the rate of 25% if generated by an individual, or 30% in the case of sale of shares by a Substantial Shareholder (i.e., a person who holds, directly or indirectly, alone or together with another,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48% for an individual in 2015).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2" w:name="page93"/>
    <w:bookmarkEnd w:id="92"/>
    <w:p>
      <w:pPr>
        <w:ind w:right="80" w:firstLine="648"/>
        <w:spacing w:after="0" w:line="293" w:lineRule="auto"/>
        <w:rPr>
          <w:sz w:val="20"/>
          <w:szCs w:val="20"/>
          <w:color w:val="auto"/>
        </w:rPr>
      </w:pPr>
      <w:r>
        <w:rPr>
          <w:rFonts w:ascii="Arial" w:cs="Arial" w:eastAsia="Arial" w:hAnsi="Arial"/>
          <w:sz w:val="16"/>
          <w:szCs w:val="16"/>
          <w:color w:val="auto"/>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non-resident maintains in Israel. However, non-Israeli corporations will not be entitled to the foregoing exemption if Israeli residents: (i) have a controlling interest of 25% or more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6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sale, exchange or disposition that can be attributed to a permanent establishment of the shareholder that is maintained in Israel; (ii) the shareholder holds, directly or indirectly, shares representing 10% or more of the voting rights during any part of the 12-month period preceding such sale exchange or other disposition, subject to certain conditions; or</w:t>
      </w:r>
    </w:p>
    <w:p>
      <w:pPr>
        <w:spacing w:after="0" w:line="5" w:lineRule="exact"/>
        <w:rPr>
          <w:sz w:val="20"/>
          <w:szCs w:val="20"/>
          <w:color w:val="auto"/>
        </w:rPr>
      </w:pPr>
    </w:p>
    <w:p>
      <w:pPr>
        <w:ind w:right="60" w:firstLine="8"/>
        <w:spacing w:after="0" w:line="253" w:lineRule="auto"/>
        <w:tabs>
          <w:tab w:leader="none" w:pos="3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9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Israel Tax Authority may require from shareholders who are not liable for Israeli tax to sign declarations in forms specified by that authority or obtain a specific exemption from the Israel Tax Authority to confirm their status as non-Israeli residents, and, in the absence of such declarations or exemptions, may require the purchaser of the shares to withhold taxes at source.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Non-Israeli Shareholders on Receipt of Dividends.</w:t>
      </w:r>
    </w:p>
    <w:p>
      <w:pPr>
        <w:spacing w:after="0" w:line="22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an Preferred Enterprise, unless a reduced rate is provided under an applicable tax treaty (subject to the receipt of a valid certificate from the Israel Tax Authority allowing for a reduced tax rate).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3" w:name="page94"/>
    <w:bookmarkEnd w:id="93"/>
    <w:p>
      <w:pPr>
        <w:ind w:right="120" w:firstLine="648"/>
        <w:spacing w:after="0" w:line="289" w:lineRule="auto"/>
        <w:rPr>
          <w:sz w:val="20"/>
          <w:szCs w:val="20"/>
          <w:color w:val="auto"/>
        </w:rPr>
      </w:pPr>
      <w:r>
        <w:rPr>
          <w:rFonts w:ascii="Arial" w:cs="Arial" w:eastAsia="Arial" w:hAnsi="Arial"/>
          <w:sz w:val="16"/>
          <w:szCs w:val="16"/>
          <w:color w:val="auto"/>
        </w:rPr>
        <w:t>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or a Preferred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or Preferred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Estate and Gift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Tax.</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Beginning on January 1, 2013, an additional tax liability at the rate of 2% was added to the applicable tax rate on the annual taxable income of individuals (whether any such individual is an Israeli resident or non-Israeli resident) exceeding NIS 810,720 (in 2015) which amount is linked to the annual change in the Israeli consumer price index, including, but not limited to, dividends, interest and capital gain.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following is a description of the material U.S. federal income tax consequences to U.S. Holders (as defined below) of the acquisition, ownership and disposition of our ordinary shares. This description addresses only the U.S. federal income tax consequences to holders that were initial purchasers of our ordinary shares in our IPO and that will hold such ordinary shares as capital assets. This description does not address tax considerations applicable to holders that may be subject to special tax rules, including, without limitation:</w:t>
      </w:r>
    </w:p>
    <w:p>
      <w:pPr>
        <w:spacing w:after="0" w:line="187"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that received our ordinary shares as compensation for the performance of services;</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that will hold our ordinary shares as part of a “hedging,” “integrated” or “conversion” transaction or as a position in a “straddle” for U.S. federal income tax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ordinary shares through such an entity;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4" w:name="page95"/>
    <w:bookmarkEnd w:id="94"/>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ordinary shares.</w:t>
      </w:r>
    </w:p>
    <w:p>
      <w:pPr>
        <w:spacing w:after="0" w:line="225" w:lineRule="exact"/>
        <w:rPr>
          <w:sz w:val="20"/>
          <w:szCs w:val="20"/>
          <w:color w:val="auto"/>
        </w:rPr>
      </w:pPr>
    </w:p>
    <w:p>
      <w:pPr>
        <w:ind w:right="1000" w:firstLine="648"/>
        <w:spacing w:after="0" w:line="342" w:lineRule="auto"/>
        <w:rPr>
          <w:sz w:val="20"/>
          <w:szCs w:val="20"/>
          <w:color w:val="auto"/>
        </w:rPr>
      </w:pPr>
      <w:r>
        <w:rPr>
          <w:rFonts w:ascii="Arial" w:cs="Arial" w:eastAsia="Arial" w:hAnsi="Arial"/>
          <w:sz w:val="16"/>
          <w:szCs w:val="16"/>
          <w:color w:val="auto"/>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this description, a “U.S. Holder” is a beneficial owner of our ordinary shares that, for U.S. federal income tax purposes, is:</w:t>
      </w:r>
    </w:p>
    <w:p>
      <w:pPr>
        <w:spacing w:after="0" w:line="237"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ind w:left="980" w:right="300" w:hanging="324"/>
        <w:spacing w:after="0" w:line="264"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Based on certain estimates of our gross income and gross assets and the nature of our business, we may be classified as a passive foreign investment company, or a PFIC, for the taxable year ending December 31, 2014. Our classification as a PFIC may result in material adverse consequences for you if you are a U.S. taxable investor. See “— Passive Foreign Investment Company Considerations.”</w:t>
      </w:r>
    </w:p>
    <w:p>
      <w:pPr>
        <w:spacing w:after="0" w:line="177"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acquiring, owning and disposing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non-U.S. corporation will be classified as a PFIC for federal income tax purposes in any taxable year in which, after applying certain look through rules, either</w:t>
      </w:r>
    </w:p>
    <w:p>
      <w:pPr>
        <w:spacing w:after="0" w:line="170"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225" w:lineRule="exact"/>
        <w:rPr>
          <w:rFonts w:ascii="Arial" w:cs="Arial" w:eastAsia="Arial" w:hAnsi="Arial"/>
          <w:sz w:val="18"/>
          <w:szCs w:val="18"/>
          <w:color w:val="auto"/>
        </w:rPr>
      </w:pPr>
    </w:p>
    <w:p>
      <w:pPr>
        <w:ind w:left="980" w:right="420" w:hanging="324"/>
        <w:spacing w:after="0" w:line="342" w:lineRule="auto"/>
        <w:tabs>
          <w:tab w:leader="none" w:pos="9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95" w:name="page96"/>
    <w:bookmarkEnd w:id="95"/>
    <w:p>
      <w:pPr>
        <w:ind w:firstLine="648"/>
        <w:spacing w:after="0" w:line="254" w:lineRule="auto"/>
        <w:rPr>
          <w:sz w:val="20"/>
          <w:szCs w:val="20"/>
          <w:color w:val="auto"/>
        </w:rPr>
      </w:pPr>
      <w:r>
        <w:rPr>
          <w:rFonts w:ascii="Arial" w:cs="Arial" w:eastAsia="Arial" w:hAnsi="Arial"/>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 (including if we are not classified as a PFIC for the taxable year ending December 31, 2015).</w:t>
      </w:r>
    </w:p>
    <w:p>
      <w:pPr>
        <w:spacing w:after="0" w:line="19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Based on certain estimates of our gross income and gross assets and the nature of our business, we believe that we were not classified as a PFIC for the taxable year ended December 31, 2015, and furthermore do not expect to be classified for the taxable year ending December 31, 2016. Because PFIC status must be determined annually based on tests which are factual in nature, our PFIC status in future years will depend on our income, assets and activities in those years.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2015, provided that such U.S. Holder is eligible to make, and successfully makes, either a “mark-to-market” election or a qualified electing fund election described below for the taxable year in which its holding period begins.</w:t>
      </w:r>
    </w:p>
    <w:p>
      <w:pPr>
        <w:spacing w:after="0" w:line="17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change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spacing w:after="0" w:line="18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have been approved for listing on the NASDAQ Global Market, which is a United States securities exchange that is registered with the SEC. However, no assurance can be given that our ordinary shares will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ind w:firstLine="648"/>
        <w:spacing w:after="0" w:line="271" w:lineRule="auto"/>
        <w:rPr>
          <w:sz w:val="20"/>
          <w:szCs w:val="20"/>
          <w:color w:val="auto"/>
        </w:rPr>
      </w:pPr>
      <w:r>
        <w:rPr>
          <w:rFonts w:ascii="Arial" w:cs="Arial" w:eastAsia="Arial" w:hAnsi="Arial"/>
          <w:sz w:val="17"/>
          <w:szCs w:val="17"/>
          <w:color w:val="auto"/>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spacing w:after="0" w:line="188"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6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7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a U.S. Holder owns our ordinary shares during any year in which we are a PFIC, the U.S. Holder generally will be required to file an IRS Form 8621 with respect to us, generally with the U.S. Holder's federal income tax return for that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Subject to the discussion above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 free return of your adjusted tax basis in our ordinary shares and thereafter as capital gain. We do not expect to maintain calculations of its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spacing w:after="0" w:line="1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7" w:name="page98"/>
    <w:bookmarkEnd w:id="97"/>
    <w:p>
      <w:pPr>
        <w:ind w:firstLine="648"/>
        <w:spacing w:after="0" w:line="270" w:lineRule="auto"/>
        <w:rPr>
          <w:sz w:val="20"/>
          <w:szCs w:val="20"/>
          <w:color w:val="auto"/>
        </w:rPr>
      </w:pPr>
      <w:r>
        <w:rPr>
          <w:rFonts w:ascii="Arial" w:cs="Arial" w:eastAsia="Arial" w:hAnsi="Arial"/>
          <w:sz w:val="17"/>
          <w:szCs w:val="17"/>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8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Ordinary Shares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6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an Israeli tax is imposed on the sale or other disposition of our ordinary shares, your amount realized will include the gross amount of the proceeds of the sale or other disposition before deduction of the Israeli tax. Because your gain from the sale or other disposition of our ordinary shares will generally be U.S.-source gain, and you may use foreign tax credits to offset only the portion of U.S. federal income tax liability that is attributable to foreign source income, you may be unable to claim a foreign tax credit with respect to the Israeli tax, if any, on gains. You should consult your tax adviser as to whether the Israeli tax on gains may be creditable against your U.S. federal income tax on foreign-source income from other 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Foreign Currency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spacing w:after="0" w:line="177" w:lineRule="exact"/>
        <w:rPr>
          <w:sz w:val="20"/>
          <w:szCs w:val="20"/>
          <w:color w:val="auto"/>
        </w:rPr>
      </w:pPr>
    </w:p>
    <w:p>
      <w:pPr>
        <w:ind w:right="640" w:firstLine="648"/>
        <w:spacing w:after="0" w:line="347" w:lineRule="auto"/>
        <w:rPr>
          <w:sz w:val="20"/>
          <w:szCs w:val="20"/>
          <w:color w:val="auto"/>
        </w:rPr>
      </w:pPr>
      <w:r>
        <w:rPr>
          <w:rFonts w:ascii="Arial" w:cs="Arial" w:eastAsia="Arial" w:hAnsi="Arial"/>
          <w:sz w:val="16"/>
          <w:szCs w:val="16"/>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116" w:lineRule="exact"/>
        <w:rPr>
          <w:sz w:val="20"/>
          <w:szCs w:val="20"/>
          <w:color w:val="auto"/>
        </w:rPr>
      </w:pPr>
    </w:p>
    <w:p>
      <w:pPr>
        <w:ind w:left="660" w:right="8460" w:hanging="328"/>
        <w:spacing w:after="0" w:line="501" w:lineRule="auto"/>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660" w:right="9060" w:hanging="328"/>
        <w:spacing w:after="0" w:line="563" w:lineRule="auto"/>
        <w:tabs>
          <w:tab w:leader="none" w:pos="6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328"/>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file with the SEC, within 120 days after the end of each subsequent fiscal year, an annual report on Form 20-F containing financial statements which will be examined and reported on, with an opinion expressed, by an independent public accounting firm. We also intend to furnish to the SEC reports on Form 6-K containing quarterly unaudited financial information for the first three quarters of each fiscal year.</w:t>
      </w:r>
    </w:p>
    <w:p>
      <w:pPr>
        <w:spacing w:after="0" w:line="17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 xml:space="preserve">You may read and copy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 As permitted under NASDAQ Stock Market Rule 5250(d)(1)(C), we will post our annual reports filed with the SEC on our website at </w:t>
      </w:r>
      <w:r>
        <w:rPr>
          <w:rFonts w:ascii="Arial" w:cs="Arial" w:eastAsia="Arial" w:hAnsi="Arial"/>
          <w:sz w:val="16"/>
          <w:szCs w:val="16"/>
          <w:u w:val="single" w:color="auto"/>
          <w:color w:val="auto"/>
        </w:rPr>
        <w:t>http://www.kornit.com.</w:t>
      </w:r>
      <w:r>
        <w:rPr>
          <w:rFonts w:ascii="Arial" w:cs="Arial" w:eastAsia="Arial" w:hAnsi="Arial"/>
          <w:sz w:val="16"/>
          <w:szCs w:val="16"/>
          <w:color w:val="auto"/>
        </w:rPr>
        <w:t xml:space="preserve"> We will furnish hard copies of such reports to our shareholders upon request free of charge. The information contained on our website is not part of this or any other report filed with or furnished to the SEC.</w:t>
      </w:r>
    </w:p>
    <w:p>
      <w:pPr>
        <w:spacing w:after="0" w:line="163" w:lineRule="exact"/>
        <w:rPr>
          <w:sz w:val="20"/>
          <w:szCs w:val="20"/>
          <w:color w:val="auto"/>
        </w:rPr>
      </w:pPr>
    </w:p>
    <w:p>
      <w:pPr>
        <w:ind w:left="660" w:right="8940" w:hanging="328"/>
        <w:spacing w:after="0" w:line="563" w:lineRule="auto"/>
        <w:tabs>
          <w:tab w:leader="none" w:pos="66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Risks</w:t>
      </w:r>
      <w:r>
        <w:rPr>
          <w:rFonts w:ascii="Arial" w:cs="Arial" w:eastAsia="Arial" w:hAnsi="Arial"/>
          <w:sz w:val="16"/>
          <w:szCs w:val="16"/>
          <w:b w:val="1"/>
          <w:bCs w:val="1"/>
          <w:color w:val="auto"/>
        </w:rPr>
        <w:t>.</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2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We monitor rolling forecasts of our liquidity reserve (comprising cash and cash equivalents and deposits). This is generally carried out based on the expected cash flows in accordance with practice and limits set by our management. We are in the research and development stage and have not yet generated any revenue from sales of our product candidates; we are therefore exposed to liquidity risk. However, we believe that our existing cash and cash equivalents, will enable us to fund our operating expenses and capital expenditure requirements for at least the next 12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Due to our international operations, currency exchange rates impact our financial performance. In 2015, approximately 84% of our revenues were denominated in U.S. dollars and 15.0% of our revenues were denominated in Euros. Conversely, in 2015, approximately 66%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 changes in the exchange rates of the NIS and the Euro against the U.S. dollar: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Change in Average</w:t>
            </w:r>
          </w:p>
        </w:tc>
      </w:tr>
      <w:tr>
        <w:trPr>
          <w:trHeight w:val="241"/>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Exchange Rate</w:t>
            </w:r>
          </w:p>
        </w:tc>
      </w:tr>
      <w:tr>
        <w:trPr>
          <w:trHeight w:val="198"/>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8"/>
              </w:rPr>
              <w:t>U.S. Dollar</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U.S. Dollar</w:t>
            </w:r>
          </w:p>
        </w:tc>
        <w:tc>
          <w:tcPr>
            <w:tcW w:w="100" w:type="dxa"/>
            <w:vAlign w:val="bottom"/>
          </w:tcPr>
          <w:p>
            <w:pPr>
              <w:spacing w:after="0"/>
              <w:rPr>
                <w:sz w:val="17"/>
                <w:szCs w:val="17"/>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against the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against the</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NIS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Euro</w:t>
            </w:r>
          </w:p>
        </w:tc>
      </w:tr>
      <w:tr>
        <w:trPr>
          <w:trHeight w:val="241"/>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figures above represent the change in the average exchange rate in the given period compared to the average exchange rate in the immediately preceding period. Negative figures represent depreciation of the U.S. dollar compared to the NIS and positive figures represent appreciation of the U.S. dollar compared to the NIS. We estimate that a 10% increase or decrease in the value of the NIS against the U.S. dollar would have decreased or increased our net income by approximately $3.6 million in 2014 and by approximately $3.2 million in 2015. We estimate that a 10% increase or decrease in the value of the Euro against the U.S. dollar would have decreased or increased our net income by approximately $1.1 million in 2014 and by approximately $0.7 million in 2015.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spacing w:after="0" w:line="16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81"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2015, we entered into forward and option contracts to hedge against the risk of overall changes in future cash flow from payments of payroll and related expenses denominated in NIS.</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Description of Securities Other than Equity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Defaults, Dividend Arrearages and Delinquencies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u w:val="single" w:color="auto"/>
          <w:color w:val="auto"/>
        </w:rPr>
        <w:t>Material Modifications to the Rights of Security Holders and Use of Proceeds</w:t>
      </w:r>
      <w:r>
        <w:rPr>
          <w:rFonts w:ascii="Arial" w:cs="Arial" w:eastAsia="Arial" w:hAnsi="Arial"/>
          <w:sz w:val="16"/>
          <w:szCs w:val="16"/>
          <w:b w:val="1"/>
          <w:bCs w:val="1"/>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effective date of the registration statement (File No. 333-202291) for our IPO was April 1, 2015. The offering commenced on March 18, 2015 and was closed on April 8, 2015. Barclays Capital Inc. and Citigroup Global Markets Inc. were joint book-running managers and representatives of the underwriters for the offering. Barclays Capital Inc., Citigroup Global Markets Inc., William Blair &amp; Company, L.L.C., Stifel, Nicolaus &amp; Company, Incorporated, Canaccord Genuity Inc. and Needham &amp; Company, LLC were the underwriters for the offering. We registered 7,100,000 ordinary shares in the offering and granted the underwriters a 30-day over-allotment option to purchase up to 1,065,000 additional shares from us to cover over-allotments. The over-allotment was exercised in full by the underwriters.</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At the closing of the IPO, we issued and sold a total of 8,165,000 ordinary shares at a price per share of $10.00 with aggregate gross proceeds of $81.7 million. Under the terms of the offering, we incurred aggregate underwriting discounts of approximately $5.7 million and expenses of approximately $2.4 million in connection with the offering, resulting in net proceeds to us of approximately $73.5 million.</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From the effective date of the registration statement and until December 31, 2015, we had used $3.6 million of the net proceeds of the IPO for working capital.</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expect to use the balance of the net proceeds for working capital and general corporate purposes. The above may change based on the growth of our business.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None of the net proceeds of the offering was paid directly or indirectly to any director or officer, of ours or to their associates, persons owning ten percent or more of any class of our equity securities, or to any of our affiliates.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Controls and Procedures</w:t>
      </w:r>
      <w:r>
        <w:rPr>
          <w:rFonts w:ascii="Arial" w:cs="Arial" w:eastAsia="Arial" w:hAnsi="Arial"/>
          <w:sz w:val="16"/>
          <w:szCs w:val="16"/>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management evaluated, with the participation of our principal executive officer and principal financial officer, the effectiveness of our disclosure controls and procedures (as defined in Rules 13a-15(e) and 15d-15(e) under the Exchange Act), as of December 31, 2015. Based on their evaluation, our principal executive officer and principal financial officer concluded that as of December 31, 2015,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1" w:name="page102"/>
    <w:bookmarkEnd w:id="101"/>
    <w:p>
      <w:pPr>
        <w:spacing w:after="0" w:line="282" w:lineRule="auto"/>
        <w:rPr>
          <w:sz w:val="20"/>
          <w:szCs w:val="20"/>
          <w:color w:val="auto"/>
        </w:rPr>
      </w:pPr>
      <w:r>
        <w:rPr>
          <w:rFonts w:ascii="Arial" w:cs="Arial" w:eastAsia="Arial" w:hAnsi="Arial"/>
          <w:sz w:val="18"/>
          <w:szCs w:val="18"/>
          <w:b w:val="1"/>
          <w:bCs w:val="1"/>
          <w:color w:val="auto"/>
        </w:rPr>
        <w:t>(b)-(c) Management annual report on internal control over financial reporting and attestation report of the independent registered public accounting firm</w:t>
      </w:r>
    </w:p>
    <w:p>
      <w:pPr>
        <w:spacing w:after="0" w:line="16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This annual report does not include a report of management’s assessment regarding internal control over financial reporting or an attestation report of the company’s independent registered public accounting firm due to the transition period established by rules of the SEC for newly public companies.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u w:val="single" w:color="auto"/>
          <w:color w:val="auto"/>
        </w:rPr>
        <w:t>[Reserved]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u w:val="single" w:color="auto"/>
          <w:color w:val="auto"/>
        </w:rPr>
        <w:t>Audit Committee Financial Expert</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board of directors has determined that each of Lauri Hanover and Jerry Mandel, who serves on the audit committee of our board of directors and who meets the “independent director” definition under the NASDAQ Listing Rules, qualifies as an “audit committee financial expert,” as defined under the rules and regulations of the SEC, as well as our external director with “accounting and financial expertise” under the Companies Law.</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u w:val="single" w:color="auto"/>
          <w:color w:val="auto"/>
        </w:rPr>
        <w:t>Code of Ethics</w:t>
      </w:r>
      <w:r>
        <w:rPr>
          <w:rFonts w:ascii="Arial" w:cs="Arial" w:eastAsia="Arial" w:hAnsi="Arial"/>
          <w:sz w:val="15"/>
          <w:szCs w:val="15"/>
          <w:b w:val="1"/>
          <w:bCs w:val="1"/>
          <w:color w:val="auto"/>
        </w:rPr>
        <w: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have adopted a code of ethics and business conduct applicable to our executive officers, directors and all other employees. A copy of the code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 (i) on our website within five business days following the date of amendment or waiver in accordance with the requirements of Instruction 4 to such Item 16B or (ii) through the filing of a Form 6-K. No such amendment was adopted, nor waiver provided, by us during the fiscal year ended December 31, 2015.</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u w:val="single" w:color="auto"/>
          <w:color w:val="auto"/>
        </w:rPr>
        <w:t>Principal Accountant Fees and Services</w:t>
      </w:r>
      <w:r>
        <w:rPr>
          <w:rFonts w:ascii="Arial" w:cs="Arial" w:eastAsia="Arial" w:hAnsi="Arial"/>
          <w:sz w:val="15"/>
          <w:szCs w:val="15"/>
          <w:b w:val="1"/>
          <w:bCs w:val="1"/>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paid the following fees for professional services rendered by Kost Forer Gabbay &amp; Kasierer, a member of Ernst &amp; Young Global, an independent registered public accounting firm, for the years ended December 31, 2014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00" w:type="dxa"/>
            <w:vAlign w:val="bottom"/>
            <w:tcBorders>
              <w:bottom w:val="single" w:sz="8" w:color="CCEEFF"/>
            </w:tcBorders>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Audit-Related Fees</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All Other Fees</w:t>
            </w:r>
          </w:p>
        </w:tc>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7"/>
        </w:trPr>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vMerge w:val="continue"/>
            <w:shd w:val="clear" w:color="auto" w:fill="CCEEFF"/>
          </w:tcPr>
          <w:p>
            <w:pPr>
              <w:spacing w:after="0"/>
              <w:rPr>
                <w:sz w:val="21"/>
                <w:szCs w:val="21"/>
                <w:color w:val="auto"/>
              </w:rPr>
            </w:pPr>
          </w:p>
        </w:tc>
        <w:tc>
          <w:tcPr>
            <w:tcW w:w="3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267,000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548,000</w:t>
            </w:r>
          </w:p>
        </w:tc>
        <w:tc>
          <w:tcPr>
            <w:tcW w:w="0" w:type="dxa"/>
            <w:vAlign w:val="bottom"/>
          </w:tcPr>
          <w:p>
            <w:pPr>
              <w:spacing w:after="0"/>
              <w:rPr>
                <w:sz w:val="1"/>
                <w:szCs w:val="1"/>
                <w:color w:val="auto"/>
              </w:rPr>
            </w:pPr>
          </w:p>
        </w:tc>
      </w:tr>
      <w:tr>
        <w:trPr>
          <w:trHeight w:val="21"/>
        </w:trPr>
        <w:tc>
          <w:tcPr>
            <w:tcW w:w="51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ind w:right="20"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fees” include fees for services rendered by our independent registered public accounting firm with respect to government incentives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u w:val="single" w:color="auto"/>
          <w:color w:val="auto"/>
        </w:rPr>
        <w:t>Exemptions from the Listing Standards for Audit Committees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u w:val="single" w:color="auto"/>
          <w:color w:val="auto"/>
        </w:rPr>
        <w:t>Purchases of Equity Securities by the Issuer and Affiliated Purchasers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u w:val="single" w:color="auto"/>
          <w:color w:val="auto"/>
        </w:rPr>
        <w:t>Change in Registrant’s Certifying Accountant</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u w:val="single" w:color="auto"/>
          <w:color w:val="auto"/>
        </w:rPr>
        <w:t>Corporate Governance</w:t>
      </w:r>
      <w:r>
        <w:rPr>
          <w:rFonts w:ascii="Arial" w:cs="Arial" w:eastAsia="Arial" w:hAnsi="Arial"/>
          <w:sz w:val="16"/>
          <w:szCs w:val="16"/>
          <w:b w:val="1"/>
          <w:bCs w:val="1"/>
          <w:color w:val="auto"/>
        </w:rPr>
        <w:t>.</w:t>
      </w:r>
    </w:p>
    <w:p>
      <w:pPr>
        <w:spacing w:after="0" w:line="229"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ITEM 16G of Form 20-F.</w:t>
      </w:r>
    </w:p>
    <w:p>
      <w:pPr>
        <w:spacing w:after="0" w:line="178" w:lineRule="exact"/>
        <w:rPr>
          <w:sz w:val="20"/>
          <w:szCs w:val="20"/>
          <w:color w:val="auto"/>
        </w:rPr>
      </w:pPr>
    </w:p>
    <w:p>
      <w:pPr>
        <w:ind w:left="980" w:right="300" w:hanging="324"/>
        <w:spacing w:after="0" w:line="308"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Quorum requirement for shareholder meetings</w:t>
      </w:r>
      <w:r>
        <w:rPr>
          <w:rFonts w:ascii="Arial" w:cs="Arial" w:eastAsia="Arial" w:hAnsi="Arial"/>
          <w:sz w:val="16"/>
          <w:szCs w:val="16"/>
          <w:color w:val="auto"/>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issued share capital required under the NASDAQ Listing Rules.</w:t>
      </w:r>
    </w:p>
    <w:p>
      <w:pPr>
        <w:spacing w:after="0" w:line="42" w:lineRule="exact"/>
        <w:rPr>
          <w:rFonts w:ascii="Arial" w:cs="Arial" w:eastAsia="Arial" w:hAnsi="Arial"/>
          <w:sz w:val="16"/>
          <w:szCs w:val="16"/>
          <w:color w:val="auto"/>
        </w:rPr>
      </w:pPr>
    </w:p>
    <w:p>
      <w:pPr>
        <w:ind w:left="980" w:hanging="324"/>
        <w:spacing w:after="0" w:line="297"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Nomination of directors</w:t>
      </w:r>
      <w:r>
        <w:rPr>
          <w:rFonts w:ascii="Arial" w:cs="Arial" w:eastAsia="Arial" w:hAnsi="Arial"/>
          <w:sz w:val="16"/>
          <w:szCs w:val="16"/>
          <w:color w:val="auto"/>
        </w:rPr>
        <w:t>. With the exception of external directors and directors elected by our board of directors due to vacancy, our directors are elected by an annual meeting of our shareholders to hold office until the next annual meeting following one year from his or her election. The nominations for directors, which are presented to our shareholders by our board of directors, are generally made by the board of directors itself, in accordance with the provisions of our articles of association and the Israeli Companies Law. Nominations need not be made by a nominating committee of our board of directors consisting solely of independent directors or otherwise, as required under the NASDAQ Listing Rules.</w:t>
      </w:r>
    </w:p>
    <w:p>
      <w:pPr>
        <w:spacing w:after="0" w:line="158" w:lineRule="exact"/>
        <w:rPr>
          <w:rFonts w:ascii="Arial" w:cs="Arial" w:eastAsia="Arial" w:hAnsi="Arial"/>
          <w:sz w:val="16"/>
          <w:szCs w:val="16"/>
          <w:color w:val="auto"/>
        </w:rPr>
      </w:pPr>
    </w:p>
    <w:p>
      <w:pPr>
        <w:ind w:left="980" w:hanging="324"/>
        <w:spacing w:after="0" w:line="312" w:lineRule="auto"/>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Majority of independent directors</w:t>
      </w:r>
      <w:r>
        <w:rPr>
          <w:rFonts w:ascii="Arial" w:cs="Arial" w:eastAsia="Arial" w:hAnsi="Arial"/>
          <w:sz w:val="16"/>
          <w:szCs w:val="16"/>
          <w:color w:val="auto"/>
        </w:rPr>
        <w:t>. Under the Companies Law, we are only required to appoint at least two external directors, within the meaning of the Companies Law, to our board of directors. Currently, four of our directors (of which two are external directors, within the meaning of the Companies Law) qualify as independent directors under the rules of the U.S. federal securities laws and the NASDAQ Listing Rules.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03" w:name="page104"/>
    <w:bookmarkEnd w:id="103"/>
    <w:p>
      <w:pPr>
        <w:spacing w:after="0"/>
        <w:tabs>
          <w:tab w:leader="none" w:pos="114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u w:val="single" w:color="auto"/>
          <w:color w:val="auto"/>
        </w:rPr>
        <w:t>Mine Safety Disclosure</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right"/>
        <w:ind w:right="4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u w:val="single" w:color="auto"/>
          <w:color w:val="auto"/>
        </w:rPr>
        <w:t>Financial Statements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pages F-2 through F-38 appended hereto.</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u w:val="single" w:color="auto"/>
          <w:color w:val="auto"/>
        </w:rPr>
        <w:t>Exhibits</w:t>
      </w:r>
      <w:r>
        <w:rPr>
          <w:rFonts w:ascii="Arial" w:cs="Arial" w:eastAsia="Arial" w:hAnsi="Arial"/>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the exhibit index incorporated herein by reference.</w:t>
      </w:r>
    </w:p>
    <w:p>
      <w:pPr>
        <w:spacing w:after="0" w:line="200" w:lineRule="exact"/>
        <w:rPr>
          <w:sz w:val="20"/>
          <w:szCs w:val="20"/>
          <w:color w:val="auto"/>
        </w:rPr>
      </w:pPr>
    </w:p>
    <w:p>
      <w:pPr>
        <w:spacing w:after="0" w:line="23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Guy Avidan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2016</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12"/>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392"/>
        <w:spacing w:after="0"/>
        <w:rPr>
          <w:sz w:val="20"/>
          <w:szCs w:val="20"/>
          <w:color w:val="auto"/>
        </w:rPr>
      </w:pPr>
      <w:r>
        <w:rPr>
          <w:rFonts w:ascii="Arial" w:cs="Arial" w:eastAsia="Arial" w:hAnsi="Arial"/>
          <w:sz w:val="18"/>
          <w:szCs w:val="18"/>
          <w:b w:val="1"/>
          <w:bCs w:val="1"/>
          <w:color w:val="auto"/>
        </w:rPr>
        <w:t>No.</w:t>
      </w:r>
    </w:p>
    <w:p>
      <w:pPr>
        <w:spacing w:after="0" w:line="22" w:lineRule="exact"/>
        <w:rPr>
          <w:sz w:val="20"/>
          <w:szCs w:val="20"/>
          <w:color w:val="auto"/>
        </w:rPr>
      </w:pPr>
    </w:p>
    <w:p>
      <w:pPr>
        <w:ind w:left="412"/>
        <w:spacing w:after="0"/>
        <w:rPr>
          <w:sz w:val="20"/>
          <w:szCs w:val="20"/>
          <w:color w:val="auto"/>
        </w:rPr>
      </w:pPr>
      <w:r>
        <w:rPr>
          <w:rFonts w:ascii="Arial" w:cs="Arial" w:eastAsia="Arial" w:hAnsi="Arial"/>
          <w:sz w:val="18"/>
          <w:szCs w:val="18"/>
          <w:color w:val="auto"/>
        </w:rPr>
        <w:t>1.1</w:t>
      </w:r>
    </w:p>
    <w:p>
      <w:pPr>
        <w:spacing w:after="0" w:line="5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2.1</w:t>
      </w:r>
    </w:p>
    <w:p>
      <w:pPr>
        <w:spacing w:after="0" w:line="5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412"/>
        <w:spacing w:after="0"/>
        <w:rPr>
          <w:sz w:val="20"/>
          <w:szCs w:val="20"/>
          <w:color w:val="auto"/>
        </w:rPr>
      </w:pPr>
      <w:r>
        <w:rPr>
          <w:rFonts w:ascii="Arial" w:cs="Arial" w:eastAsia="Arial" w:hAnsi="Arial"/>
          <w:sz w:val="18"/>
          <w:szCs w:val="18"/>
          <w:color w:val="auto"/>
        </w:rPr>
        <w:t>4.2</w:t>
      </w:r>
    </w:p>
    <w:p>
      <w:pPr>
        <w:spacing w:after="0" w:line="5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4.4</w:t>
      </w:r>
    </w:p>
    <w:p>
      <w:pPr>
        <w:spacing w:after="0" w:line="5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4.8</w:t>
      </w:r>
    </w:p>
    <w:p>
      <w:pPr>
        <w:spacing w:after="0" w:line="266" w:lineRule="exact"/>
        <w:rPr>
          <w:sz w:val="20"/>
          <w:szCs w:val="20"/>
          <w:color w:val="auto"/>
        </w:rPr>
      </w:pPr>
    </w:p>
    <w:p>
      <w:pPr>
        <w:ind w:left="412"/>
        <w:spacing w:after="0"/>
        <w:rPr>
          <w:sz w:val="20"/>
          <w:szCs w:val="20"/>
          <w:color w:val="auto"/>
        </w:rPr>
      </w:pPr>
      <w:r>
        <w:rPr>
          <w:rFonts w:ascii="Arial" w:cs="Arial" w:eastAsia="Arial" w:hAnsi="Arial"/>
          <w:sz w:val="18"/>
          <w:szCs w:val="18"/>
          <w:color w:val="auto"/>
        </w:rPr>
        <w:t>4.9</w:t>
      </w:r>
    </w:p>
    <w:p>
      <w:pPr>
        <w:spacing w:after="0" w:line="50" w:lineRule="exact"/>
        <w:rPr>
          <w:sz w:val="20"/>
          <w:szCs w:val="20"/>
          <w:color w:val="auto"/>
        </w:rPr>
      </w:pPr>
    </w:p>
    <w:p>
      <w:pPr>
        <w:ind w:left="372"/>
        <w:spacing w:after="0"/>
        <w:rPr>
          <w:sz w:val="20"/>
          <w:szCs w:val="20"/>
          <w:color w:val="auto"/>
        </w:rPr>
      </w:pPr>
      <w:r>
        <w:rPr>
          <w:rFonts w:ascii="Arial" w:cs="Arial" w:eastAsia="Arial" w:hAnsi="Arial"/>
          <w:sz w:val="18"/>
          <w:szCs w:val="18"/>
          <w:color w:val="auto"/>
        </w:rPr>
        <w:t>4.10</w:t>
      </w:r>
    </w:p>
    <w:p>
      <w:pPr>
        <w:spacing w:after="0" w:line="50" w:lineRule="exact"/>
        <w:rPr>
          <w:sz w:val="20"/>
          <w:szCs w:val="20"/>
          <w:color w:val="auto"/>
        </w:rPr>
      </w:pPr>
    </w:p>
    <w:p>
      <w:pPr>
        <w:ind w:left="412"/>
        <w:spacing w:after="0"/>
        <w:rPr>
          <w:sz w:val="20"/>
          <w:szCs w:val="20"/>
          <w:color w:val="auto"/>
        </w:rPr>
      </w:pPr>
      <w:r>
        <w:rPr>
          <w:rFonts w:ascii="Arial" w:cs="Arial" w:eastAsia="Arial" w:hAnsi="Arial"/>
          <w:sz w:val="18"/>
          <w:szCs w:val="18"/>
          <w:color w:val="auto"/>
        </w:rPr>
        <w:t>8.1</w:t>
      </w:r>
    </w:p>
    <w:p>
      <w:pPr>
        <w:spacing w:after="0" w:line="23" w:lineRule="exact"/>
        <w:rPr>
          <w:sz w:val="20"/>
          <w:szCs w:val="20"/>
          <w:color w:val="auto"/>
        </w:rPr>
      </w:pPr>
    </w:p>
    <w:p>
      <w:pPr>
        <w:ind w:left="372"/>
        <w:spacing w:after="0"/>
        <w:rPr>
          <w:sz w:val="20"/>
          <w:szCs w:val="20"/>
          <w:color w:val="auto"/>
        </w:rPr>
      </w:pPr>
      <w:r>
        <w:rPr>
          <w:rFonts w:ascii="Arial" w:cs="Arial" w:eastAsia="Arial" w:hAnsi="Arial"/>
          <w:sz w:val="18"/>
          <w:szCs w:val="18"/>
          <w:color w:val="auto"/>
        </w:rPr>
        <w:t>12.1</w:t>
      </w:r>
    </w:p>
    <w:p>
      <w:pPr>
        <w:spacing w:after="0" w:line="211" w:lineRule="exact"/>
        <w:rPr>
          <w:sz w:val="20"/>
          <w:szCs w:val="20"/>
          <w:color w:val="auto"/>
        </w:rPr>
      </w:pPr>
    </w:p>
    <w:p>
      <w:pPr>
        <w:ind w:left="372"/>
        <w:spacing w:after="0"/>
        <w:rPr>
          <w:sz w:val="20"/>
          <w:szCs w:val="20"/>
          <w:color w:val="auto"/>
        </w:rPr>
      </w:pPr>
      <w:r>
        <w:rPr>
          <w:rFonts w:ascii="Arial" w:cs="Arial" w:eastAsia="Arial" w:hAnsi="Arial"/>
          <w:sz w:val="18"/>
          <w:szCs w:val="18"/>
          <w:color w:val="auto"/>
        </w:rPr>
        <w:t>12.2</w:t>
      </w:r>
    </w:p>
    <w:p>
      <w:pPr>
        <w:spacing w:after="0" w:line="225" w:lineRule="exact"/>
        <w:rPr>
          <w:sz w:val="20"/>
          <w:szCs w:val="20"/>
          <w:color w:val="auto"/>
        </w:rPr>
      </w:pPr>
    </w:p>
    <w:p>
      <w:pPr>
        <w:ind w:left="372"/>
        <w:spacing w:after="0"/>
        <w:rPr>
          <w:sz w:val="20"/>
          <w:szCs w:val="20"/>
          <w:color w:val="auto"/>
        </w:rPr>
      </w:pPr>
      <w:r>
        <w:rPr>
          <w:rFonts w:ascii="Arial" w:cs="Arial" w:eastAsia="Arial" w:hAnsi="Arial"/>
          <w:sz w:val="18"/>
          <w:szCs w:val="18"/>
          <w:color w:val="auto"/>
        </w:rPr>
        <w:t>13.1</w:t>
      </w:r>
    </w:p>
    <w:p>
      <w:pPr>
        <w:spacing w:after="0" w:line="225" w:lineRule="exact"/>
        <w:rPr>
          <w:sz w:val="20"/>
          <w:szCs w:val="20"/>
          <w:color w:val="auto"/>
        </w:rPr>
      </w:pPr>
    </w:p>
    <w:p>
      <w:pPr>
        <w:ind w:left="372"/>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br w:type="column"/>
      </w:r>
    </w:p>
    <w:p>
      <w:pPr>
        <w:jc w:val="center"/>
        <w:ind w:right="1080"/>
        <w:spacing w:after="0"/>
        <w:rPr>
          <w:sz w:val="20"/>
          <w:szCs w:val="20"/>
          <w:color w:val="auto"/>
        </w:rPr>
      </w:pPr>
      <w:r>
        <w:rPr>
          <w:rFonts w:ascii="Arial" w:cs="Arial" w:eastAsia="Arial" w:hAnsi="Arial"/>
          <w:sz w:val="18"/>
          <w:szCs w:val="18"/>
          <w:b w:val="1"/>
          <w:bCs w:val="1"/>
          <w:color w:val="auto"/>
        </w:rPr>
        <w:t>ANNUAL REPORT ON FORM 20-F</w:t>
      </w:r>
    </w:p>
    <w:p>
      <w:pPr>
        <w:spacing w:after="0" w:line="27"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INDEX OF EXHIBITS</w:t>
      </w:r>
    </w:p>
    <w:p>
      <w:pPr>
        <w:spacing w:after="0" w:line="200" w:lineRule="exact"/>
        <w:rPr>
          <w:sz w:val="20"/>
          <w:szCs w:val="20"/>
          <w:color w:val="auto"/>
        </w:rPr>
      </w:pPr>
    </w:p>
    <w:p>
      <w:pPr>
        <w:spacing w:after="0" w:line="22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17145</wp:posOffset>
            </wp:positionV>
            <wp:extent cx="724662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8"/>
          <w:szCs w:val="18"/>
          <w:color w:val="auto"/>
        </w:rPr>
        <w:t>Amended and Restated Articles of Association of Kornit Digital Ltd.</w:t>
      </w:r>
      <w:r>
        <w:rPr>
          <w:rFonts w:ascii="Arial" w:cs="Arial" w:eastAsia="Arial" w:hAnsi="Arial"/>
          <w:sz w:val="30"/>
          <w:szCs w:val="30"/>
          <w:color w:val="auto"/>
          <w:vertAlign w:val="superscript"/>
        </w:rPr>
        <w:t>(1)</w:t>
      </w:r>
    </w:p>
    <w:p>
      <w:pPr>
        <w:spacing w:after="0" w:line="185" w:lineRule="auto"/>
        <w:rPr>
          <w:sz w:val="20"/>
          <w:szCs w:val="20"/>
          <w:color w:val="auto"/>
        </w:rPr>
      </w:pPr>
      <w:r>
        <w:rPr>
          <w:rFonts w:ascii="Arial" w:cs="Arial" w:eastAsia="Arial" w:hAnsi="Arial"/>
          <w:sz w:val="18"/>
          <w:szCs w:val="18"/>
          <w:color w:val="auto"/>
        </w:rPr>
        <w:t>Specimen ordinary share certificate of Kornit Digital Ltd.</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3003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5" w:lineRule="auto"/>
        <w:rPr>
          <w:sz w:val="20"/>
          <w:szCs w:val="20"/>
          <w:color w:val="auto"/>
        </w:rPr>
      </w:pPr>
      <w:r>
        <w:rPr>
          <w:rFonts w:ascii="Arial" w:cs="Arial" w:eastAsia="Arial" w:hAnsi="Arial"/>
          <w:sz w:val="18"/>
          <w:szCs w:val="18"/>
          <w:color w:val="auto"/>
        </w:rPr>
        <w:t xml:space="preserve">Amended and Restated Investors’ Rights Agreement, dated March 18, 2015, by and among Kornit Digital Ltd. and certain of the Registrant’s shareholders </w:t>
      </w:r>
      <w:r>
        <w:rPr>
          <w:rFonts w:ascii="Arial" w:cs="Arial" w:eastAsia="Arial" w:hAnsi="Arial"/>
          <w:sz w:val="30"/>
          <w:szCs w:val="30"/>
          <w:color w:val="auto"/>
          <w:vertAlign w:val="superscript"/>
        </w:rPr>
        <w:t>(2)</w:t>
      </w:r>
    </w:p>
    <w:p>
      <w:pPr>
        <w:spacing w:after="0" w:line="185" w:lineRule="auto"/>
        <w:rPr>
          <w:sz w:val="20"/>
          <w:szCs w:val="20"/>
          <w:color w:val="auto"/>
        </w:rPr>
      </w:pPr>
      <w:r>
        <w:rPr>
          <w:rFonts w:ascii="Arial" w:cs="Arial" w:eastAsia="Arial" w:hAnsi="Arial"/>
          <w:sz w:val="18"/>
          <w:szCs w:val="18"/>
          <w:color w:val="auto"/>
        </w:rPr>
        <w:t>Form of Indemnification Agreement</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2004 Share Option Plan</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2012 Share Incentive Plan</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2015 Incentive Compensation Plan</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 xml:space="preserve">Kornit Digital Ltd.’s Compensation Policy </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823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ind w:right="160"/>
        <w:spacing w:after="0" w:line="250" w:lineRule="auto"/>
        <w:rPr>
          <w:sz w:val="20"/>
          <w:szCs w:val="20"/>
          <w:color w:val="auto"/>
        </w:rPr>
      </w:pPr>
      <w:r>
        <w:rPr>
          <w:rFonts w:ascii="Arial" w:cs="Arial" w:eastAsia="Arial" w:hAnsi="Arial"/>
          <w:sz w:val="18"/>
          <w:szCs w:val="18"/>
          <w:color w:val="auto"/>
        </w:rPr>
        <w:t>English Summary of the Office and Parking Space Lease Agreement dated as of December 17, 2007, by and between the Registrant and Industrial Building Corporation Ltd. as amended by Addendum, dated 2007, Addendum to Lease Agreement, dated 2007, Addendum to Lease Agreement, dated March 8, 2012, Addendum to Lease Agreement, dated 2012, Addendum to Lease Agreement, dated December 19, 2012, Addendum to Lease Agreement, dated May 20, 2013, Addendum to Lease Agreement, dated January 12, 2014, Addendum to Lease Agreement, dated January 12, 2014, Addendum to Lease Agreement, dated December 27, 2015 and Addendum to Lease Agreement, dated December 28, 2015.</w:t>
      </w:r>
    </w:p>
    <w:p>
      <w:pPr>
        <w:spacing w:after="0" w:line="1"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English Summary of the Lease Agreement, dated March 25, 2010, by and between the Registrant and Benvenisti Engineering Ltd. as amended by Addendum to Lease Agreement, dated November 21, 2011, and Addendum to Lease Agreement, dated September 16, 2014</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OEM Supply Agreement, dated December 3, 2015, among the Registrant and FujiFilm Dimatix, Inc. </w:t>
      </w:r>
      <w:r>
        <w:rPr>
          <w:rFonts w:ascii="Arial" w:cs="Arial" w:eastAsia="Arial" w:hAnsi="Arial"/>
          <w:sz w:val="28"/>
          <w:szCs w:val="28"/>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-161290</wp:posOffset>
            </wp:positionV>
            <wp:extent cx="724662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right="1600"/>
        <w:spacing w:after="0" w:line="204" w:lineRule="auto"/>
        <w:rPr>
          <w:sz w:val="20"/>
          <w:szCs w:val="20"/>
          <w:color w:val="auto"/>
        </w:rPr>
      </w:pPr>
      <w:r>
        <w:rPr>
          <w:rFonts w:ascii="Arial" w:cs="Arial" w:eastAsia="Arial" w:hAnsi="Arial"/>
          <w:sz w:val="18"/>
          <w:szCs w:val="18"/>
          <w:color w:val="auto"/>
        </w:rPr>
        <w:t>Sales Representative Agreement, dated April 1, 2014, between the Registrant and Hirsch International Corporation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List of 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-135255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right="20"/>
        <w:spacing w:after="0" w:line="250" w:lineRule="auto"/>
        <w:rPr>
          <w:sz w:val="20"/>
          <w:szCs w:val="20"/>
          <w:color w:val="auto"/>
        </w:rPr>
      </w:pPr>
      <w:r>
        <w:rPr>
          <w:rFonts w:ascii="Arial" w:cs="Arial" w:eastAsia="Arial" w:hAnsi="Arial"/>
          <w:sz w:val="18"/>
          <w:szCs w:val="18"/>
          <w:color w:val="auto"/>
        </w:rPr>
        <w:t>Certificate of Chief Executive Officer pursuant to Securities Exchange Act Rules 13a-14(a) and 15d-14(a) as adopted pursuant to §302 of the Sarbanes-Oxley Act of 2002</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Certificate of Chief Financial Officer pursuant to Securities Exchange Act Rules 13a-14(a) and 15d-14(a) as adopted pursuant to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-273050</wp:posOffset>
            </wp:positionV>
            <wp:extent cx="7246620" cy="274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8"/>
          <w:szCs w:val="18"/>
          <w:color w:val="auto"/>
        </w:rPr>
        <w:t>Certificate of Chief Executive Officer and Chief Financial Officer pursuant to 18 U.S.C. §1350, as adopted pursuant to §906 of the Sarbanes-Oxley Act of 2002, furnished herewith</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Consent of Kost Forer Gabbay &amp; Kasierer, a member firm of Ernst &amp; Young Global, an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-123190</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150495</wp:posOffset>
            </wp:positionV>
            <wp:extent cx="18097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 w:space="360"/>
            <w:col w:w="10180"/>
          </w:cols>
          <w:pgMar w:left="248" w:top="904" w:right="319" w:bottom="1440" w:gutter="0" w:footer="0" w:header="0"/>
        </w:sectPr>
      </w:pPr>
    </w:p>
    <w:p>
      <w:pPr>
        <w:spacing w:after="0" w:line="63" w:lineRule="exact"/>
        <w:rPr>
          <w:sz w:val="20"/>
          <w:szCs w:val="20"/>
          <w:color w:val="auto"/>
        </w:rPr>
      </w:pPr>
    </w:p>
    <w:p>
      <w:pPr>
        <w:ind w:left="372" w:right="180" w:hanging="372"/>
        <w:spacing w:after="0" w:line="258" w:lineRule="auto"/>
        <w:tabs>
          <w:tab w:leader="none" w:pos="3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with the SEC on March 18, 2015 as an exhibit to the Registrant’s registration statement on Form F-1 (SEC File No. 333-202291) and incorporated by reference herein.</w:t>
      </w:r>
    </w:p>
    <w:p>
      <w:pPr>
        <w:spacing w:after="0" w:line="1" w:lineRule="exact"/>
        <w:rPr>
          <w:rFonts w:ascii="Arial" w:cs="Arial" w:eastAsia="Arial" w:hAnsi="Arial"/>
          <w:sz w:val="18"/>
          <w:szCs w:val="18"/>
          <w:color w:val="auto"/>
        </w:rPr>
      </w:pPr>
    </w:p>
    <w:p>
      <w:pPr>
        <w:ind w:left="372" w:right="180" w:hanging="372"/>
        <w:spacing w:after="0" w:line="250" w:lineRule="auto"/>
        <w:tabs>
          <w:tab w:leader="none" w:pos="3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with the SEC on March 10, 2015 as an exhibit to the Registrant’s registration statement on Form F-1 (SEC File No. 333-202291) and incorporated by reference herein.</w:t>
      </w:r>
    </w:p>
    <w:p>
      <w:pPr>
        <w:ind w:left="372" w:hanging="372"/>
        <w:spacing w:after="0" w:line="250" w:lineRule="auto"/>
        <w:tabs>
          <w:tab w:leader="none" w:pos="3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with the SEC on February 25, 2015 as an exhibit to the Registrant’s registration statement on Form F-1 (SEC File No. 333-202291) and incorporated by reference herein.</w:t>
      </w:r>
    </w:p>
    <w:p>
      <w:pPr>
        <w:ind w:left="372" w:right="440" w:hanging="372"/>
        <w:spacing w:after="0" w:line="250" w:lineRule="auto"/>
        <w:tabs>
          <w:tab w:leader="none" w:pos="3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Previously filed with the SEC on August 10, 2015 as Annex A to Exhibit 99.1 to the Registrant’s report of foreign private issuer on Form 6-K and incorporated by reference herein.</w:t>
      </w:r>
    </w:p>
    <w:p>
      <w:pPr>
        <w:ind w:left="372" w:hanging="372"/>
        <w:spacing w:after="0"/>
        <w:tabs>
          <w:tab w:leader="none" w:pos="3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11" w:lineRule="exact"/>
        <w:rPr>
          <w:sz w:val="20"/>
          <w:szCs w:val="20"/>
          <w:color w:val="auto"/>
        </w:rPr>
      </w:pPr>
    </w:p>
    <w:p>
      <w:pPr>
        <w:ind w:left="372" w:right="360" w:hanging="372"/>
        <w:spacing w:after="0" w:line="342" w:lineRule="auto"/>
        <w:tabs>
          <w:tab w:leader="none" w:pos="372" w:val="left"/>
        </w:tabs>
        <w:numPr>
          <w:ilvl w:val="0"/>
          <w:numId w:val="75"/>
        </w:numPr>
        <w:rPr>
          <w:rFonts w:ascii="Arial" w:cs="Arial" w:eastAsia="Arial" w:hAnsi="Arial"/>
          <w:sz w:val="16"/>
          <w:szCs w:val="16"/>
          <w:color w:val="auto"/>
        </w:rPr>
      </w:pPr>
      <w:r>
        <w:rPr>
          <w:rFonts w:ascii="Arial" w:cs="Arial" w:eastAsia="Arial" w:hAnsi="Arial"/>
          <w:sz w:val="16"/>
          <w:szCs w:val="16"/>
          <w:color w:val="auto"/>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w:t>
      </w:r>
    </w:p>
    <w:p>
      <w:pPr>
        <w:spacing w:after="0" w:line="333"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32"/>
          </w:cols>
          <w:pgMar w:left="248" w:top="904" w:right="31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0" w:type="dxa"/>
            <w:vAlign w:val="bottom"/>
            <w:gridSpan w:val="3"/>
          </w:tcPr>
          <w:p>
            <w:pPr>
              <w:jc w:val="center"/>
              <w:ind w:right="1930"/>
              <w:spacing w:after="0"/>
              <w:rPr>
                <w:sz w:val="20"/>
                <w:szCs w:val="20"/>
                <w:color w:val="auto"/>
              </w:rPr>
            </w:pPr>
            <w:r>
              <w:rPr>
                <w:rFonts w:ascii="Arial" w:cs="Arial" w:eastAsia="Arial" w:hAnsi="Arial"/>
                <w:sz w:val="18"/>
                <w:szCs w:val="18"/>
                <w:b w:val="1"/>
                <w:bCs w:val="1"/>
                <w:color w:val="auto"/>
              </w:rPr>
              <w:t>KORNIT DIGITAL LTD. AND ITS SUBSIDIARIES</w:t>
            </w: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0" w:type="dxa"/>
            <w:vAlign w:val="bottom"/>
            <w:gridSpan w:val="3"/>
          </w:tcPr>
          <w:p>
            <w:pPr>
              <w:jc w:val="center"/>
              <w:ind w:right="1910"/>
              <w:spacing w:after="0"/>
              <w:rPr>
                <w:sz w:val="20"/>
                <w:szCs w:val="20"/>
                <w:color w:val="auto"/>
              </w:rPr>
            </w:pPr>
            <w:r>
              <w:rPr>
                <w:rFonts w:ascii="Arial" w:cs="Arial" w:eastAsia="Arial" w:hAnsi="Arial"/>
                <w:sz w:val="18"/>
                <w:szCs w:val="18"/>
                <w:b w:val="1"/>
                <w:bCs w:val="1"/>
                <w:color w:val="auto"/>
              </w:rPr>
              <w:t>CONSOLIDATED FINANCIAL STATEMENTS</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tcPr>
          <w:p>
            <w:pPr>
              <w:jc w:val="center"/>
              <w:ind w:right="2810"/>
              <w:spacing w:after="0"/>
              <w:rPr>
                <w:sz w:val="20"/>
                <w:szCs w:val="20"/>
                <w:color w:val="auto"/>
              </w:rPr>
            </w:pPr>
            <w:r>
              <w:rPr>
                <w:rFonts w:ascii="Arial" w:cs="Arial" w:eastAsia="Arial" w:hAnsi="Arial"/>
                <w:sz w:val="18"/>
                <w:szCs w:val="18"/>
                <w:b w:val="1"/>
                <w:bCs w:val="1"/>
                <w:color w:val="auto"/>
                <w:w w:val="95"/>
              </w:rPr>
              <w:t>AS OF DECEMBER 31, 2015</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tcPr>
          <w:p>
            <w:pPr>
              <w:jc w:val="center"/>
              <w:ind w:right="2830"/>
              <w:spacing w:after="0"/>
              <w:rPr>
                <w:sz w:val="20"/>
                <w:szCs w:val="20"/>
                <w:color w:val="auto"/>
              </w:rPr>
            </w:pPr>
            <w:r>
              <w:rPr>
                <w:rFonts w:ascii="Arial" w:cs="Arial" w:eastAsia="Arial" w:hAnsi="Arial"/>
                <w:sz w:val="18"/>
                <w:szCs w:val="18"/>
                <w:b w:val="1"/>
                <w:bCs w:val="1"/>
                <w:color w:val="auto"/>
              </w:rPr>
              <w:t>INDEX</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Report of Independent Registered Public Accounting Firm</w:t>
              </w:r>
            </w:hyperlink>
          </w:p>
        </w:tc>
        <w:tc>
          <w:tcPr>
            <w:tcW w:w="160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Consolidated Balance Sheets</w:t>
              </w:r>
            </w:hyperlink>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F-3</w:t>
            </w:r>
          </w:p>
        </w:tc>
        <w:tc>
          <w:tcPr>
            <w:tcW w:w="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Consolidated Statements of Income</w:t>
              </w:r>
            </w:hyperlink>
          </w:p>
        </w:tc>
        <w:tc>
          <w:tcPr>
            <w:tcW w:w="160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Consolidated Statement of Comprehensive Income</w:t>
              </w:r>
            </w:hyperlink>
          </w:p>
        </w:tc>
        <w:tc>
          <w:tcPr>
            <w:tcW w:w="160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3">
              <w:r>
                <w:rPr>
                  <w:rFonts w:ascii="Arial" w:cs="Arial" w:eastAsia="Arial" w:hAnsi="Arial"/>
                  <w:sz w:val="18"/>
                  <w:szCs w:val="18"/>
                  <w:b w:val="1"/>
                  <w:bCs w:val="1"/>
                  <w:color w:val="0000EE"/>
                </w:rPr>
                <w:t>Statements of Changes in Shareholders' Equity</w:t>
              </w:r>
            </w:hyperlink>
          </w:p>
        </w:tc>
        <w:tc>
          <w:tcPr>
            <w:tcW w:w="160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4">
              <w:r>
                <w:rPr>
                  <w:rFonts w:ascii="Arial" w:cs="Arial" w:eastAsia="Arial" w:hAnsi="Arial"/>
                  <w:sz w:val="18"/>
                  <w:szCs w:val="18"/>
                  <w:b w:val="1"/>
                  <w:bCs w:val="1"/>
                  <w:color w:val="0000EE"/>
                </w:rPr>
                <w:t>Consolidated Statements of Cash Flows</w:t>
              </w:r>
            </w:hyperlink>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F-8</w:t>
            </w:r>
          </w:p>
        </w:tc>
        <w:tc>
          <w:tcPr>
            <w:tcW w:w="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80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Notes to Consolidated Financial Statements</w:t>
              </w:r>
            </w:hyperlink>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F-10</w:t>
            </w:r>
          </w:p>
        </w:tc>
        <w:tc>
          <w:tcPr>
            <w:tcW w:w="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F-38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top w:val="single" w:sz="8" w:color="0000EE"/>
            </w:tcBorders>
            <w:gridSpan w:val="4"/>
          </w:tcPr>
          <w:p>
            <w:pPr>
              <w:spacing w:after="0"/>
              <w:rPr>
                <w:sz w:val="24"/>
                <w:szCs w:val="24"/>
                <w:color w:val="auto"/>
              </w:rPr>
            </w:pPr>
          </w:p>
        </w:tc>
        <w:tc>
          <w:tcPr>
            <w:tcW w:w="6480" w:type="dxa"/>
            <w:vAlign w:val="bottom"/>
            <w:tcBorders>
              <w:top w:val="single" w:sz="8" w:color="CCEEFF"/>
            </w:tcBorders>
            <w:gridSpan w:val="4"/>
          </w:tcPr>
          <w:p>
            <w:pPr>
              <w:jc w:val="center"/>
              <w:ind w:right="1630"/>
              <w:spacing w:after="0"/>
              <w:rPr>
                <w:sz w:val="20"/>
                <w:szCs w:val="20"/>
                <w:color w:val="auto"/>
              </w:rPr>
            </w:pPr>
            <w:r>
              <w:rPr>
                <w:rFonts w:ascii="Arial" w:cs="Arial" w:eastAsia="Arial" w:hAnsi="Arial"/>
                <w:sz w:val="18"/>
                <w:szCs w:val="18"/>
                <w:color w:val="auto"/>
                <w:w w:val="95"/>
              </w:rPr>
              <w:t>- - - - - - - - - - - - -</w:t>
            </w:r>
          </w:p>
        </w:tc>
        <w:tc>
          <w:tcPr>
            <w:tcW w:w="74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80415" cy="900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8041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have audited the accompanying consolidated balance sheets of Kornit Digital Ltd. (the "Company") and its subsidiaries as of December 31, 2014 and 2015, and the related consolidated statements of income, comprehensive income, shareholders' equity and cash flows for each of the three years in the period ended December 31, 2015. These consolidated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ind w:right="100" w:firstLine="51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the Company and its subsidiaries at December 31, 2014 and 2015, and the consolidated results of their operations and their cash flows for each of the three years in the period ended December 31, 2015, in conformity with U.S. generally accepted accounting principles.</w:t>
      </w:r>
    </w:p>
    <w:p>
      <w:pPr>
        <w:sectPr>
          <w:pgSz w:w="11900" w:h="16838" w:orient="portrait"/>
          <w:cols w:equalWidth="0" w:num="1">
            <w:col w:w="11420"/>
          </w:cols>
          <w:pgMar w:left="240" w:top="1440" w:right="239" w:bottom="1440" w:gutter="0" w:footer="0" w:header="0"/>
        </w:sect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Tel-Aviv, Israel</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17, 2016</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/s/ KOST FORER GABBAY &amp; KASIERER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KOST FORER GABBAY &amp; KASIERER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 Member of Ernst &amp; Young Global</w:t>
      </w:r>
    </w:p>
    <w:p>
      <w:pPr>
        <w:spacing w:after="0" w:line="200" w:lineRule="exact"/>
        <w:rPr>
          <w:sz w:val="20"/>
          <w:szCs w:val="20"/>
          <w:color w:val="auto"/>
        </w:rPr>
      </w:pPr>
    </w:p>
    <w:p>
      <w:pPr>
        <w:sectPr>
          <w:pgSz w:w="11900" w:h="16838" w:orient="portrait"/>
          <w:cols w:equalWidth="0" w:num="2">
            <w:col w:w="5980" w:space="720"/>
            <w:col w:w="4720"/>
          </w:cols>
          <w:pgMar w:left="240" w:top="1440" w:right="239" w:bottom="1440" w:gutter="0" w:footer="0" w:header="0"/>
          <w:type w:val="continuous"/>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20" w:type="dxa"/>
            <w:vAlign w:val="bottom"/>
            <w:gridSpan w:val="2"/>
          </w:tcPr>
          <w:p>
            <w:pPr>
              <w:jc w:val="right"/>
              <w:ind w:right="4200"/>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Short-term bank deposits</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Trade receivables, net</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Other accounts receivable and prepaid expenses</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11,986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28,201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86,706</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3460" w:type="dxa"/>
            <w:vAlign w:val="bottom"/>
            <w:tcBorders>
              <w:bottom w:val="single" w:sz="8" w:color="CCEEFF"/>
            </w:tcBorders>
          </w:tcPr>
          <w:p>
            <w:pPr>
              <w:spacing w:after="0"/>
              <w:rPr>
                <w:sz w:val="3"/>
                <w:szCs w:val="3"/>
                <w:color w:val="auto"/>
              </w:rPr>
            </w:pPr>
          </w:p>
        </w:tc>
        <w:tc>
          <w:tcPr>
            <w:tcW w:w="4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Available for sale marketable securities</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Deferred issuance costs</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4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long-term assets</w:t>
            </w:r>
          </w:p>
        </w:tc>
        <w:tc>
          <w:tcPr>
            <w:tcW w:w="4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6,391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36,646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34,592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80" w:type="dxa"/>
            <w:vAlign w:val="bottom"/>
          </w:tcPr>
          <w:p>
            <w:pPr>
              <w:ind w:left="2880"/>
              <w:spacing w:after="0"/>
              <w:rPr>
                <w:sz w:val="20"/>
                <w:szCs w:val="20"/>
                <w:color w:val="auto"/>
              </w:rPr>
            </w:pPr>
            <w:r>
              <w:rPr>
                <w:rFonts w:ascii="Arial" w:cs="Arial" w:eastAsia="Arial" w:hAnsi="Arial"/>
                <w:sz w:val="18"/>
                <w:szCs w:val="18"/>
                <w:color w:val="auto"/>
              </w:rPr>
              <w:t>LIABILITIES AND EQUITY</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4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5,901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Employees and payroll accruals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Other payables and accrued expenses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2,606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20" w:type="dxa"/>
            <w:vAlign w:val="bottom"/>
            <w:gridSpan w:val="4"/>
          </w:tcPr>
          <w:p>
            <w:pPr>
              <w:spacing w:after="0" w:line="156"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13,338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21,251</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240" w:type="dxa"/>
            <w:vAlign w:val="bottom"/>
            <w:tcBorders>
              <w:top w:val="single" w:sz="8" w:color="auto"/>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4"/>
          </w:tcPr>
          <w:p>
            <w:pPr>
              <w:spacing w:after="0"/>
              <w:rPr>
                <w:sz w:val="20"/>
                <w:szCs w:val="20"/>
                <w:color w:val="auto"/>
              </w:rPr>
            </w:pPr>
            <w:r>
              <w:rPr>
                <w:rFonts w:ascii="Arial" w:cs="Arial" w:eastAsia="Arial" w:hAnsi="Arial"/>
                <w:sz w:val="18"/>
                <w:szCs w:val="18"/>
                <w:color w:val="auto"/>
              </w:rPr>
              <w:t>LONG TERM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1,903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Ordinary shares of NIS 0.01 par value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60" w:type="dxa"/>
            <w:vAlign w:val="bottom"/>
            <w:gridSpan w:val="3"/>
          </w:tcPr>
          <w:p>
            <w:pPr>
              <w:ind w:left="180"/>
              <w:spacing w:after="0"/>
              <w:rPr>
                <w:sz w:val="20"/>
                <w:szCs w:val="20"/>
                <w:color w:val="auto"/>
              </w:rPr>
            </w:pPr>
            <w:r>
              <w:rPr>
                <w:rFonts w:ascii="Arial" w:cs="Arial" w:eastAsia="Arial" w:hAnsi="Arial"/>
                <w:sz w:val="18"/>
                <w:szCs w:val="18"/>
                <w:color w:val="auto"/>
                <w:w w:val="90"/>
              </w:rPr>
              <w:t>Authorized: 26,345,297 shares and 200,000,000 shares at December 31, 2014 and 2015, respectively; Issued and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60" w:type="dxa"/>
            <w:vAlign w:val="bottom"/>
            <w:gridSpan w:val="3"/>
          </w:tcPr>
          <w:p>
            <w:pPr>
              <w:ind w:left="180"/>
              <w:spacing w:after="0"/>
              <w:rPr>
                <w:sz w:val="20"/>
                <w:szCs w:val="20"/>
                <w:color w:val="auto"/>
              </w:rPr>
            </w:pPr>
            <w:r>
              <w:rPr>
                <w:rFonts w:ascii="Arial" w:cs="Arial" w:eastAsia="Arial" w:hAnsi="Arial"/>
                <w:sz w:val="18"/>
                <w:szCs w:val="18"/>
                <w:color w:val="auto"/>
              </w:rPr>
              <w:t>Outstanding: 8,973,224 shares and 30,295,949 shares at December 31, 2014 and 2015,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4"/>
            <w:shd w:val="clear" w:color="auto" w:fill="CCEEFF"/>
          </w:tcPr>
          <w:p>
            <w:pPr>
              <w:ind w:left="160"/>
              <w:spacing w:after="0" w:line="201" w:lineRule="exact"/>
              <w:rPr>
                <w:sz w:val="20"/>
                <w:szCs w:val="20"/>
                <w:color w:val="auto"/>
              </w:rPr>
            </w:pPr>
            <w:r>
              <w:rPr>
                <w:rFonts w:ascii="Arial" w:cs="Arial" w:eastAsia="Arial" w:hAnsi="Arial"/>
                <w:sz w:val="18"/>
                <w:szCs w:val="18"/>
                <w:color w:val="auto"/>
              </w:rPr>
              <w:t>Preferred A-1 shares of NIS 0.01 par value –</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2"/>
              </w:rPr>
              <w:t>Authorized: 1,927,220 shares and 0 shares at December 31, 2014 and 2015; Issued and Outstanding: 1,927,140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shares and 0 shares at December 31, 2014 and 2015, respectively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4"/>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12,770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89,071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4"/>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20" w:type="dxa"/>
            <w:vAlign w:val="bottom"/>
            <w:gridSpan w:val="4"/>
          </w:tcPr>
          <w:p>
            <w:pPr>
              <w:ind w:left="160"/>
              <w:spacing w:after="0" w:line="156" w:lineRule="exact"/>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19,351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CCEEFF"/>
            </w:tcBorders>
          </w:tcPr>
          <w:p>
            <w:pPr>
              <w:spacing w:after="0"/>
              <w:rPr>
                <w:sz w:val="3"/>
                <w:szCs w:val="3"/>
                <w:color w:val="auto"/>
              </w:rPr>
            </w:pPr>
          </w:p>
        </w:tc>
        <w:tc>
          <w:tcPr>
            <w:tcW w:w="140" w:type="dxa"/>
            <w:vAlign w:val="bottom"/>
            <w:tcBorders>
              <w:top w:val="single" w:sz="8" w:color="auto"/>
              <w:bottom w:val="single" w:sz="8" w:color="CCEEFF"/>
            </w:tcBorders>
          </w:tcPr>
          <w:p>
            <w:pPr>
              <w:spacing w:after="0"/>
              <w:rPr>
                <w:sz w:val="3"/>
                <w:szCs w:val="3"/>
                <w:color w:val="auto"/>
              </w:rPr>
            </w:pPr>
          </w:p>
        </w:tc>
        <w:tc>
          <w:tcPr>
            <w:tcW w:w="80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620" w:type="dxa"/>
            <w:vAlign w:val="bottom"/>
            <w:gridSpan w:val="4"/>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34,592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123,352</w:t>
            </w:r>
          </w:p>
        </w:tc>
        <w:tc>
          <w:tcPr>
            <w:tcW w:w="0" w:type="dxa"/>
            <w:vAlign w:val="bottom"/>
          </w:tcPr>
          <w:p>
            <w:pPr>
              <w:spacing w:after="0"/>
              <w:rPr>
                <w:sz w:val="1"/>
                <w:szCs w:val="1"/>
                <w:color w:val="auto"/>
              </w:rPr>
            </w:pPr>
          </w:p>
        </w:tc>
      </w:tr>
      <w:tr>
        <w:trPr>
          <w:trHeight w:val="21"/>
        </w:trPr>
        <w:tc>
          <w:tcPr>
            <w:tcW w:w="864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4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25"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49,395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27,953</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21,442</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40,585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7,734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3,278</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18,455</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25,357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34,817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1,393</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Available-for-sale marketable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unrealized losses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Changes in unrealized gain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 for loss included in net income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accumulated comprehensive income (loss)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Preferred A-1 shares</w:t>
            </w:r>
          </w:p>
        </w:tc>
        <w:tc>
          <w:tcPr>
            <w:tcW w:w="22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Ordinary shares</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3"/>
              </w:rPr>
              <w:t>Number of</w:t>
            </w: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Number of</w:t>
            </w: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Additional</w:t>
            </w:r>
          </w:p>
        </w:tc>
        <w:tc>
          <w:tcPr>
            <w:tcW w:w="13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other</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shares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paid in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comprehensive</w:t>
            </w: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Retained</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Shareholders'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outstanding</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capital</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income</w:t>
            </w: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1,927,140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8,953,565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Share-based compensation</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1,927,140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8,953,565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19,659</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w w:val="93"/>
              </w:rPr>
              <w:t>Share-based compensation</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897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8"/>
              </w:rPr>
              <w:t>Other comprehensive loss</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3,023</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Balance at December 31,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2014</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1,927,140</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8,973,224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12,770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880" w:type="dxa"/>
            <w:vAlign w:val="bottom"/>
          </w:tcPr>
          <w:p>
            <w:pPr>
              <w:jc w:val="right"/>
              <w:spacing w:after="0"/>
              <w:rPr>
                <w:sz w:val="20"/>
                <w:szCs w:val="20"/>
                <w:color w:val="auto"/>
              </w:rPr>
            </w:pPr>
            <w:r>
              <w:rPr>
                <w:rFonts w:ascii="Arial" w:cs="Arial" w:eastAsia="Arial" w:hAnsi="Arial"/>
                <w:sz w:val="18"/>
                <w:szCs w:val="18"/>
                <w:color w:val="auto"/>
              </w:rPr>
              <w:t>6,673</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80" w:type="dxa"/>
            <w:vAlign w:val="bottom"/>
          </w:tcPr>
          <w:p>
            <w:pPr>
              <w:spacing w:after="0" w:line="201" w:lineRule="exact"/>
              <w:rPr>
                <w:sz w:val="20"/>
                <w:szCs w:val="20"/>
                <w:color w:val="auto"/>
              </w:rPr>
            </w:pPr>
            <w:r>
              <w:rPr>
                <w:rFonts w:ascii="Arial" w:cs="Arial" w:eastAsia="Arial" w:hAnsi="Arial"/>
                <w:sz w:val="18"/>
                <w:szCs w:val="18"/>
                <w:color w:val="auto"/>
              </w:rPr>
              <w:t>Conversion of preferred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(1,927,140)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12,628,741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ordinary shares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in initial public</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offering, net of issuance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expenses in an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amount of 2,415</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8,165,000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Exercise of options</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528,984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Share-based compensation</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w w:val="98"/>
              </w:rPr>
              <w:t>Other comprehensive loss</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30,295,949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89,071</w:t>
            </w:r>
          </w:p>
        </w:tc>
        <w:tc>
          <w:tcPr>
            <w:tcW w:w="1360" w:type="dxa"/>
            <w:vAlign w:val="bottom"/>
            <w:gridSpan w:val="2"/>
            <w:shd w:val="clear" w:color="auto" w:fill="CCEEFF"/>
          </w:tcPr>
          <w:p>
            <w:pPr>
              <w:jc w:val="right"/>
              <w:ind w:right="160"/>
              <w:spacing w:after="0" w:line="271" w:lineRule="exact"/>
              <w:rPr>
                <w:sz w:val="20"/>
                <w:szCs w:val="20"/>
                <w:color w:val="auto"/>
              </w:rPr>
            </w:pPr>
            <w:r>
              <w:rPr>
                <w:rFonts w:ascii="Arial" w:cs="Arial" w:eastAsia="Arial" w:hAnsi="Arial"/>
                <w:sz w:val="16"/>
                <w:szCs w:val="16"/>
                <w:color w:val="auto"/>
              </w:rPr>
              <w:t>(283</w:t>
            </w:r>
            <w:r>
              <w:rPr>
                <w:rFonts w:ascii="Arial" w:cs="Arial" w:eastAsia="Arial" w:hAnsi="Arial"/>
                <w:sz w:val="31"/>
                <w:szCs w:val="31"/>
                <w:color w:val="auto"/>
                <w:vertAlign w:val="superscript"/>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lower than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40" w:type="dxa"/>
            <w:vAlign w:val="bottom"/>
            <w:gridSpan w:val="4"/>
            <w:vMerge w:val="restart"/>
          </w:tcPr>
          <w:p>
            <w:pPr>
              <w:spacing w:after="0"/>
              <w:rPr>
                <w:sz w:val="20"/>
                <w:szCs w:val="20"/>
                <w:color w:val="auto"/>
              </w:rPr>
            </w:pPr>
            <w:r>
              <w:rPr>
                <w:rFonts w:ascii="Arial" w:cs="Arial" w:eastAsia="Arial" w:hAnsi="Arial"/>
                <w:sz w:val="18"/>
                <w:szCs w:val="18"/>
                <w:color w:val="auto"/>
              </w:rPr>
              <w:t>Cash flows used in operating activities: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74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28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Share based compensation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premium on available-for-sale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(decrease) in accrued severance pay, net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deferred income taxes,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in trade receivables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(1,229)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in inventories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(3,437)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(decrease) in deferred revenues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employees and payroll accruals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Decrease in other assets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Interest on short-term bank deposit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(gain) from sale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7440" w:type="dxa"/>
            <w:vAlign w:val="bottom"/>
            <w:gridSpan w:val="4"/>
          </w:tcPr>
          <w:p>
            <w:pPr>
              <w:spacing w:after="0"/>
              <w:rPr>
                <w:sz w:val="20"/>
                <w:szCs w:val="20"/>
                <w:color w:val="auto"/>
              </w:rPr>
            </w:pPr>
            <w:r>
              <w:rPr>
                <w:rFonts w:ascii="Arial" w:cs="Arial" w:eastAsia="Arial" w:hAnsi="Arial"/>
                <w:sz w:val="18"/>
                <w:szCs w:val="18"/>
                <w:color w:val="auto"/>
              </w:rPr>
              <w:t>Foreign currency translation gain (loss) on inter company balances with foreign subsidiaries</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2,738</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3"/>
          </w:tcPr>
          <w:p>
            <w:pPr>
              <w:spacing w:after="0" w:line="176" w:lineRule="exact"/>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(1,248)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Purchase of intangible assets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(investment in) bank deposits,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Proceeds from maturity of available-for-sale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Purchase of marketable securities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(2,103)</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3"/>
          </w:tcPr>
          <w:p>
            <w:pPr>
              <w:spacing w:after="0" w:line="176" w:lineRule="exact"/>
              <w:rPr>
                <w:sz w:val="20"/>
                <w:szCs w:val="20"/>
                <w:color w:val="auto"/>
              </w:rPr>
            </w:pPr>
            <w:r>
              <w:rPr>
                <w:rFonts w:ascii="Arial" w:cs="Arial" w:eastAsia="Arial" w:hAnsi="Arial"/>
                <w:sz w:val="18"/>
                <w:szCs w:val="18"/>
                <w:color w:val="auto"/>
              </w:rPr>
              <w:t>Cash flows used in financing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initial public offering, net (Payment of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74,180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Exercise of employee share options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074" w:gutter="0" w:footer="0" w:header="0"/>
        </w:sectPr>
      </w:pPr>
    </w:p>
    <w:p>
      <w:pPr>
        <w:spacing w:after="0"/>
        <w:rPr>
          <w:sz w:val="20"/>
          <w:szCs w:val="20"/>
          <w:color w:val="auto"/>
        </w:rPr>
      </w:pPr>
      <w:r>
        <w:rPr>
          <w:rFonts w:ascii="Arial" w:cs="Arial" w:eastAsia="Arial" w:hAnsi="Arial"/>
          <w:sz w:val="16"/>
          <w:szCs w:val="16"/>
          <w:color w:val="auto"/>
        </w:rPr>
        <w:t>Foreign currency translation adjustments on cash and cash equivalents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beginning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13,520</w:t>
            </w:r>
          </w:p>
        </w:tc>
        <w:tc>
          <w:tcPr>
            <w:tcW w:w="60" w:type="dxa"/>
            <w:vAlign w:val="bottom"/>
          </w:tcPr>
          <w:p>
            <w:pPr>
              <w:spacing w:after="0"/>
              <w:rPr>
                <w:sz w:val="18"/>
                <w:szCs w:val="18"/>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4,663</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5,329</w:t>
            </w:r>
          </w:p>
        </w:tc>
        <w:tc>
          <w:tcPr>
            <w:tcW w:w="1140" w:type="dxa"/>
            <w:vAlign w:val="bottom"/>
          </w:tcPr>
          <w:p>
            <w:pPr>
              <w:jc w:val="right"/>
              <w:spacing w:after="0"/>
              <w:rPr>
                <w:sz w:val="20"/>
                <w:szCs w:val="20"/>
                <w:color w:val="auto"/>
              </w:rPr>
            </w:pPr>
            <w:r>
              <w:rPr>
                <w:rFonts w:ascii="Arial" w:cs="Arial" w:eastAsia="Arial" w:hAnsi="Arial"/>
                <w:sz w:val="18"/>
                <w:szCs w:val="18"/>
                <w:color w:val="auto"/>
              </w:rPr>
              <w:t>4,993</w:t>
            </w:r>
          </w:p>
        </w:tc>
        <w:tc>
          <w:tcPr>
            <w:tcW w:w="60" w:type="dxa"/>
            <w:vAlign w:val="bottom"/>
          </w:tcPr>
          <w:p>
            <w:pPr>
              <w:spacing w:after="0"/>
              <w:rPr>
                <w:sz w:val="20"/>
                <w:szCs w:val="20"/>
                <w:color w:val="auto"/>
              </w:rPr>
            </w:pPr>
          </w:p>
        </w:tc>
      </w:tr>
      <w:tr>
        <w:trPr>
          <w:trHeight w:val="27"/>
        </w:trPr>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p>
    <w:p>
      <w:pPr>
        <w:sectPr>
          <w:pgSz w:w="11900" w:h="16838" w:orient="portrait"/>
          <w:cols w:equalWidth="0" w:num="2">
            <w:col w:w="6720" w:space="720"/>
            <w:col w:w="3980"/>
          </w:cols>
          <w:pgMar w:left="240" w:top="904" w:right="239" w:bottom="1074"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440" w:type="dxa"/>
            <w:vAlign w:val="bottom"/>
            <w:gridSpan w:val="3"/>
          </w:tcPr>
          <w:p>
            <w:pPr>
              <w:spacing w:after="0"/>
              <w:rPr>
                <w:sz w:val="20"/>
                <w:szCs w:val="20"/>
                <w:color w:val="auto"/>
              </w:rPr>
            </w:pPr>
            <w:r>
              <w:rPr>
                <w:rFonts w:ascii="Arial" w:cs="Arial" w:eastAsia="Arial" w:hAnsi="Arial"/>
                <w:sz w:val="18"/>
                <w:szCs w:val="18"/>
                <w:color w:val="auto"/>
              </w:rPr>
              <w:t>Cash and cash equivalents at the end of the period</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5,329</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2"/>
          </w:tcPr>
          <w:p>
            <w:pPr>
              <w:spacing w:after="0" w:line="176" w:lineRule="exact"/>
              <w:rPr>
                <w:sz w:val="20"/>
                <w:szCs w:val="20"/>
                <w:color w:val="auto"/>
              </w:rPr>
            </w:pPr>
            <w:r>
              <w:rPr>
                <w:rFonts w:ascii="Arial" w:cs="Arial" w:eastAsia="Arial" w:hAnsi="Arial"/>
                <w:sz w:val="18"/>
                <w:szCs w:val="18"/>
                <w:color w:val="auto"/>
              </w:rPr>
              <w:t>Supplemental disclosure of cash flow information:</w:t>
            </w: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Cash paid during the year for income taxes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903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1,663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074"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7440" w:type="dxa"/>
            <w:vAlign w:val="bottom"/>
            <w:gridSpan w:val="3"/>
          </w:tcPr>
          <w:p>
            <w:pPr>
              <w:spacing w:after="0"/>
              <w:rPr>
                <w:sz w:val="20"/>
                <w:szCs w:val="20"/>
                <w:color w:val="auto"/>
              </w:rPr>
            </w:pPr>
            <w:r>
              <w:rPr>
                <w:rFonts w:ascii="Arial" w:cs="Arial" w:eastAsia="Arial" w:hAnsi="Arial"/>
                <w:sz w:val="18"/>
                <w:szCs w:val="18"/>
                <w:color w:val="auto"/>
              </w:rPr>
              <w:t>Non-cash investing and financing activities: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160" w:type="dxa"/>
            <w:vAlign w:val="bottom"/>
            <w:tcBorders>
              <w:top w:val="single" w:sz="8" w:color="auto"/>
            </w:tcBorders>
          </w:tcPr>
          <w:p>
            <w:pPr>
              <w:spacing w:after="0"/>
              <w:rPr>
                <w:sz w:val="22"/>
                <w:szCs w:val="22"/>
                <w:color w:val="auto"/>
              </w:rPr>
            </w:pPr>
          </w:p>
        </w:tc>
        <w:tc>
          <w:tcPr>
            <w:tcW w:w="4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Property and equipment transferred to be used as inventory</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gridSpan w:val="2"/>
            <w:vMerge w:val="continue"/>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Issuance expenses on credit</w:t>
            </w:r>
          </w:p>
        </w:tc>
        <w:tc>
          <w:tcPr>
            <w:tcW w:w="82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KORNIT DIGITAL LTD. AND ITS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229" w:lineRule="exact"/>
        <w:rPr>
          <w:sz w:val="20"/>
          <w:szCs w:val="20"/>
          <w:color w:val="auto"/>
        </w:rPr>
      </w:pPr>
    </w:p>
    <w:p>
      <w:pPr>
        <w:ind w:left="1540" w:right="120" w:hanging="506"/>
        <w:spacing w:after="0" w:line="259"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 added services.</w:t>
      </w:r>
    </w:p>
    <w:p>
      <w:pPr>
        <w:spacing w:after="0" w:line="186" w:lineRule="exact"/>
        <w:rPr>
          <w:rFonts w:ascii="Arial" w:cs="Arial" w:eastAsia="Arial" w:hAnsi="Arial"/>
          <w:sz w:val="18"/>
          <w:szCs w:val="18"/>
          <w:color w:val="auto"/>
        </w:rPr>
      </w:pPr>
    </w:p>
    <w:p>
      <w:pPr>
        <w:ind w:left="1540" w:right="200" w:hanging="506"/>
        <w:spacing w:after="0" w:line="264"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has established wholly-owned subsidiaries in Israel, the United States, Germany and Hong Kong. The Company's subsidiaries are engaged primarily in sales, and marketing, except for the Israeli subsidiary which is engaged primarily in research and development and manufacturing.</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Initial Public Offering:</w:t>
      </w:r>
    </w:p>
    <w:p>
      <w:pPr>
        <w:spacing w:after="0" w:line="225" w:lineRule="exact"/>
        <w:rPr>
          <w:rFonts w:ascii="Arial" w:cs="Arial" w:eastAsia="Arial" w:hAnsi="Arial"/>
          <w:sz w:val="18"/>
          <w:szCs w:val="18"/>
          <w:color w:val="auto"/>
        </w:rPr>
      </w:pPr>
    </w:p>
    <w:p>
      <w:pPr>
        <w:ind w:left="1540" w:right="20"/>
        <w:spacing w:after="0" w:line="276" w:lineRule="auto"/>
        <w:rPr>
          <w:rFonts w:ascii="Arial" w:cs="Arial" w:eastAsia="Arial" w:hAnsi="Arial"/>
          <w:sz w:val="18"/>
          <w:szCs w:val="18"/>
          <w:color w:val="auto"/>
        </w:rPr>
      </w:pPr>
      <w:r>
        <w:rPr>
          <w:rFonts w:ascii="Arial" w:cs="Arial" w:eastAsia="Arial" w:hAnsi="Arial"/>
          <w:sz w:val="17"/>
          <w:szCs w:val="17"/>
          <w:color w:val="auto"/>
        </w:rPr>
        <w:t>On April 8, 2015, the Company closed its initial public offering (“IPO”) whereby 8,165,000 ordinary shares were sold by the Company to the public (inclusive of 1,065,000 ordinary shares pursuant to the full exercise of an overallotment option granted to the underwriters). The aggregate net proceeds received by the Company from the offering were $73,519, net of underwriting discounts and commissions and offering expenses all of which have already been paid by the Company. Upon the closing of the IPO, all of the Company’s outstanding preferred shares automatically converted into 12,628,741 ordinary shares.</w:t>
      </w:r>
    </w:p>
    <w:p>
      <w:pPr>
        <w:spacing w:after="0" w:line="172" w:lineRule="exact"/>
        <w:rPr>
          <w:rFonts w:ascii="Arial" w:cs="Arial" w:eastAsia="Arial" w:hAnsi="Arial"/>
          <w:sz w:val="18"/>
          <w:szCs w:val="18"/>
          <w:color w:val="auto"/>
        </w:rPr>
      </w:pPr>
    </w:p>
    <w:p>
      <w:pPr>
        <w:ind w:left="1540" w:right="20" w:hanging="506"/>
        <w:spacing w:after="0" w:line="259" w:lineRule="auto"/>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Company depends on three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020" w:right="40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520" w:hanging="499"/>
        <w:spacing w:after="0"/>
        <w:tabs>
          <w:tab w:leader="none" w:pos="1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ind w:left="1540" w:right="20"/>
        <w:spacing w:after="0" w:line="276" w:lineRule="auto"/>
        <w:rPr>
          <w:rFonts w:ascii="Arial" w:cs="Arial" w:eastAsia="Arial" w:hAnsi="Arial"/>
          <w:sz w:val="18"/>
          <w:szCs w:val="18"/>
          <w:color w:val="auto"/>
        </w:rPr>
      </w:pPr>
      <w:r>
        <w:rPr>
          <w:rFonts w:ascii="Arial" w:cs="Arial" w:eastAsia="Arial" w:hAnsi="Arial"/>
          <w:sz w:val="17"/>
          <w:szCs w:val="17"/>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right="160"/>
        <w:spacing w:after="0" w:line="302" w:lineRule="auto"/>
        <w:rPr>
          <w:sz w:val="20"/>
          <w:szCs w:val="20"/>
          <w:color w:val="auto"/>
        </w:rPr>
      </w:pPr>
      <w:r>
        <w:rPr>
          <w:rFonts w:ascii="Arial" w:cs="Arial" w:eastAsia="Arial" w:hAnsi="Arial"/>
          <w:sz w:val="16"/>
          <w:szCs w:val="16"/>
          <w:color w:val="auto"/>
        </w:rPr>
        <w:t>On an ongoing basis, the Company's management evaluates estimates, including those related to fair value and useful life of intangible assets, tax assets and liabilities, fair values of stock-based awards, inventory write-offs, warranty provision, allowance for bad debt and provision for returns. Such estimates are based on historical experience and on various other assumptions that are believed to be reasonable, the results of which form the basis for making judgments about the carrying values of assets and liabilities.</w:t>
      </w:r>
    </w:p>
    <w:p>
      <w:pPr>
        <w:spacing w:after="0" w:line="154" w:lineRule="exact"/>
        <w:rPr>
          <w:sz w:val="20"/>
          <w:szCs w:val="20"/>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Financial statements in United States dollars:</w:t>
      </w:r>
    </w:p>
    <w:p>
      <w:pPr>
        <w:spacing w:after="0" w:line="225" w:lineRule="exact"/>
        <w:rPr>
          <w:rFonts w:ascii="Arial" w:cs="Arial" w:eastAsia="Arial" w:hAnsi="Arial"/>
          <w:sz w:val="18"/>
          <w:szCs w:val="18"/>
          <w:color w:val="auto"/>
        </w:rPr>
      </w:pPr>
    </w:p>
    <w:p>
      <w:pPr>
        <w:ind w:left="1540" w:right="120"/>
        <w:spacing w:after="0" w:line="254" w:lineRule="auto"/>
        <w:rPr>
          <w:rFonts w:ascii="Arial" w:cs="Arial" w:eastAsia="Arial" w:hAnsi="Arial"/>
          <w:sz w:val="18"/>
          <w:szCs w:val="18"/>
          <w:color w:val="auto"/>
        </w:rPr>
      </w:pPr>
      <w:r>
        <w:rPr>
          <w:rFonts w:ascii="Arial" w:cs="Arial" w:eastAsia="Arial" w:hAnsi="Arial"/>
          <w:sz w:val="18"/>
          <w:szCs w:val="18"/>
          <w:color w:val="auto"/>
        </w:rPr>
        <w:t>A majority of the revenues of the Company and its subsidiaries are denominated in U.S. dollars (“dollar” or “dollars”). The Company’s management believes that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finance expenses, net in the period in which the currency exchange rates change.</w:t>
      </w:r>
    </w:p>
    <w:p>
      <w:pPr>
        <w:spacing w:after="0" w:line="192" w:lineRule="exact"/>
        <w:rPr>
          <w:rFonts w:ascii="Arial" w:cs="Arial" w:eastAsia="Arial" w:hAnsi="Arial"/>
          <w:sz w:val="18"/>
          <w:szCs w:val="18"/>
          <w:color w:val="auto"/>
        </w:rPr>
      </w:pPr>
    </w:p>
    <w:p>
      <w:pPr>
        <w:ind w:left="1540" w:right="80"/>
        <w:spacing w:after="0" w:line="302" w:lineRule="auto"/>
        <w:rPr>
          <w:rFonts w:ascii="Arial" w:cs="Arial" w:eastAsia="Arial" w:hAnsi="Arial"/>
          <w:sz w:val="18"/>
          <w:szCs w:val="18"/>
          <w:color w:val="auto"/>
        </w:rPr>
      </w:pPr>
      <w:r>
        <w:rPr>
          <w:rFonts w:ascii="Arial" w:cs="Arial" w:eastAsia="Arial" w:hAnsi="Arial"/>
          <w:sz w:val="16"/>
          <w:szCs w:val="16"/>
          <w:color w:val="auto"/>
        </w:rPr>
        <w:t>For the Company’s subsidiary in Germany whose functional currency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54" w:lineRule="exact"/>
        <w:rPr>
          <w:rFonts w:ascii="Arial" w:cs="Arial" w:eastAsia="Arial" w:hAnsi="Arial"/>
          <w:sz w:val="18"/>
          <w:szCs w:val="18"/>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540" w:right="6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have been eliminated upon consolidation.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540" w:right="8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Short-term deposits:</w:t>
      </w:r>
    </w:p>
    <w:p>
      <w:pPr>
        <w:spacing w:after="0" w:line="225" w:lineRule="exact"/>
        <w:rPr>
          <w:rFonts w:ascii="Arial" w:cs="Arial" w:eastAsia="Arial" w:hAnsi="Arial"/>
          <w:sz w:val="18"/>
          <w:szCs w:val="18"/>
          <w:color w:val="auto"/>
        </w:rPr>
      </w:pPr>
    </w:p>
    <w:p>
      <w:pPr>
        <w:ind w:left="1540" w:right="580"/>
        <w:spacing w:after="0" w:line="277" w:lineRule="auto"/>
        <w:rPr>
          <w:rFonts w:ascii="Arial" w:cs="Arial" w:eastAsia="Arial" w:hAnsi="Arial"/>
          <w:sz w:val="18"/>
          <w:szCs w:val="18"/>
          <w:color w:val="auto"/>
        </w:rPr>
      </w:pPr>
      <w:r>
        <w:rPr>
          <w:rFonts w:ascii="Arial" w:cs="Arial" w:eastAsia="Arial" w:hAnsi="Arial"/>
          <w:sz w:val="18"/>
          <w:szCs w:val="18"/>
          <w:color w:val="auto"/>
        </w:rPr>
        <w:t>Short-term bank deposits are deposits with an original maturity of more than three months but less than one year from the date of acquisition. The deposits are presented at their cost including accrued interest.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Marketable securities</w:t>
      </w:r>
    </w:p>
    <w:p>
      <w:pPr>
        <w:spacing w:after="0" w:line="225" w:lineRule="exact"/>
        <w:rPr>
          <w:rFonts w:ascii="Arial" w:cs="Arial" w:eastAsia="Arial" w:hAnsi="Arial"/>
          <w:sz w:val="18"/>
          <w:szCs w:val="18"/>
          <w:color w:val="auto"/>
        </w:rPr>
      </w:pPr>
    </w:p>
    <w:p>
      <w:pPr>
        <w:ind w:left="1540" w:right="300"/>
        <w:spacing w:after="0" w:line="264" w:lineRule="auto"/>
        <w:rPr>
          <w:rFonts w:ascii="Arial" w:cs="Arial" w:eastAsia="Arial" w:hAnsi="Arial"/>
          <w:sz w:val="18"/>
          <w:szCs w:val="18"/>
          <w:color w:val="auto"/>
        </w:rPr>
      </w:pPr>
      <w:r>
        <w:rPr>
          <w:rFonts w:ascii="Arial" w:cs="Arial" w:eastAsia="Arial" w:hAnsi="Arial"/>
          <w:sz w:val="18"/>
          <w:szCs w:val="18"/>
          <w:color w:val="auto"/>
        </w:rPr>
        <w:t>The Company accounts for investments in marketable securities in accordance with ASC 320, "Investments - Debt and Equity Securities". Management determines the appropriate classification of its investments in debt securities at the time of purchase and re-evaluates such determinations at each balance sheet date.</w:t>
      </w:r>
    </w:p>
    <w:p>
      <w:pPr>
        <w:spacing w:after="0" w:line="181" w:lineRule="exact"/>
        <w:rPr>
          <w:rFonts w:ascii="Arial" w:cs="Arial" w:eastAsia="Arial" w:hAnsi="Arial"/>
          <w:sz w:val="18"/>
          <w:szCs w:val="18"/>
          <w:color w:val="auto"/>
        </w:rPr>
      </w:pPr>
    </w:p>
    <w:p>
      <w:pPr>
        <w:ind w:left="1540" w:right="320"/>
        <w:spacing w:after="0" w:line="264" w:lineRule="auto"/>
        <w:rPr>
          <w:rFonts w:ascii="Arial" w:cs="Arial" w:eastAsia="Arial" w:hAnsi="Arial"/>
          <w:sz w:val="18"/>
          <w:szCs w:val="18"/>
          <w:color w:val="auto"/>
        </w:rPr>
      </w:pPr>
      <w:r>
        <w:rPr>
          <w:rFonts w:ascii="Arial" w:cs="Arial" w:eastAsia="Arial" w:hAnsi="Arial"/>
          <w:sz w:val="18"/>
          <w:szCs w:val="18"/>
          <w:color w:val="auto"/>
        </w:rPr>
        <w:t>The Company classifies marketable securities as available-for-sale. Available-for-sale securities are carried at fair value, with the unrealized gains and losses reported in "accumulated other comprehensive income (loss)" in shareholders' equity. Realized gains and losses on sales of investments are included in finance expenses, net.</w:t>
      </w:r>
    </w:p>
    <w:p>
      <w:pPr>
        <w:spacing w:after="0" w:line="181"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amortized cost of marketable securities is adjusted for amortization of premium and accretion of discount to maturity, both of which, together with interest, are included in finance expenses, net.</w:t>
      </w:r>
    </w:p>
    <w:p>
      <w:pPr>
        <w:spacing w:after="0" w:line="170" w:lineRule="exact"/>
        <w:rPr>
          <w:rFonts w:ascii="Arial" w:cs="Arial" w:eastAsia="Arial" w:hAnsi="Arial"/>
          <w:sz w:val="18"/>
          <w:szCs w:val="18"/>
          <w:color w:val="auto"/>
        </w:rPr>
      </w:pPr>
    </w:p>
    <w:p>
      <w:pPr>
        <w:ind w:left="1540" w:right="40"/>
        <w:spacing w:after="0" w:line="272" w:lineRule="auto"/>
        <w:rPr>
          <w:rFonts w:ascii="Arial" w:cs="Arial" w:eastAsia="Arial" w:hAnsi="Arial"/>
          <w:sz w:val="18"/>
          <w:szCs w:val="18"/>
          <w:color w:val="auto"/>
        </w:rPr>
      </w:pPr>
      <w:r>
        <w:rPr>
          <w:rFonts w:ascii="Arial" w:cs="Arial" w:eastAsia="Arial" w:hAnsi="Arial"/>
          <w:sz w:val="17"/>
          <w:szCs w:val="17"/>
          <w:color w:val="auto"/>
        </w:rPr>
        <w:t>The Company recognizes an impairment charge when a decline in the fair value of its investments in debt securities below the cost basis of such securities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that are deemed other-than-temporarily impaired (“OTTI”), the amount of impairment is recognized in the statement of operations and is limited to the amount related to credit losses, while impairment related to other factors is recognized in other comprehensive income (loss). The Company did not recognize OTTI on its marketable securities in 2015.</w:t>
      </w:r>
    </w:p>
    <w:p>
      <w:pPr>
        <w:spacing w:after="0" w:line="177" w:lineRule="exact"/>
        <w:rPr>
          <w:rFonts w:ascii="Arial" w:cs="Arial" w:eastAsia="Arial" w:hAnsi="Arial"/>
          <w:sz w:val="18"/>
          <w:szCs w:val="18"/>
          <w:color w:val="auto"/>
        </w:rPr>
      </w:pPr>
    </w:p>
    <w:p>
      <w:pPr>
        <w:ind w:left="1520" w:hanging="499"/>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jc w:val="both"/>
        <w:ind w:left="1540" w:right="120"/>
        <w:spacing w:after="0" w:line="286" w:lineRule="auto"/>
        <w:rPr>
          <w:rFonts w:ascii="Arial" w:cs="Arial" w:eastAsia="Arial" w:hAnsi="Arial"/>
          <w:sz w:val="18"/>
          <w:szCs w:val="18"/>
          <w:color w:val="auto"/>
        </w:rPr>
      </w:pPr>
      <w:r>
        <w:rPr>
          <w:rFonts w:ascii="Arial" w:cs="Arial" w:eastAsia="Arial" w:hAnsi="Arial"/>
          <w:sz w:val="17"/>
          <w:szCs w:val="17"/>
          <w:color w:val="auto"/>
        </w:rPr>
        <w:t>Inventories are measured at the lower of cost or market value. The cost of inventories comprises costs of purchase and costs incurred in bringing the inventories to their present location and condition. Inventory write-down is measured as the difference between the cost of the inventory and market based upon assumptions about future demand, and is charged to the cost of sales.</w:t>
      </w:r>
    </w:p>
    <w:p>
      <w:pPr>
        <w:spacing w:after="0" w:line="16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Cost of inventories is determined as follows: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Raw and packing materials - on the basis of weighted average cost.</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Finished goods - on the basis of average costs of materials, and other direct manufacturing cost.</w:t>
      </w:r>
    </w:p>
    <w:p>
      <w:pPr>
        <w:spacing w:after="0" w:line="225" w:lineRule="exact"/>
        <w:rPr>
          <w:rFonts w:ascii="Arial" w:cs="Arial" w:eastAsia="Arial" w:hAnsi="Arial"/>
          <w:sz w:val="18"/>
          <w:szCs w:val="18"/>
          <w:color w:val="auto"/>
        </w:rPr>
      </w:pPr>
    </w:p>
    <w:p>
      <w:pPr>
        <w:ind w:left="1540" w:right="140"/>
        <w:spacing w:after="0" w:line="277" w:lineRule="auto"/>
        <w:rPr>
          <w:rFonts w:ascii="Arial" w:cs="Arial" w:eastAsia="Arial" w:hAnsi="Arial"/>
          <w:sz w:val="18"/>
          <w:szCs w:val="18"/>
          <w:color w:val="auto"/>
        </w:rPr>
      </w:pPr>
      <w:r>
        <w:rPr>
          <w:rFonts w:ascii="Arial" w:cs="Arial" w:eastAsia="Arial" w:hAnsi="Arial"/>
          <w:sz w:val="18"/>
          <w:szCs w:val="18"/>
          <w:color w:val="auto"/>
        </w:rPr>
        <w:t>Inventory write off have been provided to cover risks arising from dead and slow moving items, technological obsolescence and excess inventories according to revenue forecasts.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right="200"/>
        <w:spacing w:after="0" w:line="277" w:lineRule="auto"/>
        <w:rPr>
          <w:sz w:val="20"/>
          <w:szCs w:val="20"/>
          <w:color w:val="auto"/>
        </w:rPr>
      </w:pPr>
      <w:r>
        <w:rPr>
          <w:rFonts w:ascii="Arial" w:cs="Arial" w:eastAsia="Arial" w:hAnsi="Arial"/>
          <w:sz w:val="18"/>
          <w:szCs w:val="18"/>
          <w:color w:val="auto"/>
        </w:rPr>
        <w:t>During the years ended December 31, 2013, 2014 and 2015 the Company recorded inventory write off in a total amount of $369, $287 and $824, respectively.</w:t>
      </w:r>
    </w:p>
    <w:p>
      <w:pPr>
        <w:spacing w:after="0" w:line="170" w:lineRule="exact"/>
        <w:rPr>
          <w:sz w:val="20"/>
          <w:szCs w:val="20"/>
          <w:color w:val="auto"/>
        </w:rPr>
      </w:pPr>
    </w:p>
    <w:p>
      <w:pPr>
        <w:ind w:left="1520" w:hanging="499"/>
        <w:spacing w:after="0"/>
        <w:tabs>
          <w:tab w:leader="none" w:pos="1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rFonts w:ascii="Arial" w:cs="Arial" w:eastAsia="Arial" w:hAnsi="Arial"/>
          <w:sz w:val="18"/>
          <w:szCs w:val="18"/>
          <w:color w:val="auto"/>
        </w:rPr>
      </w:pPr>
    </w:p>
    <w:p>
      <w:pPr>
        <w:jc w:val="both"/>
        <w:ind w:left="1540" w:right="200"/>
        <w:spacing w:after="0" w:line="264" w:lineRule="auto"/>
        <w:rPr>
          <w:rFonts w:ascii="Arial" w:cs="Arial" w:eastAsia="Arial" w:hAnsi="Arial"/>
          <w:sz w:val="18"/>
          <w:szCs w:val="18"/>
          <w:color w:val="auto"/>
        </w:rPr>
      </w:pPr>
      <w:r>
        <w:rPr>
          <w:rFonts w:ascii="Arial" w:cs="Arial" w:eastAsia="Arial" w:hAnsi="Arial"/>
          <w:sz w:val="18"/>
          <w:szCs w:val="18"/>
          <w:color w:val="auto"/>
        </w:rPr>
        <w:t>Property and equipment are measured at cost, including directly attributable costs, less accumulated depreciation and amortization and accumulated impairment losses. Depreciation and amortization is calculated on a straight-line basis over the useful life of the assets at annual rates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30"/>
        </w:trPr>
        <w:tc>
          <w:tcPr>
            <w:tcW w:w="186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103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7 - 20</w:t>
            </w:r>
          </w:p>
        </w:tc>
        <w:tc>
          <w:tcPr>
            <w:tcW w:w="100" w:type="dxa"/>
            <w:vAlign w:val="bottom"/>
            <w:shd w:val="clear" w:color="auto" w:fill="CCEEFF"/>
          </w:tcPr>
          <w:p>
            <w:pPr>
              <w:spacing w:after="0"/>
              <w:rPr>
                <w:sz w:val="21"/>
                <w:szCs w:val="21"/>
                <w:color w:val="auto"/>
              </w:rPr>
            </w:pPr>
          </w:p>
        </w:tc>
      </w:tr>
      <w:tr>
        <w:trPr>
          <w:trHeight w:val="243"/>
        </w:trPr>
        <w:tc>
          <w:tcPr>
            <w:tcW w:w="10300" w:type="dxa"/>
            <w:vAlign w:val="bottom"/>
            <w:gridSpan w:val="2"/>
          </w:tcPr>
          <w:p>
            <w:pPr>
              <w:ind w:left="1540"/>
              <w:spacing w:after="0"/>
              <w:rPr>
                <w:sz w:val="20"/>
                <w:szCs w:val="20"/>
                <w:color w:val="auto"/>
              </w:rPr>
            </w:pPr>
            <w:r>
              <w:rPr>
                <w:rFonts w:ascii="Arial" w:cs="Arial" w:eastAsia="Arial" w:hAnsi="Arial"/>
                <w:sz w:val="18"/>
                <w:szCs w:val="18"/>
                <w:color w:val="auto"/>
              </w:rPr>
              <w:t>Computer, peripheral equipment and software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21"/>
                <w:szCs w:val="21"/>
                <w:color w:val="auto"/>
              </w:rPr>
            </w:pPr>
          </w:p>
        </w:tc>
      </w:tr>
      <w:tr>
        <w:trPr>
          <w:trHeight w:val="243"/>
        </w:trPr>
        <w:tc>
          <w:tcPr>
            <w:tcW w:w="1030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Machinery and equipment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21"/>
                <w:szCs w:val="21"/>
                <w:color w:val="auto"/>
              </w:rPr>
            </w:pPr>
          </w:p>
        </w:tc>
      </w:tr>
      <w:tr>
        <w:trPr>
          <w:trHeight w:val="243"/>
        </w:trPr>
        <w:tc>
          <w:tcPr>
            <w:tcW w:w="10300" w:type="dxa"/>
            <w:vAlign w:val="bottom"/>
            <w:gridSpan w:val="2"/>
          </w:tcPr>
          <w:p>
            <w:pPr>
              <w:ind w:left="1540"/>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418"/>
        </w:trPr>
        <w:tc>
          <w:tcPr>
            <w:tcW w:w="1860" w:type="dxa"/>
            <w:vAlign w:val="bottom"/>
          </w:tcPr>
          <w:p>
            <w:pPr>
              <w:ind w:left="1540"/>
              <w:spacing w:after="0"/>
              <w:rPr>
                <w:sz w:val="20"/>
                <w:szCs w:val="20"/>
                <w:color w:val="auto"/>
              </w:rPr>
            </w:pPr>
            <w:r>
              <w:rPr>
                <w:rFonts w:ascii="Arial" w:cs="Arial" w:eastAsia="Arial" w:hAnsi="Arial"/>
                <w:sz w:val="18"/>
                <w:szCs w:val="18"/>
                <w:color w:val="auto"/>
              </w:rPr>
              <w:t>*)</w:t>
            </w:r>
          </w:p>
        </w:tc>
        <w:tc>
          <w:tcPr>
            <w:tcW w:w="9560" w:type="dxa"/>
            <w:vAlign w:val="bottom"/>
            <w:gridSpan w:val="3"/>
          </w:tcPr>
          <w:p>
            <w:pPr>
              <w:ind w:left="180"/>
              <w:spacing w:after="0"/>
              <w:rPr>
                <w:sz w:val="20"/>
                <w:szCs w:val="20"/>
                <w:color w:val="auto"/>
              </w:rPr>
            </w:pPr>
            <w:r>
              <w:rPr>
                <w:rFonts w:ascii="Arial" w:cs="Arial" w:eastAsia="Arial" w:hAnsi="Arial"/>
                <w:sz w:val="18"/>
                <w:szCs w:val="18"/>
                <w:color w:val="auto"/>
                <w:w w:val="91"/>
              </w:rPr>
              <w:t>Leasehold improvements are amortized on a straight-line basis over the shorter of the lease term (including the extension option</w:t>
            </w:r>
          </w:p>
        </w:tc>
      </w:tr>
      <w:tr>
        <w:trPr>
          <w:trHeight w:val="230"/>
        </w:trPr>
        <w:tc>
          <w:tcPr>
            <w:tcW w:w="1860" w:type="dxa"/>
            <w:vAlign w:val="bottom"/>
          </w:tcPr>
          <w:p>
            <w:pPr>
              <w:spacing w:after="0"/>
              <w:rPr>
                <w:sz w:val="20"/>
                <w:szCs w:val="20"/>
                <w:color w:val="auto"/>
              </w:rPr>
            </w:pPr>
          </w:p>
        </w:tc>
        <w:tc>
          <w:tcPr>
            <w:tcW w:w="8440" w:type="dxa"/>
            <w:vAlign w:val="bottom"/>
          </w:tcPr>
          <w:p>
            <w:pPr>
              <w:ind w:left="180"/>
              <w:spacing w:after="0"/>
              <w:rPr>
                <w:sz w:val="20"/>
                <w:szCs w:val="20"/>
                <w:color w:val="auto"/>
              </w:rPr>
            </w:pPr>
            <w:r>
              <w:rPr>
                <w:rFonts w:ascii="Arial" w:cs="Arial" w:eastAsia="Arial" w:hAnsi="Arial"/>
                <w:sz w:val="18"/>
                <w:szCs w:val="18"/>
                <w:color w:val="auto"/>
              </w:rPr>
              <w:t>held by the Company and intended to be exercised) and the expected life of the improvement.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-1337310</wp:posOffset>
            </wp:positionV>
            <wp:extent cx="969010" cy="926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69010" cy="926465"/>
                    </a:xfrm>
                    <a:prstGeom prst="rect">
                      <a:avLst/>
                    </a:prstGeom>
                    <a:noFill/>
                  </pic:spPr>
                </pic:pic>
              </a:graphicData>
            </a:graphic>
          </wp:anchor>
        </w:drawing>
      </w:r>
    </w:p>
    <w:p>
      <w:pPr>
        <w:spacing w:after="0" w:line="182" w:lineRule="exact"/>
        <w:rPr>
          <w:sz w:val="20"/>
          <w:szCs w:val="20"/>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25" w:lineRule="exact"/>
        <w:rPr>
          <w:rFonts w:ascii="Arial" w:cs="Arial" w:eastAsia="Arial" w:hAnsi="Arial"/>
          <w:sz w:val="18"/>
          <w:szCs w:val="18"/>
          <w:color w:val="auto"/>
        </w:rPr>
      </w:pPr>
    </w:p>
    <w:p>
      <w:pPr>
        <w:ind w:left="1540" w:right="160"/>
        <w:spacing w:after="0" w:line="277" w:lineRule="auto"/>
        <w:rPr>
          <w:rFonts w:ascii="Arial" w:cs="Arial" w:eastAsia="Arial" w:hAnsi="Arial"/>
          <w:sz w:val="18"/>
          <w:szCs w:val="18"/>
          <w:color w:val="auto"/>
        </w:rPr>
      </w:pPr>
      <w:r>
        <w:rPr>
          <w:rFonts w:ascii="Arial" w:cs="Arial" w:eastAsia="Arial" w:hAnsi="Arial"/>
          <w:sz w:val="18"/>
          <w:szCs w:val="18"/>
          <w:color w:val="auto"/>
        </w:rPr>
        <w:t>Acquired Intangible assets with definite lives are amortized over their estimated useful lives. The Company amortizes intangible assets on a straight-line basis with definite lives over periods ranging from six and a half to ten years.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Impairment of long lived assets and intangible assets subject to amortization:</w:t>
      </w:r>
    </w:p>
    <w:p>
      <w:pPr>
        <w:spacing w:after="0" w:line="225" w:lineRule="exact"/>
        <w:rPr>
          <w:rFonts w:ascii="Arial" w:cs="Arial" w:eastAsia="Arial" w:hAnsi="Arial"/>
          <w:sz w:val="18"/>
          <w:szCs w:val="18"/>
          <w:color w:val="auto"/>
        </w:rPr>
      </w:pPr>
    </w:p>
    <w:p>
      <w:pPr>
        <w:ind w:left="1540" w:right="40"/>
        <w:spacing w:after="0" w:line="255" w:lineRule="auto"/>
        <w:rPr>
          <w:rFonts w:ascii="Arial" w:cs="Arial" w:eastAsia="Arial" w:hAnsi="Arial"/>
          <w:sz w:val="18"/>
          <w:szCs w:val="18"/>
          <w:color w:val="auto"/>
        </w:rPr>
      </w:pPr>
      <w:r>
        <w:rPr>
          <w:rFonts w:ascii="Arial" w:cs="Arial" w:eastAsia="Arial" w:hAnsi="Arial"/>
          <w:sz w:val="18"/>
          <w:szCs w:val="18"/>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93"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During the years ended December 31, 2013, 2014 and 2015, no impairment losses were recorded.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25" w:lineRule="exact"/>
        <w:rPr>
          <w:rFonts w:ascii="Arial" w:cs="Arial" w:eastAsia="Arial" w:hAnsi="Arial"/>
          <w:sz w:val="18"/>
          <w:szCs w:val="18"/>
          <w:color w:val="auto"/>
        </w:rPr>
      </w:pPr>
    </w:p>
    <w:p>
      <w:pPr>
        <w:ind w:left="1540" w:right="100"/>
        <w:spacing w:after="0" w:line="297" w:lineRule="auto"/>
        <w:rPr>
          <w:rFonts w:ascii="Arial" w:cs="Arial" w:eastAsia="Arial" w:hAnsi="Arial"/>
          <w:sz w:val="18"/>
          <w:szCs w:val="18"/>
          <w:color w:val="auto"/>
        </w:rPr>
      </w:pPr>
      <w:r>
        <w:rPr>
          <w:rFonts w:ascii="Arial" w:cs="Arial" w:eastAsia="Arial" w:hAnsi="Arial"/>
          <w:sz w:val="16"/>
          <w:szCs w:val="16"/>
          <w:color w:val="auto"/>
        </w:rPr>
        <w:t>The Company accounted for business combinations in accordance with ASC No. 805, "Business Combinations" (ASC No. 805"). ASC No. 805 requires recognition of assets acquired, liabilities assumed, and any non-controlling interest at the acquisition date, measured at their fair values as of that date. Any excess of the fair value of net assets acquired over purchase price and any subsequent changes in estimated contingencies are to be recorded in consolidated statements of income. In addition, changes in valuation allowance related to acquired deferred tax assets and in acquired income tax position are to be recognized in consolidated statements of income.</w:t>
      </w:r>
    </w:p>
    <w:p>
      <w:pPr>
        <w:spacing w:after="0" w:line="158"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Acquisition related costs are expensed to the statements of income in the period incurred.</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540" w:right="420"/>
        <w:spacing w:after="0" w:line="342" w:lineRule="auto"/>
        <w:rPr>
          <w:rFonts w:ascii="Arial" w:cs="Arial" w:eastAsia="Arial" w:hAnsi="Arial"/>
          <w:sz w:val="18"/>
          <w:szCs w:val="18"/>
          <w:color w:val="auto"/>
        </w:rPr>
      </w:pPr>
      <w:r>
        <w:rPr>
          <w:rFonts w:ascii="Arial" w:cs="Arial" w:eastAsia="Arial" w:hAnsi="Arial"/>
          <w:sz w:val="16"/>
          <w:szCs w:val="16"/>
          <w:color w:val="auto"/>
        </w:rPr>
        <w:t>The Company generates revenues from the sale of its systems, inks and consumable products and from services to its products. The Company generates revenues from sale of its products directly to end-users and indirectly through independent distributors.</w:t>
      </w:r>
    </w:p>
    <w:p>
      <w:pPr>
        <w:spacing w:after="0" w:line="123" w:lineRule="exact"/>
        <w:rPr>
          <w:rFonts w:ascii="Arial" w:cs="Arial" w:eastAsia="Arial" w:hAnsi="Arial"/>
          <w:sz w:val="18"/>
          <w:szCs w:val="18"/>
          <w:color w:val="auto"/>
        </w:rPr>
      </w:pPr>
    </w:p>
    <w:p>
      <w:pPr>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Revenues from system sales are recognized in accordance with ASC No. 605, "Revenue Recognition" upon installation, provided that the collection of the resulting receivable is probable, there is persuasive evidence of an arrangement, no significant obligations in respect of installation remain and the price is fixed or determinable.</w:t>
      </w:r>
    </w:p>
    <w:p>
      <w:pPr>
        <w:spacing w:after="0" w:line="181" w:lineRule="exact"/>
        <w:rPr>
          <w:rFonts w:ascii="Arial" w:cs="Arial" w:eastAsia="Arial" w:hAnsi="Arial"/>
          <w:sz w:val="18"/>
          <w:szCs w:val="18"/>
          <w:color w:val="auto"/>
        </w:rPr>
      </w:pPr>
    </w:p>
    <w:p>
      <w:pPr>
        <w:ind w:left="1540" w:right="200"/>
        <w:spacing w:after="0" w:line="270" w:lineRule="auto"/>
        <w:rPr>
          <w:rFonts w:ascii="Arial" w:cs="Arial" w:eastAsia="Arial" w:hAnsi="Arial"/>
          <w:sz w:val="18"/>
          <w:szCs w:val="18"/>
          <w:color w:val="auto"/>
        </w:rPr>
      </w:pPr>
      <w:r>
        <w:rPr>
          <w:rFonts w:ascii="Arial" w:cs="Arial" w:eastAsia="Arial" w:hAnsi="Arial"/>
          <w:sz w:val="17"/>
          <w:szCs w:val="17"/>
          <w:color w:val="auto"/>
        </w:rPr>
        <w:t>Revenues from selling these products to independent distributors who do not install the systems are deferred until the Company’s products are installed in the customers’ premises by the Company’s service and support teams, provided that all other revenue recognition criteria are met. Revenues from selling products to independent distributors who install these systems are recognized upon delivery, provided that all other revenue recognition criteria are met. In respect of sale of products, installation of the systems and training, the Company considers the element in the arrangement to be a single unit of accounting. In accordance with ASC 605, the Company has concluded that its arrangements are generally consistent with the indicators suggesting that installation and training are essential to the functionality of the systems. Therefore, the Company recognizes revenue for the systems only upon installation and training when installation and training are the Company's responsibility. When the installation and training are not being performed by the Company, the Company would recognize the revenues upon delivery in accordance with the agreed-upon delivery terms once all other revenue recognition criteria have been met.</w:t>
      </w:r>
    </w:p>
    <w:p>
      <w:pPr>
        <w:spacing w:after="0" w:line="177" w:lineRule="exact"/>
        <w:rPr>
          <w:rFonts w:ascii="Arial" w:cs="Arial" w:eastAsia="Arial" w:hAnsi="Arial"/>
          <w:sz w:val="18"/>
          <w:szCs w:val="18"/>
          <w:color w:val="auto"/>
        </w:rPr>
      </w:pPr>
    </w:p>
    <w:p>
      <w:pPr>
        <w:ind w:left="1540" w:right="40"/>
        <w:spacing w:after="0" w:line="264" w:lineRule="auto"/>
        <w:rPr>
          <w:rFonts w:ascii="Arial" w:cs="Arial" w:eastAsia="Arial" w:hAnsi="Arial"/>
          <w:sz w:val="18"/>
          <w:szCs w:val="18"/>
          <w:color w:val="auto"/>
        </w:rPr>
      </w:pPr>
      <w:r>
        <w:rPr>
          <w:rFonts w:ascii="Arial" w:cs="Arial" w:eastAsia="Arial" w:hAnsi="Arial"/>
          <w:sz w:val="18"/>
          <w:szCs w:val="18"/>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right="380"/>
        <w:spacing w:after="0" w:line="277" w:lineRule="auto"/>
        <w:rPr>
          <w:sz w:val="20"/>
          <w:szCs w:val="20"/>
          <w:color w:val="auto"/>
        </w:rPr>
      </w:pPr>
      <w:r>
        <w:rPr>
          <w:rFonts w:ascii="Arial" w:cs="Arial" w:eastAsia="Arial" w:hAnsi="Arial"/>
          <w:sz w:val="18"/>
          <w:szCs w:val="18"/>
          <w:color w:val="auto"/>
        </w:rPr>
        <w:t>Revenues from ink and other consumable products when sold separately are generally recognized upon shipment assuming all other revenue recognition criteria have been met.</w:t>
      </w:r>
    </w:p>
    <w:p>
      <w:pPr>
        <w:spacing w:after="0" w:line="170" w:lineRule="exact"/>
        <w:rPr>
          <w:sz w:val="20"/>
          <w:szCs w:val="20"/>
          <w:color w:val="auto"/>
        </w:rPr>
      </w:pPr>
    </w:p>
    <w:p>
      <w:pPr>
        <w:ind w:left="1540" w:right="60"/>
        <w:spacing w:after="0" w:line="259" w:lineRule="auto"/>
        <w:rPr>
          <w:sz w:val="20"/>
          <w:szCs w:val="20"/>
          <w:color w:val="auto"/>
        </w:rPr>
      </w:pPr>
      <w:r>
        <w:rPr>
          <w:rFonts w:ascii="Arial" w:cs="Arial" w:eastAsia="Arial" w:hAnsi="Arial"/>
          <w:sz w:val="18"/>
          <w:szCs w:val="18"/>
          <w:color w:val="auto"/>
        </w:rPr>
        <w:t>Although, in general, the Company does not grant rights of return, there are certain instances where such rights are granted. The Company maintains a provision for returns in accordance with ASC 605, which is estimated, based primarily on historical experience as well as management judgment, and is recorded as reduction of revenue. Such provision amounted to $84, $348 and $ 396 as of December 31, 2013, 2014 and 2015, respectively.</w:t>
      </w:r>
    </w:p>
    <w:p>
      <w:pPr>
        <w:spacing w:after="0" w:line="18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Deferred revenue includes amounts received from customers for which revenue has not yet been recognized.</w:t>
      </w:r>
    </w:p>
    <w:p>
      <w:pPr>
        <w:spacing w:after="0" w:line="225" w:lineRule="exact"/>
        <w:rPr>
          <w:sz w:val="20"/>
          <w:szCs w:val="20"/>
          <w:color w:val="auto"/>
        </w:rPr>
      </w:pPr>
    </w:p>
    <w:p>
      <w:pPr>
        <w:ind w:left="1540" w:right="600"/>
        <w:spacing w:after="0" w:line="277" w:lineRule="auto"/>
        <w:rPr>
          <w:sz w:val="20"/>
          <w:szCs w:val="20"/>
          <w:color w:val="auto"/>
        </w:rPr>
      </w:pPr>
      <w:r>
        <w:rPr>
          <w:rFonts w:ascii="Arial" w:cs="Arial" w:eastAsia="Arial" w:hAnsi="Arial"/>
          <w:sz w:val="18"/>
          <w:szCs w:val="18"/>
          <w:color w:val="auto"/>
        </w:rPr>
        <w:t>In cases where the Company’s customers trade-in old systems as part of sales of new systems, the fair value of the old systems is recorded as inventory, provided that such value can be determined.</w:t>
      </w:r>
    </w:p>
    <w:p>
      <w:pPr>
        <w:spacing w:after="0" w:line="170" w:lineRule="exact"/>
        <w:rPr>
          <w:sz w:val="20"/>
          <w:szCs w:val="20"/>
          <w:color w:val="auto"/>
        </w:rPr>
      </w:pPr>
    </w:p>
    <w:p>
      <w:pPr>
        <w:ind w:left="1520" w:hanging="499"/>
        <w:spacing w:after="0"/>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rFonts w:ascii="Arial" w:cs="Arial" w:eastAsia="Arial" w:hAnsi="Arial"/>
          <w:sz w:val="18"/>
          <w:szCs w:val="18"/>
          <w:color w:val="auto"/>
        </w:rPr>
      </w:pPr>
    </w:p>
    <w:p>
      <w:pPr>
        <w:jc w:val="both"/>
        <w:ind w:left="1540" w:right="260"/>
        <w:spacing w:after="0" w:line="264" w:lineRule="auto"/>
        <w:rPr>
          <w:rFonts w:ascii="Arial" w:cs="Arial" w:eastAsia="Arial" w:hAnsi="Arial"/>
          <w:sz w:val="18"/>
          <w:szCs w:val="18"/>
          <w:color w:val="auto"/>
        </w:rPr>
      </w:pPr>
      <w:r>
        <w:rPr>
          <w:rFonts w:ascii="Arial" w:cs="Arial" w:eastAsia="Arial" w:hAnsi="Arial"/>
          <w:sz w:val="18"/>
          <w:szCs w:val="18"/>
          <w:color w:val="auto"/>
        </w:rPr>
        <w:t>Shipping and handling fees charged to the Company's customers are recognized as revenue in the period shipped and the related costs for providing these services are recorded as a cost of revenues. Revenues from shipping in the years ended December 31, 2013, 2014 and 2015 were $681, $931 and $719 respectively.</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225" w:lineRule="exact"/>
        <w:rPr>
          <w:rFonts w:ascii="Arial" w:cs="Arial" w:eastAsia="Arial" w:hAnsi="Arial"/>
          <w:sz w:val="18"/>
          <w:szCs w:val="18"/>
          <w:color w:val="auto"/>
        </w:rPr>
      </w:pPr>
    </w:p>
    <w:p>
      <w:pPr>
        <w:ind w:left="1540" w:right="260"/>
        <w:spacing w:after="0" w:line="277" w:lineRule="auto"/>
        <w:rPr>
          <w:rFonts w:ascii="Arial" w:cs="Arial" w:eastAsia="Arial" w:hAnsi="Arial"/>
          <w:sz w:val="18"/>
          <w:szCs w:val="18"/>
          <w:color w:val="auto"/>
        </w:rPr>
      </w:pPr>
      <w:r>
        <w:rPr>
          <w:rFonts w:ascii="Arial" w:cs="Arial" w:eastAsia="Arial" w:hAnsi="Arial"/>
          <w:sz w:val="18"/>
          <w:szCs w:val="18"/>
          <w:color w:val="auto"/>
        </w:rPr>
        <w:t>Cost of revenues is comprised mainly of cost of systems and ink production, employees' salaries and related costs, allocated overhead expenses, import taxes and royalties.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25" w:lineRule="exact"/>
        <w:rPr>
          <w:rFonts w:ascii="Arial" w:cs="Arial" w:eastAsia="Arial" w:hAnsi="Arial"/>
          <w:sz w:val="18"/>
          <w:szCs w:val="18"/>
          <w:color w:val="auto"/>
        </w:rPr>
      </w:pPr>
    </w:p>
    <w:p>
      <w:pPr>
        <w:ind w:left="1540" w:right="20"/>
        <w:spacing w:after="0" w:line="279" w:lineRule="auto"/>
        <w:rPr>
          <w:rFonts w:ascii="Arial" w:cs="Arial" w:eastAsia="Arial" w:hAnsi="Arial"/>
          <w:sz w:val="18"/>
          <w:szCs w:val="18"/>
          <w:color w:val="auto"/>
        </w:rPr>
      </w:pPr>
      <w:r>
        <w:rPr>
          <w:rFonts w:ascii="Arial" w:cs="Arial" w:eastAsia="Arial" w:hAnsi="Arial"/>
          <w:sz w:val="17"/>
          <w:szCs w:val="17"/>
          <w:color w:val="auto"/>
        </w:rPr>
        <w:t>The Company generally provides a one year warranty for all of its systems.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ectPr>
          <w:pgSz w:w="11900" w:h="16838" w:orient="portrait"/>
          <w:cols w:equalWidth="0" w:num="1">
            <w:col w:w="11420"/>
          </w:cols>
          <w:pgMar w:left="240" w:top="891" w:right="239" w:bottom="1440" w:gutter="0" w:footer="0" w:header="0"/>
        </w:sectPr>
      </w:pP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The followings are the changes in the liability for product warranty from January 1, 2014 to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7583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58315"/>
                    </a:xfrm>
                    <a:prstGeom prst="rect">
                      <a:avLst/>
                    </a:prstGeom>
                    <a:noFill/>
                  </pic:spPr>
                </pic:pic>
              </a:graphicData>
            </a:graphic>
          </wp:anchor>
        </w:drawing>
      </w:r>
    </w:p>
    <w:p>
      <w:pPr>
        <w:spacing w:after="0" w:line="25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 at January 1, 2014</w:t>
      </w:r>
    </w:p>
    <w:p>
      <w:pPr>
        <w:spacing w:after="0" w:line="27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Provision for warranties issued during the year</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Reduction for payments and costs to satisfy claims</w:t>
      </w:r>
    </w:p>
    <w:p>
      <w:pPr>
        <w:spacing w:after="0" w:line="26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 at December 31, 2014</w:t>
      </w:r>
    </w:p>
    <w:p>
      <w:pPr>
        <w:spacing w:after="0" w:line="360"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Provision for warranties issued during the year</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Reduction for payments and costs to satisfy claims</w:t>
      </w:r>
    </w:p>
    <w:p>
      <w:pPr>
        <w:spacing w:after="0" w:line="26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 at December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471</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1,354</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(1,141)</w:t>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684</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1,700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(1,444)</w:t>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40640</wp:posOffset>
            </wp:positionV>
            <wp:extent cx="6432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120" w:space="720"/>
            <w:col w:w="580"/>
          </w:cols>
          <w:pgMar w:left="240" w:top="891" w:right="239" w:bottom="1440" w:gutter="0" w:footer="0" w:header="0"/>
          <w:type w:val="continuous"/>
        </w:sectPr>
      </w:pPr>
    </w:p>
    <w:p>
      <w:pPr>
        <w:spacing w:after="0" w:line="93" w:lineRule="exact"/>
        <w:rPr>
          <w:sz w:val="20"/>
          <w:szCs w:val="20"/>
          <w:color w:val="auto"/>
        </w:rPr>
      </w:pPr>
    </w:p>
    <w:p>
      <w:pPr>
        <w:ind w:left="1520" w:hanging="499"/>
        <w:spacing w:after="0"/>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Research and development expenses are charged to the statement of income, as incurred.</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rFonts w:ascii="Arial" w:cs="Arial" w:eastAsia="Arial" w:hAnsi="Arial"/>
          <w:sz w:val="18"/>
          <w:szCs w:val="18"/>
          <w:color w:val="auto"/>
        </w:rPr>
      </w:pPr>
    </w:p>
    <w:p>
      <w:pPr>
        <w:ind w:left="1540" w:right="160"/>
        <w:spacing w:after="0" w:line="276" w:lineRule="auto"/>
        <w:rPr>
          <w:rFonts w:ascii="Arial" w:cs="Arial" w:eastAsia="Arial" w:hAnsi="Arial"/>
          <w:sz w:val="18"/>
          <w:szCs w:val="18"/>
          <w:color w:val="auto"/>
        </w:rPr>
      </w:pPr>
      <w:r>
        <w:rPr>
          <w:rFonts w:ascii="Arial" w:cs="Arial" w:eastAsia="Arial" w:hAnsi="Arial"/>
          <w:sz w:val="17"/>
          <w:szCs w:val="17"/>
          <w:color w:val="auto"/>
        </w:rPr>
        <w:t>The Company accounts for share based compensation in accordance with ASC No. 718, "Compensation - Stock Compensation"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income. ASC No. 718 requires forfeitures to be estimated at the time of the grant and revised in subsequent periods if actual forfeitures differ from those estimates.</w:t>
      </w:r>
    </w:p>
    <w:p>
      <w:pPr>
        <w:spacing w:after="0" w:line="172" w:lineRule="exact"/>
        <w:rPr>
          <w:rFonts w:ascii="Arial" w:cs="Arial" w:eastAsia="Arial" w:hAnsi="Arial"/>
          <w:sz w:val="18"/>
          <w:szCs w:val="18"/>
          <w:color w:val="auto"/>
        </w:rPr>
      </w:pPr>
    </w:p>
    <w:p>
      <w:pPr>
        <w:ind w:left="1540" w:right="280"/>
        <w:spacing w:after="0" w:line="277" w:lineRule="auto"/>
        <w:rPr>
          <w:rFonts w:ascii="Arial" w:cs="Arial" w:eastAsia="Arial" w:hAnsi="Arial"/>
          <w:sz w:val="18"/>
          <w:szCs w:val="18"/>
          <w:color w:val="auto"/>
        </w:rPr>
      </w:pPr>
      <w:r>
        <w:rPr>
          <w:rFonts w:ascii="Arial" w:cs="Arial" w:eastAsia="Arial" w:hAnsi="Arial"/>
          <w:sz w:val="18"/>
          <w:szCs w:val="18"/>
          <w:color w:val="auto"/>
        </w:rPr>
        <w:t>The Company selected the binomial option pricing model as the most appropriate fair value method for its share-based compensation awards with the following assumptions for the years ended December 31, 2013, 2014 and 2015:</w:t>
      </w:r>
    </w:p>
    <w:p>
      <w:pPr>
        <w:spacing w:after="0" w:line="166" w:lineRule="exact"/>
        <w:rPr>
          <w:sz w:val="20"/>
          <w:szCs w:val="20"/>
          <w:color w:val="auto"/>
        </w:rPr>
      </w:pPr>
    </w:p>
    <w:p>
      <w:pPr>
        <w:jc w:val="center"/>
        <w:ind w:left="752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69010" cy="12179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69010" cy="1217930"/>
                    </a:xfrm>
                    <a:prstGeom prst="rect">
                      <a:avLst/>
                    </a:prstGeom>
                    <a:noFill/>
                  </pic:spPr>
                </pic:pic>
              </a:graphicData>
            </a:graphic>
          </wp:anchor>
        </w:drawing>
      </w:r>
    </w:p>
    <w:p>
      <w:pPr>
        <w:spacing w:after="0" w:line="7" w:lineRule="exact"/>
        <w:rPr>
          <w:sz w:val="20"/>
          <w:szCs w:val="20"/>
          <w:color w:val="auto"/>
        </w:rPr>
      </w:pPr>
    </w:p>
    <w:p>
      <w:pPr>
        <w:jc w:val="center"/>
        <w:ind w:left="75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68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21"/>
                <w:szCs w:val="21"/>
                <w:color w:val="auto"/>
              </w:rPr>
            </w:pPr>
          </w:p>
        </w:tc>
      </w:tr>
      <w:tr>
        <w:trPr>
          <w:trHeight w:val="230"/>
        </w:trPr>
        <w:tc>
          <w:tcPr>
            <w:tcW w:w="7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76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Suboptimal exercise multiple</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3.0-10.0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2.0-10.0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w:t>
            </w:r>
          </w:p>
        </w:tc>
      </w:tr>
      <w:tr>
        <w:trPr>
          <w:trHeight w:val="243"/>
        </w:trPr>
        <w:tc>
          <w:tcPr>
            <w:tcW w:w="7680" w:type="dxa"/>
            <w:vAlign w:val="bottom"/>
          </w:tcPr>
          <w:p>
            <w:pPr>
              <w:ind w:left="1540"/>
              <w:spacing w:after="0"/>
              <w:rPr>
                <w:sz w:val="20"/>
                <w:szCs w:val="20"/>
                <w:color w:val="auto"/>
              </w:rPr>
            </w:pPr>
            <w:r>
              <w:rPr>
                <w:rFonts w:ascii="Arial" w:cs="Arial" w:eastAsia="Arial" w:hAnsi="Arial"/>
                <w:sz w:val="18"/>
                <w:szCs w:val="18"/>
                <w:color w:val="auto"/>
              </w:rPr>
              <w:t>Risk free interest rate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0.1%-2.5%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0.1%-2.5%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0.2%-2.2%</w:t>
            </w:r>
          </w:p>
        </w:tc>
      </w:tr>
      <w:tr>
        <w:trPr>
          <w:trHeight w:val="243"/>
        </w:trPr>
        <w:tc>
          <w:tcPr>
            <w:tcW w:w="76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Volatility</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50%-55%</w:t>
            </w:r>
          </w:p>
        </w:tc>
      </w:tr>
      <w:tr>
        <w:trPr>
          <w:trHeight w:val="243"/>
        </w:trPr>
        <w:tc>
          <w:tcPr>
            <w:tcW w:w="7680" w:type="dxa"/>
            <w:vAlign w:val="bottom"/>
          </w:tcPr>
          <w:p>
            <w:pPr>
              <w:ind w:left="1540"/>
              <w:spacing w:after="0"/>
              <w:rPr>
                <w:sz w:val="20"/>
                <w:szCs w:val="20"/>
                <w:color w:val="auto"/>
              </w:rPr>
            </w:pPr>
            <w:r>
              <w:rPr>
                <w:rFonts w:ascii="Arial" w:cs="Arial" w:eastAsia="Arial" w:hAnsi="Arial"/>
                <w:sz w:val="18"/>
                <w:szCs w:val="18"/>
                <w:color w:val="auto"/>
              </w:rPr>
              <w:t>Dividend yield</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left="1540" w:right="60"/>
        <w:spacing w:after="0" w:line="302" w:lineRule="auto"/>
        <w:rPr>
          <w:sz w:val="20"/>
          <w:szCs w:val="20"/>
          <w:color w:val="auto"/>
        </w:rPr>
      </w:pPr>
      <w:r>
        <w:rPr>
          <w:rFonts w:ascii="Arial" w:cs="Arial" w:eastAsia="Arial" w:hAnsi="Arial"/>
          <w:sz w:val="16"/>
          <w:szCs w:val="16"/>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 The early exercise factor of grantees in private companies is expected to be higher due to the lack of marketability that leads to longer exercise period of the options.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right="380"/>
        <w:spacing w:after="0" w:line="312" w:lineRule="auto"/>
        <w:rPr>
          <w:sz w:val="20"/>
          <w:szCs w:val="20"/>
          <w:color w:val="auto"/>
        </w:rPr>
      </w:pPr>
      <w:r>
        <w:rPr>
          <w:rFonts w:ascii="Arial" w:cs="Arial" w:eastAsia="Arial" w:hAnsi="Arial"/>
          <w:sz w:val="16"/>
          <w:szCs w:val="16"/>
          <w:color w:val="auto"/>
        </w:rPr>
        <w:t>The forfeiture rates are based the activity status of the options granted between the years 2004 and 2015. 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47" w:lineRule="exact"/>
        <w:rPr>
          <w:sz w:val="20"/>
          <w:szCs w:val="20"/>
          <w:color w:val="auto"/>
        </w:rPr>
      </w:pPr>
    </w:p>
    <w:p>
      <w:pPr>
        <w:ind w:left="1540" w:right="400"/>
        <w:spacing w:after="0" w:line="277" w:lineRule="auto"/>
        <w:rPr>
          <w:sz w:val="20"/>
          <w:szCs w:val="20"/>
          <w:color w:val="auto"/>
        </w:rPr>
      </w:pPr>
      <w:r>
        <w:rPr>
          <w:rFonts w:ascii="Arial" w:cs="Arial" w:eastAsia="Arial" w:hAnsi="Arial"/>
          <w:sz w:val="18"/>
          <w:szCs w:val="18"/>
          <w:color w:val="auto"/>
        </w:rPr>
        <w:t>The following table sets forth the total share based compensation expense included in the consolidated statements of income for the years ended December 31, 2013, 2014 and 2015:</w:t>
      </w:r>
    </w:p>
    <w:p>
      <w:pPr>
        <w:spacing w:after="0" w:line="166"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969010" cy="1551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69010" cy="1551940"/>
                    </a:xfrm>
                    <a:prstGeom prst="rect">
                      <a:avLst/>
                    </a:prstGeom>
                    <a:noFill/>
                  </pic:spPr>
                </pic:pic>
              </a:graphicData>
            </a:graphic>
          </wp:anchor>
        </w:drawing>
      </w:r>
    </w:p>
    <w:p>
      <w:pPr>
        <w:spacing w:after="0" w:line="7" w:lineRule="exact"/>
        <w:rPr>
          <w:sz w:val="20"/>
          <w:szCs w:val="20"/>
          <w:color w:val="auto"/>
        </w:rPr>
      </w:pPr>
    </w:p>
    <w:p>
      <w:pPr>
        <w:jc w:val="center"/>
        <w:ind w:left="77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r>
      <w:tr>
        <w:trPr>
          <w:trHeight w:val="230"/>
        </w:trPr>
        <w:tc>
          <w:tcPr>
            <w:tcW w:w="6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1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Cost of revenues</w:t>
            </w:r>
          </w:p>
        </w:tc>
        <w:tc>
          <w:tcPr>
            <w:tcW w:w="24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21"/>
                <w:szCs w:val="21"/>
                <w:color w:val="auto"/>
              </w:rPr>
            </w:pPr>
          </w:p>
        </w:tc>
      </w:tr>
      <w:tr>
        <w:trPr>
          <w:trHeight w:val="243"/>
        </w:trPr>
        <w:tc>
          <w:tcPr>
            <w:tcW w:w="6160" w:type="dxa"/>
            <w:vAlign w:val="bottom"/>
          </w:tcPr>
          <w:p>
            <w:pPr>
              <w:ind w:left="154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r>
      <w:tr>
        <w:trPr>
          <w:trHeight w:val="243"/>
        </w:trPr>
        <w:tc>
          <w:tcPr>
            <w:tcW w:w="61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Sales and marketing</w:t>
            </w:r>
          </w:p>
        </w:tc>
        <w:tc>
          <w:tcPr>
            <w:tcW w:w="16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207</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21"/>
                <w:szCs w:val="21"/>
                <w:color w:val="auto"/>
              </w:rPr>
            </w:pPr>
          </w:p>
        </w:tc>
      </w:tr>
      <w:tr>
        <w:trPr>
          <w:trHeight w:val="237"/>
        </w:trPr>
        <w:tc>
          <w:tcPr>
            <w:tcW w:w="6160" w:type="dxa"/>
            <w:vAlign w:val="bottom"/>
          </w:tcPr>
          <w:p>
            <w:pPr>
              <w:ind w:left="1540"/>
              <w:spacing w:after="0"/>
              <w:rPr>
                <w:sz w:val="20"/>
                <w:szCs w:val="20"/>
                <w:color w:val="auto"/>
              </w:rPr>
            </w:pPr>
            <w:r>
              <w:rPr>
                <w:rFonts w:ascii="Arial" w:cs="Arial" w:eastAsia="Arial" w:hAnsi="Arial"/>
                <w:sz w:val="18"/>
                <w:szCs w:val="18"/>
                <w:color w:val="auto"/>
              </w:rPr>
              <w:t>General and administrative</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508</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0"/>
                <w:szCs w:val="20"/>
                <w:color w:val="auto"/>
              </w:rPr>
            </w:pPr>
          </w:p>
        </w:tc>
      </w:tr>
      <w:tr>
        <w:trPr>
          <w:trHeight w:val="230"/>
        </w:trPr>
        <w:tc>
          <w:tcPr>
            <w:tcW w:w="616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64"/>
        </w:trPr>
        <w:tc>
          <w:tcPr>
            <w:tcW w:w="6160" w:type="dxa"/>
            <w:vAlign w:val="bottom"/>
          </w:tcPr>
          <w:p>
            <w:pPr>
              <w:ind w:left="1540"/>
              <w:spacing w:after="0"/>
              <w:rPr>
                <w:sz w:val="20"/>
                <w:szCs w:val="20"/>
                <w:color w:val="auto"/>
              </w:rPr>
            </w:pPr>
            <w:r>
              <w:rPr>
                <w:rFonts w:ascii="Arial" w:cs="Arial" w:eastAsia="Arial" w:hAnsi="Arial"/>
                <w:sz w:val="18"/>
                <w:szCs w:val="18"/>
                <w:color w:val="auto"/>
              </w:rPr>
              <w:t>Total share-based compensation expense</w:t>
            </w:r>
          </w:p>
        </w:tc>
        <w:tc>
          <w:tcPr>
            <w:tcW w:w="240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126</w:t>
            </w:r>
          </w:p>
        </w:tc>
        <w:tc>
          <w:tcPr>
            <w:tcW w:w="8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897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2"/>
                <w:szCs w:val="22"/>
                <w:color w:val="auto"/>
              </w:rPr>
            </w:pPr>
          </w:p>
        </w:tc>
      </w:tr>
      <w:tr>
        <w:trPr>
          <w:trHeight w:val="21"/>
        </w:trPr>
        <w:tc>
          <w:tcPr>
            <w:tcW w:w="6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Derivatives and hedging:</w:t>
      </w:r>
    </w:p>
    <w:p>
      <w:pPr>
        <w:spacing w:after="0" w:line="225" w:lineRule="exact"/>
        <w:rPr>
          <w:rFonts w:ascii="Arial" w:cs="Arial" w:eastAsia="Arial" w:hAnsi="Arial"/>
          <w:sz w:val="18"/>
          <w:szCs w:val="18"/>
          <w:color w:val="auto"/>
        </w:rPr>
      </w:pPr>
    </w:p>
    <w:p>
      <w:pPr>
        <w:ind w:left="1540" w:right="80"/>
        <w:spacing w:after="0" w:line="259" w:lineRule="auto"/>
        <w:rPr>
          <w:rFonts w:ascii="Arial" w:cs="Arial" w:eastAsia="Arial" w:hAnsi="Arial"/>
          <w:sz w:val="18"/>
          <w:szCs w:val="18"/>
          <w:color w:val="auto"/>
        </w:rPr>
      </w:pPr>
      <w:r>
        <w:rPr>
          <w:rFonts w:ascii="Arial" w:cs="Arial" w:eastAsia="Arial" w:hAnsi="Arial"/>
          <w:sz w:val="18"/>
          <w:szCs w:val="18"/>
          <w:color w:val="auto"/>
        </w:rPr>
        <w:t>The Company accounts for derivatives and hedging based on ASC No. 815, "Derivatives and Hedging" ("ASC No. 815"). ASC No. 815 requires the Company to recognize all derivatives on the balance sheet at fair value. The accounting for changes in the fair value (i.e., gains or losses) of a derivative instrument depends on whether it has been designated and qualifies as part of a hedging relationship and further, on the type of hedging relationship.</w:t>
      </w:r>
    </w:p>
    <w:p>
      <w:pPr>
        <w:spacing w:after="0" w:line="186" w:lineRule="exact"/>
        <w:rPr>
          <w:rFonts w:ascii="Arial" w:cs="Arial" w:eastAsia="Arial" w:hAnsi="Arial"/>
          <w:sz w:val="18"/>
          <w:szCs w:val="18"/>
          <w:color w:val="auto"/>
        </w:rPr>
      </w:pPr>
    </w:p>
    <w:p>
      <w:pPr>
        <w:ind w:left="1540" w:right="100"/>
        <w:spacing w:after="0" w:line="273" w:lineRule="auto"/>
        <w:rPr>
          <w:rFonts w:ascii="Arial" w:cs="Arial" w:eastAsia="Arial" w:hAnsi="Arial"/>
          <w:sz w:val="18"/>
          <w:szCs w:val="18"/>
          <w:color w:val="auto"/>
        </w:rPr>
      </w:pPr>
      <w:r>
        <w:rPr>
          <w:rFonts w:ascii="Arial" w:cs="Arial" w:eastAsia="Arial" w:hAnsi="Arial"/>
          <w:sz w:val="17"/>
          <w:szCs w:val="17"/>
          <w:color w:val="auto"/>
        </w:rPr>
        <w:t>According to ASC No. 815, for derivative instruments that are designated and qualify as hedging instruments, the Company must designate the hedging instrument, based upon the exposure being hedged, as a fair value hedge, cash flow hedge, or a hedge of a net investment in a foreign operation. If the derivatives meet the definition of a hedge and are so designated, depending on the nature of the hedge, changes in the fair value of such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178" w:lineRule="exact"/>
        <w:rPr>
          <w:rFonts w:ascii="Arial" w:cs="Arial" w:eastAsia="Arial" w:hAnsi="Arial"/>
          <w:sz w:val="18"/>
          <w:szCs w:val="18"/>
          <w:color w:val="auto"/>
        </w:rPr>
      </w:pPr>
    </w:p>
    <w:p>
      <w:pPr>
        <w:ind w:left="1540" w:right="80"/>
        <w:spacing w:after="0" w:line="276" w:lineRule="auto"/>
        <w:rPr>
          <w:rFonts w:ascii="Arial" w:cs="Arial" w:eastAsia="Arial" w:hAnsi="Arial"/>
          <w:sz w:val="18"/>
          <w:szCs w:val="18"/>
          <w:color w:val="auto"/>
        </w:rPr>
      </w:pPr>
      <w:r>
        <w:rPr>
          <w:rFonts w:ascii="Arial" w:cs="Arial" w:eastAsia="Arial" w:hAnsi="Arial"/>
          <w:sz w:val="17"/>
          <w:szCs w:val="17"/>
          <w:color w:val="auto"/>
        </w:rPr>
        <w:t>Starting 2015, the Company entered into forward and option contracts to hedge against the risk of overall changes in future cash flow from payments of payroll and related expenses denominated in New Israeli Shekels ("NIS"). As of December 31, 2015, the fair value of the Company's outstanding forward and option contracts amounted to $28 which is included within accrued expenses and other current liabilities in the balance sheets. The Company measured the fair value of these contracts in accordance with ASC No. 820, "Fair Value Measurements and Disclosures" ("ASC No. 820"), and they were classified as level 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As of December 31, 2015, the notional principal amount of the hedging contracts to sell U.S. dollars held by the Company was $8,453.</w:t>
      </w:r>
    </w:p>
    <w:p>
      <w:pPr>
        <w:spacing w:after="0" w:line="248" w:lineRule="exact"/>
        <w:rPr>
          <w:sz w:val="20"/>
          <w:szCs w:val="20"/>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225" w:lineRule="exact"/>
        <w:rPr>
          <w:rFonts w:ascii="Arial" w:cs="Arial" w:eastAsia="Arial" w:hAnsi="Arial"/>
          <w:sz w:val="18"/>
          <w:szCs w:val="18"/>
          <w:color w:val="auto"/>
        </w:rPr>
      </w:pPr>
    </w:p>
    <w:p>
      <w:pPr>
        <w:ind w:left="1540" w:right="40"/>
        <w:spacing w:after="0" w:line="277" w:lineRule="auto"/>
        <w:rPr>
          <w:rFonts w:ascii="Arial" w:cs="Arial" w:eastAsia="Arial" w:hAnsi="Arial"/>
          <w:sz w:val="18"/>
          <w:szCs w:val="18"/>
          <w:color w:val="auto"/>
        </w:rPr>
      </w:pPr>
      <w:r>
        <w:rPr>
          <w:rFonts w:ascii="Arial" w:cs="Arial" w:eastAsia="Arial" w:hAnsi="Arial"/>
          <w:sz w:val="18"/>
          <w:szCs w:val="18"/>
          <w:color w:val="auto"/>
        </w:rPr>
        <w:t>Advertising costs are charged to operations as incurred and were $501, $437 and $283 for the years ended December 31, 2013, 2014 and 2015, respectively.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1540" w:right="40"/>
        <w:spacing w:after="0" w:line="276" w:lineRule="auto"/>
        <w:rPr>
          <w:rFonts w:ascii="Arial" w:cs="Arial" w:eastAsia="Arial" w:hAnsi="Arial"/>
          <w:sz w:val="18"/>
          <w:szCs w:val="18"/>
          <w:color w:val="auto"/>
        </w:rPr>
      </w:pPr>
      <w:r>
        <w:rPr>
          <w:rFonts w:ascii="Arial" w:cs="Arial" w:eastAsia="Arial" w:hAnsi="Arial"/>
          <w:sz w:val="17"/>
          <w:szCs w:val="17"/>
          <w:color w:val="auto"/>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w:t>
      </w:r>
    </w:p>
    <w:p>
      <w:pPr>
        <w:spacing w:after="0" w:line="172" w:lineRule="exact"/>
        <w:rPr>
          <w:rFonts w:ascii="Arial" w:cs="Arial" w:eastAsia="Arial" w:hAnsi="Arial"/>
          <w:sz w:val="18"/>
          <w:szCs w:val="18"/>
          <w:color w:val="auto"/>
        </w:rPr>
      </w:pPr>
    </w:p>
    <w:p>
      <w:pPr>
        <w:ind w:left="1540" w:right="120"/>
        <w:spacing w:after="0" w:line="255" w:lineRule="auto"/>
        <w:rPr>
          <w:rFonts w:ascii="Arial" w:cs="Arial" w:eastAsia="Arial" w:hAnsi="Arial"/>
          <w:sz w:val="18"/>
          <w:szCs w:val="18"/>
          <w:color w:val="auto"/>
        </w:rPr>
      </w:pPr>
      <w:r>
        <w:rPr>
          <w:rFonts w:ascii="Arial" w:cs="Arial" w:eastAsia="Arial" w:hAnsi="Arial"/>
          <w:sz w:val="18"/>
          <w:szCs w:val="18"/>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spacing w:after="0" w:line="193" w:lineRule="exact"/>
        <w:rPr>
          <w:rFonts w:ascii="Arial" w:cs="Arial" w:eastAsia="Arial" w:hAnsi="Arial"/>
          <w:sz w:val="18"/>
          <w:szCs w:val="18"/>
          <w:color w:val="auto"/>
        </w:rPr>
      </w:pPr>
    </w:p>
    <w:p>
      <w:pPr>
        <w:ind w:left="1540" w:right="160"/>
        <w:spacing w:after="0" w:line="257" w:lineRule="auto"/>
        <w:rPr>
          <w:rFonts w:ascii="Arial" w:cs="Arial" w:eastAsia="Arial" w:hAnsi="Arial"/>
          <w:sz w:val="18"/>
          <w:szCs w:val="18"/>
          <w:color w:val="auto"/>
        </w:rPr>
      </w:pPr>
      <w:r>
        <w:rPr>
          <w:rFonts w:ascii="Arial" w:cs="Arial" w:eastAsia="Arial" w:hAnsi="Arial"/>
          <w:sz w:val="18"/>
          <w:szCs w:val="18"/>
          <w:color w:val="auto"/>
        </w:rPr>
        <w:t>In November 2015, the FASB issued Accounting Standards Update No. 2015-17 (ASU 2015-17) “Income Taxes (Topic 740): Balance Sheet Classification of Deferred Taxes”. ASU 2015-17 simplifies the presentation of deferred income taxes by eliminating the separate classification of deferred income tax liabilities and assets into current and noncurrent amounts in the consolidated balance sheet statement of financial position. The amendments in the update require that all deferred tax liabilities and assets be classified as noncurrent in the consolidated balance sheet.</w:t>
      </w:r>
    </w:p>
    <w:p>
      <w:pPr>
        <w:spacing w:after="0" w:line="188" w:lineRule="exact"/>
        <w:rPr>
          <w:rFonts w:ascii="Arial" w:cs="Arial" w:eastAsia="Arial" w:hAnsi="Arial"/>
          <w:sz w:val="18"/>
          <w:szCs w:val="18"/>
          <w:color w:val="auto"/>
        </w:rPr>
      </w:pPr>
    </w:p>
    <w:p>
      <w:pPr>
        <w:ind w:left="1540" w:right="40"/>
        <w:spacing w:after="0" w:line="286" w:lineRule="auto"/>
        <w:rPr>
          <w:rFonts w:ascii="Arial" w:cs="Arial" w:eastAsia="Arial" w:hAnsi="Arial"/>
          <w:sz w:val="18"/>
          <w:szCs w:val="18"/>
          <w:color w:val="auto"/>
        </w:rPr>
      </w:pPr>
      <w:r>
        <w:rPr>
          <w:rFonts w:ascii="Arial" w:cs="Arial" w:eastAsia="Arial" w:hAnsi="Arial"/>
          <w:sz w:val="17"/>
          <w:szCs w:val="17"/>
          <w:color w:val="auto"/>
        </w:rPr>
        <w:t>The amendments in this update are effective for annual periods beginning after December 15, 2016, and interim periods therein and may be applied either prospectively or retrospectively to all periods presented. Early adoption is permitted. The Company has early adopted this standard in the fourth quarter of 2015 on a retrospective basis. Prior periods have been retrospectively adjusted.</w:t>
      </w:r>
    </w:p>
    <w:p>
      <w:pPr>
        <w:spacing w:after="0" w:line="165" w:lineRule="exact"/>
        <w:rPr>
          <w:rFonts w:ascii="Arial" w:cs="Arial" w:eastAsia="Arial" w:hAnsi="Arial"/>
          <w:sz w:val="18"/>
          <w:szCs w:val="18"/>
          <w:color w:val="auto"/>
        </w:rPr>
      </w:pPr>
    </w:p>
    <w:p>
      <w:pPr>
        <w:ind w:left="1540" w:right="40"/>
        <w:spacing w:after="0" w:line="342" w:lineRule="auto"/>
        <w:rPr>
          <w:rFonts w:ascii="Arial" w:cs="Arial" w:eastAsia="Arial" w:hAnsi="Arial"/>
          <w:sz w:val="18"/>
          <w:szCs w:val="18"/>
          <w:color w:val="auto"/>
        </w:rPr>
      </w:pPr>
      <w:r>
        <w:rPr>
          <w:rFonts w:ascii="Arial" w:cs="Arial" w:eastAsia="Arial" w:hAnsi="Arial"/>
          <w:sz w:val="16"/>
          <w:szCs w:val="16"/>
          <w:color w:val="auto"/>
        </w:rPr>
        <w:t>As a result of the adoption of ASU 2015-17, the Company made the following adjustments to the 2014 balance sheet: a $323 decrease to current deferred tax assets, a $201 increase to noncurrent deferred tax asset and a decrease of $122 to noncurrent deferred tax liability.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225" w:lineRule="exact"/>
        <w:rPr>
          <w:rFonts w:ascii="Arial" w:cs="Arial" w:eastAsia="Arial" w:hAnsi="Arial"/>
          <w:sz w:val="18"/>
          <w:szCs w:val="18"/>
          <w:color w:val="auto"/>
        </w:rPr>
      </w:pPr>
    </w:p>
    <w:p>
      <w:pPr>
        <w:ind w:left="1540" w:right="40"/>
        <w:spacing w:after="0" w:line="308" w:lineRule="auto"/>
        <w:rPr>
          <w:rFonts w:ascii="Arial" w:cs="Arial" w:eastAsia="Arial" w:hAnsi="Arial"/>
          <w:sz w:val="18"/>
          <w:szCs w:val="18"/>
          <w:color w:val="auto"/>
        </w:rPr>
      </w:pPr>
      <w:r>
        <w:rPr>
          <w:rFonts w:ascii="Arial" w:cs="Arial" w:eastAsia="Arial" w:hAnsi="Arial"/>
          <w:sz w:val="17"/>
          <w:szCs w:val="17"/>
          <w:color w:val="auto"/>
        </w:rPr>
        <w:t>Financial instruments that potentially subject the Company and its subsidiaries to concentrations of credit risk consist principally of cash and cash equivalents, bank deposits, marketable securities, foreign exchange contracts and trade receivables.</w:t>
      </w:r>
    </w:p>
    <w:p>
      <w:pPr>
        <w:spacing w:after="0" w:line="146" w:lineRule="exact"/>
        <w:rPr>
          <w:rFonts w:ascii="Arial" w:cs="Arial" w:eastAsia="Arial" w:hAnsi="Arial"/>
          <w:sz w:val="18"/>
          <w:szCs w:val="18"/>
          <w:color w:val="auto"/>
        </w:rPr>
      </w:pPr>
    </w:p>
    <w:p>
      <w:pPr>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The majority of the Company's and its subsidiaries' cash and cash equivalents, bank deposits and marketable securities are invested in major banks in Israel and the U.S. Generally, these cash equivalents may be redeemed upon demand and, therefore management believes that it bears a lower risk.</w:t>
      </w:r>
    </w:p>
    <w:p>
      <w:pPr>
        <w:spacing w:after="0" w:line="181" w:lineRule="exact"/>
        <w:rPr>
          <w:rFonts w:ascii="Arial" w:cs="Arial" w:eastAsia="Arial" w:hAnsi="Arial"/>
          <w:sz w:val="18"/>
          <w:szCs w:val="18"/>
          <w:color w:val="auto"/>
        </w:rPr>
      </w:pPr>
    </w:p>
    <w:p>
      <w:pPr>
        <w:ind w:left="1540" w:right="140"/>
        <w:spacing w:after="0" w:line="257" w:lineRule="auto"/>
        <w:rPr>
          <w:rFonts w:ascii="Arial" w:cs="Arial" w:eastAsia="Arial" w:hAnsi="Arial"/>
          <w:sz w:val="18"/>
          <w:szCs w:val="18"/>
          <w:color w:val="auto"/>
        </w:rPr>
      </w:pPr>
      <w:r>
        <w:rPr>
          <w:rFonts w:ascii="Arial" w:cs="Arial" w:eastAsia="Arial" w:hAnsi="Arial"/>
          <w:sz w:val="18"/>
          <w:szCs w:val="18"/>
          <w:color w:val="auto"/>
        </w:rPr>
        <w:t>The Company attempt to limit its exposure to interest rate risk by investing in securities with maturities of less than three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spacing w:after="0" w:line="188" w:lineRule="exact"/>
        <w:rPr>
          <w:rFonts w:ascii="Arial" w:cs="Arial" w:eastAsia="Arial" w:hAnsi="Arial"/>
          <w:sz w:val="18"/>
          <w:szCs w:val="18"/>
          <w:color w:val="auto"/>
        </w:rPr>
      </w:pPr>
    </w:p>
    <w:p>
      <w:pPr>
        <w:ind w:left="1540" w:right="60"/>
        <w:spacing w:after="0" w:line="312" w:lineRule="auto"/>
        <w:rPr>
          <w:rFonts w:ascii="Arial" w:cs="Arial" w:eastAsia="Arial" w:hAnsi="Arial"/>
          <w:sz w:val="18"/>
          <w:szCs w:val="18"/>
          <w:color w:val="auto"/>
        </w:rPr>
      </w:pPr>
      <w:r>
        <w:rPr>
          <w:rFonts w:ascii="Arial" w:cs="Arial" w:eastAsia="Arial" w:hAnsi="Arial"/>
          <w:sz w:val="16"/>
          <w:szCs w:val="16"/>
          <w:color w:val="auto"/>
        </w:rPr>
        <w:t>The trade receivables of the Company and its subsidiaries are mainly derived from sales to customers located in the United States, Europe, the Middle East, Africa and Asia Pacific. The Company performs ongoing credit evaluations of its customers. An allowance for doubtful accounts is determined with respect to those amounts that the Company has determined to be doubtful of collection.</w:t>
      </w:r>
    </w:p>
    <w:p>
      <w:pPr>
        <w:spacing w:after="0" w:line="146" w:lineRule="exact"/>
        <w:rPr>
          <w:rFonts w:ascii="Arial" w:cs="Arial" w:eastAsia="Arial" w:hAnsi="Arial"/>
          <w:sz w:val="18"/>
          <w:szCs w:val="18"/>
          <w:color w:val="auto"/>
        </w:rPr>
      </w:pPr>
    </w:p>
    <w:p>
      <w:pPr>
        <w:ind w:left="1540" w:right="320"/>
        <w:spacing w:after="0" w:line="308" w:lineRule="auto"/>
        <w:rPr>
          <w:rFonts w:ascii="Arial" w:cs="Arial" w:eastAsia="Arial" w:hAnsi="Arial"/>
          <w:sz w:val="18"/>
          <w:szCs w:val="18"/>
          <w:color w:val="auto"/>
        </w:rPr>
      </w:pPr>
      <w:r>
        <w:rPr>
          <w:rFonts w:ascii="Arial" w:cs="Arial" w:eastAsia="Arial" w:hAnsi="Arial"/>
          <w:sz w:val="17"/>
          <w:szCs w:val="17"/>
          <w:color w:val="auto"/>
        </w:rPr>
        <w:t>In certain circumstances, the Company may require from its customers letters of credit, other collateral or additional guarantees. Bad debt expenses for the years ended December 31, 2013, 2014 and 2015, were 0, 0 and $21 respectively.</w:t>
      </w:r>
    </w:p>
    <w:p>
      <w:pPr>
        <w:spacing w:after="0" w:line="146" w:lineRule="exact"/>
        <w:rPr>
          <w:rFonts w:ascii="Arial" w:cs="Arial" w:eastAsia="Arial" w:hAnsi="Arial"/>
          <w:sz w:val="18"/>
          <w:szCs w:val="18"/>
          <w:color w:val="auto"/>
        </w:rPr>
      </w:pPr>
    </w:p>
    <w:p>
      <w:pPr>
        <w:ind w:left="1520" w:hanging="499"/>
        <w:spacing w:after="0"/>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ind w:left="1540"/>
        <w:spacing w:after="0" w:line="257" w:lineRule="auto"/>
        <w:rPr>
          <w:rFonts w:ascii="Arial" w:cs="Arial" w:eastAsia="Arial" w:hAnsi="Arial"/>
          <w:sz w:val="18"/>
          <w:szCs w:val="18"/>
          <w:color w:val="auto"/>
        </w:rPr>
      </w:pPr>
      <w:r>
        <w:rPr>
          <w:rFonts w:ascii="Arial" w:cs="Arial" w:eastAsia="Arial" w:hAnsi="Arial"/>
          <w:sz w:val="18"/>
          <w:szCs w:val="18"/>
          <w:color w:val="auto"/>
        </w:rPr>
        <w:t>The majority of 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the severance liabilities in respect of those employees. Neither severance pay liability nor severance pay fund under Section 14 for such employees is recorded on the Company's balance sheet.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right="60"/>
        <w:spacing w:after="0" w:line="276" w:lineRule="auto"/>
        <w:rPr>
          <w:sz w:val="20"/>
          <w:szCs w:val="20"/>
          <w:color w:val="auto"/>
        </w:rPr>
      </w:pPr>
      <w:r>
        <w:rPr>
          <w:rFonts w:ascii="Arial" w:cs="Arial" w:eastAsia="Arial" w:hAnsi="Arial"/>
          <w:sz w:val="17"/>
          <w:szCs w:val="17"/>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 month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173" w:lineRule="exact"/>
        <w:rPr>
          <w:sz w:val="20"/>
          <w:szCs w:val="20"/>
          <w:color w:val="auto"/>
        </w:rPr>
      </w:pPr>
    </w:p>
    <w:p>
      <w:pPr>
        <w:ind w:left="1540" w:right="380"/>
        <w:spacing w:after="0" w:line="277"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70"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Severance pay expenses for the years ended December 31, 2013, 2014 and 2015 were $620, $1,015 and $1,354 respectively.</w:t>
      </w:r>
    </w:p>
    <w:p>
      <w:pPr>
        <w:spacing w:after="0" w:line="237" w:lineRule="exact"/>
        <w:rPr>
          <w:sz w:val="20"/>
          <w:szCs w:val="20"/>
          <w:color w:val="auto"/>
        </w:rPr>
      </w:pPr>
    </w:p>
    <w:p>
      <w:pPr>
        <w:ind w:left="1520" w:hanging="499"/>
        <w:spacing w:after="0"/>
        <w:tabs>
          <w:tab w:leader="none" w:pos="15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25" w:lineRule="exact"/>
        <w:rPr>
          <w:rFonts w:ascii="Arial" w:cs="Arial" w:eastAsia="Arial" w:hAnsi="Arial"/>
          <w:sz w:val="18"/>
          <w:szCs w:val="18"/>
          <w:color w:val="auto"/>
        </w:rPr>
      </w:pPr>
    </w:p>
    <w:p>
      <w:pPr>
        <w:ind w:left="1540" w:right="20"/>
        <w:spacing w:after="0" w:line="264" w:lineRule="auto"/>
        <w:rPr>
          <w:rFonts w:ascii="Arial" w:cs="Arial" w:eastAsia="Arial" w:hAnsi="Arial"/>
          <w:sz w:val="18"/>
          <w:szCs w:val="18"/>
          <w:color w:val="auto"/>
        </w:rPr>
      </w:pPr>
      <w:r>
        <w:rPr>
          <w:rFonts w:ascii="Arial" w:cs="Arial" w:eastAsia="Arial" w:hAnsi="Arial"/>
          <w:sz w:val="18"/>
          <w:szCs w:val="18"/>
          <w:color w:val="auto"/>
        </w:rPr>
        <w:t>The carrying amount of cash, cash equivalents, short term bank deposits, trade receivables, other accounts receivable, trade payables and other accounts payable approximates fair value due to the short-term maturities of these instruments. Marketable securities and derivative instruments are carried at fair value.</w:t>
      </w:r>
    </w:p>
    <w:p>
      <w:pPr>
        <w:spacing w:after="0" w:line="181" w:lineRule="exact"/>
        <w:rPr>
          <w:rFonts w:ascii="Arial" w:cs="Arial" w:eastAsia="Arial" w:hAnsi="Arial"/>
          <w:sz w:val="18"/>
          <w:szCs w:val="18"/>
          <w:color w:val="auto"/>
        </w:rPr>
      </w:pPr>
    </w:p>
    <w:p>
      <w:pPr>
        <w:ind w:left="1540"/>
        <w:spacing w:after="0" w:line="279" w:lineRule="auto"/>
        <w:rPr>
          <w:rFonts w:ascii="Arial" w:cs="Arial" w:eastAsia="Arial" w:hAnsi="Arial"/>
          <w:sz w:val="18"/>
          <w:szCs w:val="18"/>
          <w:color w:val="auto"/>
        </w:rPr>
      </w:pPr>
      <w:r>
        <w:rPr>
          <w:rFonts w:ascii="Arial" w:cs="Arial" w:eastAsia="Arial" w:hAnsi="Arial"/>
          <w:sz w:val="17"/>
          <w:szCs w:val="17"/>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w:t>
      </w:r>
    </w:p>
    <w:p>
      <w:pPr>
        <w:spacing w:after="0" w:line="171" w:lineRule="exact"/>
        <w:rPr>
          <w:rFonts w:ascii="Arial" w:cs="Arial" w:eastAsia="Arial" w:hAnsi="Arial"/>
          <w:sz w:val="18"/>
          <w:szCs w:val="18"/>
          <w:color w:val="auto"/>
        </w:rPr>
      </w:pPr>
    </w:p>
    <w:p>
      <w:pPr>
        <w:ind w:left="1540" w:right="180"/>
        <w:spacing w:after="0" w:line="277" w:lineRule="auto"/>
        <w:rPr>
          <w:rFonts w:ascii="Arial" w:cs="Arial" w:eastAsia="Arial" w:hAnsi="Arial"/>
          <w:sz w:val="18"/>
          <w:szCs w:val="18"/>
          <w:color w:val="auto"/>
        </w:rPr>
      </w:pPr>
      <w:r>
        <w:rPr>
          <w:rFonts w:ascii="Arial" w:cs="Arial" w:eastAsia="Arial" w:hAnsi="Arial"/>
          <w:sz w:val="18"/>
          <w:szCs w:val="18"/>
          <w:color w:val="auto"/>
        </w:rPr>
        <w:t>Unobservable inputs are inputs that reflect the Company's assumptions about the assumptions market participants would use in pricing the asset or liability developed based on the best information available in the circumstances.</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The hierarchy is broken down into three levels based on the inputs as follows:</w:t>
      </w:r>
    </w:p>
    <w:p>
      <w:pPr>
        <w:spacing w:after="0" w:line="225" w:lineRule="exact"/>
        <w:rPr>
          <w:rFonts w:ascii="Arial" w:cs="Arial" w:eastAsia="Arial" w:hAnsi="Arial"/>
          <w:sz w:val="18"/>
          <w:szCs w:val="18"/>
          <w:color w:val="auto"/>
        </w:rPr>
      </w:pPr>
    </w:p>
    <w:p>
      <w:pPr>
        <w:ind w:left="2420" w:right="920" w:hanging="891"/>
        <w:spacing w:after="0" w:line="277" w:lineRule="auto"/>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can access at the measurement date.</w:t>
      </w:r>
    </w:p>
    <w:p>
      <w:pPr>
        <w:spacing w:after="0" w:line="170" w:lineRule="exact"/>
        <w:rPr>
          <w:rFonts w:ascii="Arial" w:cs="Arial" w:eastAsia="Arial" w:hAnsi="Arial"/>
          <w:sz w:val="18"/>
          <w:szCs w:val="18"/>
          <w:color w:val="auto"/>
        </w:rPr>
      </w:pPr>
    </w:p>
    <w:p>
      <w:pPr>
        <w:ind w:left="2420" w:right="780" w:hanging="891"/>
        <w:spacing w:after="0" w:line="277" w:lineRule="auto"/>
        <w:rPr>
          <w:rFonts w:ascii="Arial" w:cs="Arial" w:eastAsia="Arial" w:hAnsi="Arial"/>
          <w:sz w:val="18"/>
          <w:szCs w:val="18"/>
          <w:color w:val="auto"/>
        </w:rPr>
      </w:pPr>
      <w:r>
        <w:rPr>
          <w:rFonts w:ascii="Arial" w:cs="Arial" w:eastAsia="Arial" w:hAnsi="Arial"/>
          <w:sz w:val="18"/>
          <w:szCs w:val="18"/>
          <w:color w:val="auto"/>
        </w:rPr>
        <w:t>Level 2 - Valuations based on one or more quoted prices in markets that are not active or for which all significant inputs are observable, either directly or indirectly.</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40" w:right="26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left="1540" w:right="320"/>
        <w:spacing w:after="0" w:line="264" w:lineRule="auto"/>
        <w:rPr>
          <w:sz w:val="20"/>
          <w:szCs w:val="20"/>
          <w:color w:val="auto"/>
        </w:rPr>
      </w:pPr>
      <w:r>
        <w:rPr>
          <w:rFonts w:ascii="Arial" w:cs="Arial" w:eastAsia="Arial" w:hAnsi="Arial"/>
          <w:sz w:val="18"/>
          <w:szCs w:val="18"/>
          <w:color w:val="auto"/>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spacing w:after="0" w:line="177"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color w:val="auto"/>
        </w:rPr>
        <w:t>x</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Comprehensive income:</w:t>
      </w:r>
    </w:p>
    <w:p>
      <w:pPr>
        <w:spacing w:after="0" w:line="229" w:lineRule="exact"/>
        <w:rPr>
          <w:sz w:val="20"/>
          <w:szCs w:val="20"/>
          <w:color w:val="auto"/>
        </w:rPr>
      </w:pPr>
    </w:p>
    <w:p>
      <w:pPr>
        <w:ind w:left="1540" w:right="140"/>
        <w:spacing w:after="0" w:line="257" w:lineRule="auto"/>
        <w:rPr>
          <w:sz w:val="20"/>
          <w:szCs w:val="20"/>
          <w:color w:val="auto"/>
        </w:rPr>
      </w:pPr>
      <w:r>
        <w:rPr>
          <w:rFonts w:ascii="Arial" w:cs="Arial" w:eastAsia="Arial" w:hAnsi="Arial"/>
          <w:sz w:val="18"/>
          <w:szCs w:val="18"/>
          <w:color w:val="auto"/>
        </w:rPr>
        <w:t>The Company accounts for comprehensive income in accordance with FASB ASC No. 220, "Comprehensive Income." Comprehensive income generally represents all changes in shareholders' equity during the period except those resulting from investments by, or distributions to, shareholders. The Company determined that its items of other comprehensive income relate to gains and losses on hedging derivative instruments, unrealized gains and losses on available-for-sale securities and unrealized gain and losses from foreign currency translation adjustments.</w:t>
      </w:r>
    </w:p>
    <w:p>
      <w:pPr>
        <w:spacing w:after="0" w:line="184"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color w:val="auto"/>
        </w:rPr>
        <w:t>y</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Basic and diluted net income per share:</w:t>
      </w:r>
    </w:p>
    <w:p>
      <w:pPr>
        <w:spacing w:after="0" w:line="229" w:lineRule="exact"/>
        <w:rPr>
          <w:sz w:val="20"/>
          <w:szCs w:val="20"/>
          <w:color w:val="auto"/>
        </w:rPr>
      </w:pPr>
    </w:p>
    <w:p>
      <w:pPr>
        <w:ind w:left="1540" w:right="20"/>
        <w:spacing w:after="0" w:line="312" w:lineRule="auto"/>
        <w:rPr>
          <w:sz w:val="20"/>
          <w:szCs w:val="20"/>
          <w:color w:val="auto"/>
        </w:rPr>
      </w:pPr>
      <w:r>
        <w:rPr>
          <w:rFonts w:ascii="Arial" w:cs="Arial" w:eastAsia="Arial" w:hAnsi="Arial"/>
          <w:sz w:val="16"/>
          <w:szCs w:val="16"/>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147" w:lineRule="exact"/>
        <w:rPr>
          <w:sz w:val="20"/>
          <w:szCs w:val="20"/>
          <w:color w:val="auto"/>
        </w:rPr>
      </w:pPr>
    </w:p>
    <w:p>
      <w:pPr>
        <w:jc w:val="both"/>
        <w:ind w:left="1540" w:right="220"/>
        <w:spacing w:after="0" w:line="264" w:lineRule="auto"/>
        <w:rPr>
          <w:sz w:val="20"/>
          <w:szCs w:val="20"/>
          <w:color w:val="auto"/>
        </w:rPr>
      </w:pPr>
      <w:r>
        <w:rPr>
          <w:rFonts w:ascii="Arial" w:cs="Arial" w:eastAsia="Arial" w:hAnsi="Arial"/>
          <w:sz w:val="18"/>
          <w:szCs w:val="18"/>
          <w:color w:val="auto"/>
        </w:rPr>
        <w:t>For the years ended December 31, 2013 and 2014 all outstanding options have been included at the calculation of the diluted earnings per share since their effect was dilutive. The total number of shares related to the outstanding options excluded from the calculation of diluted net earnings per share was 762,152 for the year ended December 31, 2015.</w:t>
      </w:r>
    </w:p>
    <w:p>
      <w:pPr>
        <w:spacing w:after="0" w:line="181" w:lineRule="exact"/>
        <w:rPr>
          <w:sz w:val="20"/>
          <w:szCs w:val="20"/>
          <w:color w:val="auto"/>
        </w:rPr>
      </w:pPr>
    </w:p>
    <w:p>
      <w:pPr>
        <w:ind w:left="1520" w:hanging="499"/>
        <w:spacing w:after="0"/>
        <w:tabs>
          <w:tab w:leader="none" w:pos="15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Impact of recently issued accounting standard not yet adopted:</w:t>
      </w:r>
    </w:p>
    <w:p>
      <w:pPr>
        <w:spacing w:after="0" w:line="225" w:lineRule="exact"/>
        <w:rPr>
          <w:sz w:val="20"/>
          <w:szCs w:val="20"/>
          <w:color w:val="auto"/>
        </w:rPr>
      </w:pPr>
    </w:p>
    <w:p>
      <w:pPr>
        <w:ind w:left="2040" w:right="60" w:hanging="506"/>
        <w:spacing w:after="0" w:line="302" w:lineRule="auto"/>
        <w:tabs>
          <w:tab w:leader="none" w:pos="20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May 2014, the Financial Accounting Standards Board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w:t>
      </w:r>
    </w:p>
    <w:p>
      <w:pPr>
        <w:spacing w:after="0" w:line="154" w:lineRule="exact"/>
        <w:rPr>
          <w:sz w:val="20"/>
          <w:szCs w:val="20"/>
          <w:color w:val="auto"/>
        </w:rPr>
      </w:pPr>
    </w:p>
    <w:p>
      <w:pPr>
        <w:ind w:left="2040" w:right="140"/>
        <w:spacing w:after="0" w:line="259" w:lineRule="auto"/>
        <w:rPr>
          <w:sz w:val="20"/>
          <w:szCs w:val="20"/>
          <w:color w:val="auto"/>
        </w:rPr>
      </w:pPr>
      <w:r>
        <w:rPr>
          <w:rFonts w:ascii="Arial" w:cs="Arial" w:eastAsia="Arial" w:hAnsi="Arial"/>
          <w:sz w:val="18"/>
          <w:szCs w:val="18"/>
          <w:color w:val="auto"/>
        </w:rPr>
        <w:t>As currently issued and amended, ASU 2014-09 is effective for annual reporting periods beginning after December 15, 2017, including interim periods within that reporting period, though early adoption is permitted for annual reporting periods beginning after December 15, 2016. The Company is still evaluating the effect that the updated standard will have on its consolidated financial statements and related disclosures.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7" w:name="page128"/>
    <w:bookmarkEnd w:id="127"/>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2040" w:right="160" w:hanging="506"/>
        <w:spacing w:after="0" w:line="273" w:lineRule="auto"/>
        <w:tabs>
          <w:tab w:leader="none" w:pos="20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February 2016, the FASB issued ASU 2016-02, "Leases (Topic 842)", which will replace the existing guidance in ASC 840, "Leases." The updated standard aims to increase transparency and comparability among organizations by requiring lessees to recognize lease assets and lease liabilities on the balance sheet and requiring disclosure of key information about leasing arrangements. This ASU is effective for annual periods beginning after December 15, 2018, and interim periods within those annual periods; early adoption is permitted and modified retrospective application is required. The Company is in the process of evaluating this guidance to determine the impact it will have on its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NOTE 3:-   AVAILABLE-FOR-SALE MARKETABLE SECURITIES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tcPr>
          <w:p>
            <w:pPr>
              <w:ind w:left="1020"/>
              <w:spacing w:after="0"/>
              <w:rPr>
                <w:sz w:val="20"/>
                <w:szCs w:val="20"/>
                <w:color w:val="auto"/>
              </w:rPr>
            </w:pPr>
            <w:r>
              <w:rPr>
                <w:rFonts w:ascii="Arial" w:cs="Arial" w:eastAsia="Arial" w:hAnsi="Arial"/>
                <w:sz w:val="18"/>
                <w:szCs w:val="18"/>
                <w:color w:val="auto"/>
                <w:w w:val="95"/>
              </w:rPr>
              <w:t>The following is a summary of available-for-sale marketable securities: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right"/>
              <w:ind w:right="770"/>
              <w:spacing w:after="0"/>
              <w:rPr>
                <w:sz w:val="20"/>
                <w:szCs w:val="20"/>
                <w:color w:val="auto"/>
              </w:rPr>
            </w:pPr>
            <w:r>
              <w:rPr>
                <w:rFonts w:ascii="Arial" w:cs="Arial" w:eastAsia="Arial" w:hAnsi="Arial"/>
                <w:sz w:val="18"/>
                <w:szCs w:val="18"/>
                <w:b w:val="1"/>
                <w:bCs w:val="1"/>
                <w:color w:val="auto"/>
              </w:rPr>
              <w:t>December 31, 2015</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left="10"/>
              <w:spacing w:after="0" w:line="198" w:lineRule="exact"/>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4"/>
          </w:tcPr>
          <w:p>
            <w:pPr>
              <w:jc w:val="center"/>
              <w:ind w:right="450"/>
              <w:spacing w:after="0" w:line="198" w:lineRule="exact"/>
              <w:rPr>
                <w:sz w:val="20"/>
                <w:szCs w:val="20"/>
                <w:color w:val="auto"/>
              </w:rPr>
            </w:pPr>
            <w:r>
              <w:rPr>
                <w:rFonts w:ascii="Arial" w:cs="Arial" w:eastAsia="Arial" w:hAnsi="Arial"/>
                <w:sz w:val="18"/>
                <w:szCs w:val="18"/>
                <w:b w:val="1"/>
                <w:bCs w:val="1"/>
                <w:color w:val="auto"/>
                <w:w w:val="84"/>
              </w:rPr>
              <w:t>Gross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Amortized</w:t>
            </w:r>
          </w:p>
        </w:tc>
        <w:tc>
          <w:tcPr>
            <w:tcW w:w="100" w:type="dxa"/>
            <w:vAlign w:val="bottom"/>
          </w:tcPr>
          <w:p>
            <w:pPr>
              <w:spacing w:after="0"/>
              <w:rPr>
                <w:sz w:val="18"/>
                <w:szCs w:val="18"/>
                <w:color w:val="auto"/>
              </w:rPr>
            </w:pPr>
          </w:p>
        </w:tc>
        <w:tc>
          <w:tcPr>
            <w:tcW w:w="92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center"/>
              <w:ind w:right="450"/>
              <w:spacing w:after="0"/>
              <w:rPr>
                <w:sz w:val="20"/>
                <w:szCs w:val="20"/>
                <w:color w:val="auto"/>
              </w:rPr>
            </w:pPr>
            <w:r>
              <w:rPr>
                <w:rFonts w:ascii="Arial" w:cs="Arial" w:eastAsia="Arial" w:hAnsi="Arial"/>
                <w:sz w:val="18"/>
                <w:szCs w:val="18"/>
                <w:b w:val="1"/>
                <w:bCs w:val="1"/>
                <w:color w:val="auto"/>
                <w:w w:val="89"/>
              </w:rPr>
              <w:t>unrealized</w:t>
            </w: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41"/>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9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gain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jc w:val="center"/>
              <w:ind w:right="450"/>
              <w:spacing w:after="0"/>
              <w:rPr>
                <w:sz w:val="20"/>
                <w:szCs w:val="20"/>
                <w:color w:val="auto"/>
              </w:rPr>
            </w:pPr>
            <w:r>
              <w:rPr>
                <w:rFonts w:ascii="Arial" w:cs="Arial" w:eastAsia="Arial" w:hAnsi="Arial"/>
                <w:sz w:val="18"/>
                <w:szCs w:val="18"/>
                <w:b w:val="1"/>
                <w:bCs w:val="1"/>
                <w:color w:val="auto"/>
                <w:w w:val="77"/>
              </w:rPr>
              <w:t>loss</w:t>
            </w: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0"/>
        </w:trPr>
        <w:tc>
          <w:tcPr>
            <w:tcW w:w="6400" w:type="dxa"/>
            <w:vAlign w:val="bottom"/>
          </w:tcPr>
          <w:p>
            <w:pPr>
              <w:ind w:left="1040"/>
              <w:spacing w:after="0"/>
              <w:rPr>
                <w:sz w:val="20"/>
                <w:szCs w:val="20"/>
                <w:color w:val="auto"/>
              </w:rPr>
            </w:pPr>
            <w:r>
              <w:rPr>
                <w:rFonts w:ascii="Arial" w:cs="Arial" w:eastAsia="Arial" w:hAnsi="Arial"/>
                <w:sz w:val="18"/>
                <w:szCs w:val="18"/>
                <w:color w:val="auto"/>
              </w:rPr>
              <w:t>Matures within one year:</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Corporate debentures</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1040"/>
              <w:spacing w:after="0"/>
              <w:rPr>
                <w:sz w:val="20"/>
                <w:szCs w:val="20"/>
                <w:color w:val="auto"/>
              </w:rPr>
            </w:pPr>
            <w:r>
              <w:rPr>
                <w:rFonts w:ascii="Arial" w:cs="Arial" w:eastAsia="Arial" w:hAnsi="Arial"/>
                <w:sz w:val="18"/>
                <w:szCs w:val="18"/>
                <w:color w:val="auto"/>
              </w:rPr>
              <w:t>Matures after one year through three years: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Corporate debentures</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vMerge w:val="restart"/>
          </w:tcPr>
          <w:p>
            <w:pPr>
              <w:ind w:left="10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gridSpan w:val="2"/>
            <w:vMerge w:val="restart"/>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33,906</w:t>
            </w:r>
          </w:p>
        </w:tc>
        <w:tc>
          <w:tcPr>
            <w:tcW w:w="10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240" w:type="dxa"/>
            <w:vAlign w:val="bottom"/>
            <w:gridSpan w:val="2"/>
            <w:vMerge w:val="continue"/>
          </w:tcPr>
          <w:p>
            <w:pPr>
              <w:spacing w:after="0"/>
              <w:rPr>
                <w:sz w:val="20"/>
                <w:szCs w:val="20"/>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33,679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-1405890</wp:posOffset>
            </wp:positionV>
            <wp:extent cx="651510" cy="13804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1510" cy="1380490"/>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All investments with an unrealized loss as of December 31, 2015 are with continuous unrealized losses for less than 12 months.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NOTE 4:-   INVENTORIES</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61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30"/>
        </w:trPr>
        <w:tc>
          <w:tcPr>
            <w:tcW w:w="61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18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Raw materials and components</w:t>
            </w:r>
          </w:p>
        </w:tc>
        <w:tc>
          <w:tcPr>
            <w:tcW w:w="3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00" w:type="dxa"/>
            <w:vAlign w:val="bottom"/>
            <w:shd w:val="clear" w:color="auto" w:fill="CCEEFF"/>
          </w:tcPr>
          <w:p>
            <w:pPr>
              <w:spacing w:after="0"/>
              <w:rPr>
                <w:sz w:val="21"/>
                <w:szCs w:val="21"/>
                <w:color w:val="auto"/>
              </w:rPr>
            </w:pPr>
          </w:p>
        </w:tc>
      </w:tr>
      <w:tr>
        <w:trPr>
          <w:trHeight w:val="237"/>
        </w:trPr>
        <w:tc>
          <w:tcPr>
            <w:tcW w:w="6180" w:type="dxa"/>
            <w:vAlign w:val="bottom"/>
          </w:tcPr>
          <w:p>
            <w:pPr>
              <w:ind w:left="1040"/>
              <w:spacing w:after="0"/>
              <w:rPr>
                <w:sz w:val="20"/>
                <w:szCs w:val="20"/>
                <w:color w:val="auto"/>
              </w:rPr>
            </w:pPr>
            <w:r>
              <w:rPr>
                <w:rFonts w:ascii="Arial" w:cs="Arial" w:eastAsia="Arial" w:hAnsi="Arial"/>
                <w:sz w:val="18"/>
                <w:szCs w:val="18"/>
                <w:color w:val="auto"/>
              </w:rPr>
              <w:t>Finished products (*)</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5,559</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Pr>
          <w:p>
            <w:pPr>
              <w:spacing w:after="0"/>
              <w:rPr>
                <w:sz w:val="20"/>
                <w:szCs w:val="20"/>
                <w:color w:val="auto"/>
              </w:rPr>
            </w:pPr>
          </w:p>
        </w:tc>
      </w:tr>
      <w:tr>
        <w:trPr>
          <w:trHeight w:val="230"/>
        </w:trPr>
        <w:tc>
          <w:tcPr>
            <w:tcW w:w="618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64"/>
        </w:trPr>
        <w:tc>
          <w:tcPr>
            <w:tcW w:w="6180" w:type="dxa"/>
            <w:vAlign w:val="bottom"/>
          </w:tcPr>
          <w:p>
            <w:pPr>
              <w:spacing w:after="0"/>
              <w:rPr>
                <w:sz w:val="22"/>
                <w:szCs w:val="22"/>
                <w:color w:val="auto"/>
              </w:rPr>
            </w:pPr>
          </w:p>
        </w:tc>
        <w:tc>
          <w:tcPr>
            <w:tcW w:w="3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11,986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15,803</w:t>
            </w:r>
          </w:p>
        </w:tc>
        <w:tc>
          <w:tcPr>
            <w:tcW w:w="100" w:type="dxa"/>
            <w:vAlign w:val="bottom"/>
          </w:tcPr>
          <w:p>
            <w:pPr>
              <w:spacing w:after="0"/>
              <w:rPr>
                <w:sz w:val="22"/>
                <w:szCs w:val="22"/>
                <w:color w:val="auto"/>
              </w:rPr>
            </w:pPr>
          </w:p>
        </w:tc>
      </w:tr>
      <w:tr>
        <w:trPr>
          <w:trHeight w:val="21"/>
        </w:trPr>
        <w:tc>
          <w:tcPr>
            <w:tcW w:w="61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-1139825</wp:posOffset>
            </wp:positionV>
            <wp:extent cx="651510" cy="11150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1510" cy="1115060"/>
                    </a:xfrm>
                    <a:prstGeom prst="rect">
                      <a:avLst/>
                    </a:prstGeom>
                    <a:noFill/>
                  </pic:spPr>
                </pic:pic>
              </a:graphicData>
            </a:graphic>
          </wp:anchor>
        </w:drawing>
      </w:r>
    </w:p>
    <w:p>
      <w:pPr>
        <w:spacing w:after="0" w:line="182" w:lineRule="exact"/>
        <w:rPr>
          <w:sz w:val="20"/>
          <w:szCs w:val="20"/>
          <w:color w:val="auto"/>
        </w:rPr>
      </w:pPr>
    </w:p>
    <w:p>
      <w:pPr>
        <w:ind w:left="1540" w:right="80" w:hanging="506"/>
        <w:spacing w:after="0" w:line="277" w:lineRule="auto"/>
        <w:tabs>
          <w:tab w:leader="none" w:pos="1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amounts of $ 647 and $ 145 for the years ended December 31, 2014 and 2015, respectively, with respect to inventory delivered to customers but for which revenue criteria have not yet been met.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NOTE 5:-   PROPERTY AND EQUIPMENT, NET</w:t>
            </w: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7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6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30"/>
        </w:trPr>
        <w:tc>
          <w:tcPr>
            <w:tcW w:w="6700" w:type="dxa"/>
            <w:vAlign w:val="bottom"/>
          </w:tcPr>
          <w:p>
            <w:pPr>
              <w:ind w:left="1040"/>
              <w:spacing w:after="0"/>
              <w:rPr>
                <w:sz w:val="20"/>
                <w:szCs w:val="20"/>
                <w:color w:val="auto"/>
              </w:rPr>
            </w:pPr>
            <w:r>
              <w:rPr>
                <w:rFonts w:ascii="Arial" w:cs="Arial" w:eastAsia="Arial" w:hAnsi="Arial"/>
                <w:sz w:val="18"/>
                <w:szCs w:val="18"/>
                <w:color w:val="auto"/>
              </w:rPr>
              <w:t>Cost:</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7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Computer, peripheral equipment and software</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CEEFF"/>
          </w:tcPr>
          <w:p>
            <w:pPr>
              <w:spacing w:after="0"/>
              <w:rPr>
                <w:sz w:val="21"/>
                <w:szCs w:val="21"/>
                <w:color w:val="auto"/>
              </w:rPr>
            </w:pPr>
          </w:p>
        </w:tc>
      </w:tr>
      <w:tr>
        <w:trPr>
          <w:trHeight w:val="243"/>
        </w:trPr>
        <w:tc>
          <w:tcPr>
            <w:tcW w:w="6700" w:type="dxa"/>
            <w:vAlign w:val="bottom"/>
          </w:tcPr>
          <w:p>
            <w:pPr>
              <w:ind w:left="1040"/>
              <w:spacing w:after="0"/>
              <w:rPr>
                <w:sz w:val="20"/>
                <w:szCs w:val="20"/>
                <w:color w:val="auto"/>
              </w:rPr>
            </w:pPr>
            <w:r>
              <w:rPr>
                <w:rFonts w:ascii="Arial" w:cs="Arial" w:eastAsia="Arial" w:hAnsi="Arial"/>
                <w:sz w:val="18"/>
                <w:szCs w:val="18"/>
                <w:color w:val="auto"/>
              </w:rPr>
              <w:t>Office furniture and equipment</w:t>
            </w:r>
          </w:p>
        </w:tc>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r>
      <w:tr>
        <w:trPr>
          <w:trHeight w:val="243"/>
        </w:trPr>
        <w:tc>
          <w:tcPr>
            <w:tcW w:w="67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Machinery and equipment</w:t>
            </w:r>
          </w:p>
        </w:tc>
        <w:tc>
          <w:tcPr>
            <w:tcW w:w="2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4,587</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21"/>
                <w:szCs w:val="21"/>
                <w:color w:val="auto"/>
              </w:rPr>
            </w:pPr>
          </w:p>
        </w:tc>
      </w:tr>
      <w:tr>
        <w:trPr>
          <w:trHeight w:val="237"/>
        </w:trPr>
        <w:tc>
          <w:tcPr>
            <w:tcW w:w="6700" w:type="dxa"/>
            <w:vAlign w:val="bottom"/>
          </w:tcPr>
          <w:p>
            <w:pPr>
              <w:ind w:left="1040"/>
              <w:spacing w:after="0"/>
              <w:rPr>
                <w:sz w:val="20"/>
                <w:szCs w:val="20"/>
                <w:color w:val="auto"/>
              </w:rPr>
            </w:pPr>
            <w:r>
              <w:rPr>
                <w:rFonts w:ascii="Arial" w:cs="Arial" w:eastAsia="Arial" w:hAnsi="Arial"/>
                <w:sz w:val="18"/>
                <w:szCs w:val="18"/>
                <w:color w:val="auto"/>
              </w:rPr>
              <w:t>Leasehold improvements</w:t>
            </w: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1,764</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0"/>
                <w:szCs w:val="20"/>
                <w:color w:val="auto"/>
              </w:rPr>
            </w:pPr>
          </w:p>
        </w:tc>
      </w:tr>
      <w:tr>
        <w:trPr>
          <w:trHeight w:val="230"/>
        </w:trPr>
        <w:tc>
          <w:tcPr>
            <w:tcW w:w="67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67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8,046</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10,570</w:t>
            </w:r>
          </w:p>
        </w:tc>
        <w:tc>
          <w:tcPr>
            <w:tcW w:w="100" w:type="dxa"/>
            <w:vAlign w:val="bottom"/>
          </w:tcPr>
          <w:p>
            <w:pPr>
              <w:spacing w:after="0"/>
              <w:rPr>
                <w:sz w:val="20"/>
                <w:szCs w:val="20"/>
                <w:color w:val="auto"/>
              </w:rPr>
            </w:pPr>
          </w:p>
        </w:tc>
      </w:tr>
      <w:tr>
        <w:trPr>
          <w:trHeight w:val="230"/>
        </w:trPr>
        <w:tc>
          <w:tcPr>
            <w:tcW w:w="67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37"/>
        </w:trPr>
        <w:tc>
          <w:tcPr>
            <w:tcW w:w="6700" w:type="dxa"/>
            <w:vAlign w:val="bottom"/>
          </w:tcPr>
          <w:p>
            <w:pPr>
              <w:ind w:left="1040"/>
              <w:spacing w:after="0"/>
              <w:rPr>
                <w:sz w:val="20"/>
                <w:szCs w:val="20"/>
                <w:color w:val="auto"/>
              </w:rPr>
            </w:pPr>
            <w:r>
              <w:rPr>
                <w:rFonts w:ascii="Arial" w:cs="Arial" w:eastAsia="Arial" w:hAnsi="Arial"/>
                <w:sz w:val="18"/>
                <w:szCs w:val="18"/>
                <w:color w:val="auto"/>
              </w:rPr>
              <w:t>Accumulated depreciation and amortization</w:t>
            </w: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(4,386)</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(5,792)</w:t>
            </w:r>
          </w:p>
        </w:tc>
      </w:tr>
      <w:tr>
        <w:trPr>
          <w:trHeight w:val="230"/>
        </w:trPr>
        <w:tc>
          <w:tcPr>
            <w:tcW w:w="67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264"/>
        </w:trPr>
        <w:tc>
          <w:tcPr>
            <w:tcW w:w="6700" w:type="dxa"/>
            <w:vAlign w:val="bottom"/>
          </w:tcPr>
          <w:p>
            <w:pPr>
              <w:ind w:left="1040"/>
              <w:spacing w:after="0"/>
              <w:rPr>
                <w:sz w:val="20"/>
                <w:szCs w:val="20"/>
                <w:color w:val="auto"/>
              </w:rPr>
            </w:pPr>
            <w:r>
              <w:rPr>
                <w:rFonts w:ascii="Arial" w:cs="Arial" w:eastAsia="Arial" w:hAnsi="Arial"/>
                <w:sz w:val="18"/>
                <w:szCs w:val="18"/>
                <w:color w:val="auto"/>
              </w:rPr>
              <w:t>Property and equipment, net</w:t>
            </w:r>
          </w:p>
        </w:tc>
        <w:tc>
          <w:tcPr>
            <w:tcW w:w="2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3,660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2"/>
                <w:szCs w:val="22"/>
                <w:color w:val="auto"/>
              </w:rPr>
            </w:pPr>
          </w:p>
        </w:tc>
      </w:tr>
      <w:tr>
        <w:trPr>
          <w:trHeight w:val="21"/>
        </w:trPr>
        <w:tc>
          <w:tcPr>
            <w:tcW w:w="6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-2220595</wp:posOffset>
            </wp:positionV>
            <wp:extent cx="651510" cy="2195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1510" cy="2195195"/>
                    </a:xfrm>
                    <a:prstGeom prst="rect">
                      <a:avLst/>
                    </a:prstGeom>
                    <a:noFill/>
                  </pic:spPr>
                </pic:pic>
              </a:graphicData>
            </a:graphic>
          </wp:anchor>
        </w:drawing>
      </w:r>
    </w:p>
    <w:p>
      <w:pPr>
        <w:spacing w:after="0" w:line="1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Depreciation expenses for the years ended December 31, 2013, 2014 and 2015 were $1,071, $1,226 and $1,560 respectively.</w:t>
      </w:r>
    </w:p>
    <w:p>
      <w:pPr>
        <w:spacing w:after="0" w:line="225"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During the year ended December 2013, 2014 and 2015 the Company recorded a reduction of $140, $168 and $166, respectively to the cost and accumulated depreciation of fully depreciated equipment no longer used.</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w:t>
      </w:r>
    </w:p>
    <w:p>
      <w:pPr>
        <w:spacing w:after="0" w:line="229" w:lineRule="exact"/>
        <w:rPr>
          <w:sz w:val="20"/>
          <w:szCs w:val="20"/>
          <w:color w:val="auto"/>
        </w:rPr>
      </w:pPr>
    </w:p>
    <w:p>
      <w:pPr>
        <w:ind w:left="1520" w:right="80" w:hanging="499"/>
        <w:spacing w:after="0" w:line="255" w:lineRule="auto"/>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May 24, 2010, the Company entered into a license agreement with a third party (the “agreement”). According to the agreement, the third party granted the Company a license to use its digital R2R printer and any and all related intellectual property including, among others, copying, manufacturing, distributing, marketing, engineering, further development and development of related products (the “license”) in order to allow the Company to develop a new version of a printer (the “new product”). The Company owns all the rights to the new product (as well as all the respective intellectual property rights) and the third party has no rights thereto. The license is non-cancelable.</w:t>
      </w:r>
    </w:p>
    <w:p>
      <w:pPr>
        <w:spacing w:after="0" w:line="193" w:lineRule="exact"/>
        <w:rPr>
          <w:rFonts w:ascii="Arial" w:cs="Arial" w:eastAsia="Arial" w:hAnsi="Arial"/>
          <w:sz w:val="18"/>
          <w:szCs w:val="18"/>
          <w:color w:val="auto"/>
        </w:rPr>
      </w:pPr>
    </w:p>
    <w:p>
      <w:pPr>
        <w:ind w:left="1540" w:right="120"/>
        <w:spacing w:after="0" w:line="277" w:lineRule="auto"/>
        <w:rPr>
          <w:rFonts w:ascii="Arial" w:cs="Arial" w:eastAsia="Arial" w:hAnsi="Arial"/>
          <w:sz w:val="18"/>
          <w:szCs w:val="18"/>
          <w:color w:val="auto"/>
        </w:rPr>
      </w:pPr>
      <w:r>
        <w:rPr>
          <w:rFonts w:ascii="Arial" w:cs="Arial" w:eastAsia="Arial" w:hAnsi="Arial"/>
          <w:sz w:val="18"/>
          <w:szCs w:val="18"/>
          <w:color w:val="auto"/>
        </w:rPr>
        <w:t>On April 22, 2013 the Company signed an amendment to the agreement pursuant to which the Company paid $ 327 and shall no longer have any obligations or undertakings to make any future payments to the third party.</w:t>
      </w:r>
    </w:p>
    <w:p>
      <w:pPr>
        <w:spacing w:after="0" w:line="170" w:lineRule="exact"/>
        <w:rPr>
          <w:rFonts w:ascii="Arial" w:cs="Arial" w:eastAsia="Arial" w:hAnsi="Arial"/>
          <w:sz w:val="18"/>
          <w:szCs w:val="18"/>
          <w:color w:val="auto"/>
        </w:rPr>
      </w:pPr>
    </w:p>
    <w:p>
      <w:pPr>
        <w:ind w:left="1520" w:right="100" w:hanging="499"/>
        <w:spacing w:after="0" w:line="259" w:lineRule="auto"/>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January 5, 2015 the Company acquired patents and services from an American ink developer and manufacturer for total purchase price of $2,000. $1,000 was paid upon closing and is attributed to acquired patents. The remaining balance will be paid over a two years period after the acquisition as defined in the acquisition agreement, of which $800 was recognized as operating expense in 2015. The remaining $200 will be recognized as expenses in 2016.</w:t>
      </w:r>
    </w:p>
    <w:p>
      <w:pPr>
        <w:spacing w:after="0" w:line="186" w:lineRule="exact"/>
        <w:rPr>
          <w:rFonts w:ascii="Arial" w:cs="Arial" w:eastAsia="Arial" w:hAnsi="Arial"/>
          <w:sz w:val="18"/>
          <w:szCs w:val="18"/>
          <w:color w:val="auto"/>
        </w:rPr>
      </w:pPr>
    </w:p>
    <w:p>
      <w:pPr>
        <w:ind w:left="1540" w:right="420"/>
        <w:spacing w:after="0" w:line="277" w:lineRule="auto"/>
        <w:rPr>
          <w:rFonts w:ascii="Arial" w:cs="Arial" w:eastAsia="Arial" w:hAnsi="Arial"/>
          <w:sz w:val="18"/>
          <w:szCs w:val="18"/>
          <w:color w:val="auto"/>
        </w:rPr>
      </w:pPr>
      <w:r>
        <w:rPr>
          <w:rFonts w:ascii="Arial" w:cs="Arial" w:eastAsia="Arial" w:hAnsi="Arial"/>
          <w:sz w:val="18"/>
          <w:szCs w:val="18"/>
          <w:color w:val="auto"/>
        </w:rPr>
        <w:t>The acquisition is accounted for as business combination under ASC 805, Business Combination. The purchase price was allocated entirely to acquired technology and is amortized over 10 years using straight line method.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 (Cont.)</w:t>
      </w:r>
    </w:p>
    <w:p>
      <w:pPr>
        <w:sectPr>
          <w:pgSz w:w="11900" w:h="16838" w:orient="portrait"/>
          <w:cols w:equalWidth="0" w:num="1">
            <w:col w:w="11420"/>
          </w:cols>
          <w:pgMar w:left="240" w:top="891" w:right="239" w:bottom="1440" w:gutter="0" w:footer="0" w:header="0"/>
        </w:sectPr>
      </w:pPr>
    </w:p>
    <w:p>
      <w:pPr>
        <w:spacing w:after="0" w:line="229" w:lineRule="exact"/>
        <w:rPr>
          <w:sz w:val="20"/>
          <w:szCs w:val="20"/>
          <w:color w:val="auto"/>
        </w:rPr>
      </w:pPr>
    </w:p>
    <w:p>
      <w:pPr>
        <w:ind w:left="1520" w:hanging="499"/>
        <w:spacing w:after="0"/>
        <w:tabs>
          <w:tab w:leader="none" w:pos="15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Intangible assets are comprised of the following: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Cost:</w:t>
      </w:r>
    </w:p>
    <w:p>
      <w:pPr>
        <w:spacing w:after="0" w:line="23"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Acquired technology</w:t>
      </w:r>
    </w:p>
    <w:p>
      <w:pPr>
        <w:spacing w:after="0" w:line="291" w:lineRule="exact"/>
        <w:rPr>
          <w:rFonts w:ascii="Arial" w:cs="Arial" w:eastAsia="Arial" w:hAnsi="Arial"/>
          <w:sz w:val="16"/>
          <w:szCs w:val="16"/>
          <w:color w:val="auto"/>
        </w:rPr>
      </w:pPr>
    </w:p>
    <w:p>
      <w:pPr>
        <w:ind w:left="1540" w:right="3620"/>
        <w:spacing w:after="0" w:line="342" w:lineRule="auto"/>
        <w:rPr>
          <w:rFonts w:ascii="Arial" w:cs="Arial" w:eastAsia="Arial" w:hAnsi="Arial"/>
          <w:sz w:val="16"/>
          <w:szCs w:val="16"/>
          <w:color w:val="auto"/>
        </w:rPr>
      </w:pPr>
      <w:r>
        <w:rPr>
          <w:rFonts w:ascii="Arial" w:cs="Arial" w:eastAsia="Arial" w:hAnsi="Arial"/>
          <w:sz w:val="16"/>
          <w:szCs w:val="16"/>
          <w:color w:val="auto"/>
        </w:rPr>
        <w:t>Accumulated amortization: Acquired technology</w:t>
      </w:r>
    </w:p>
    <w:p>
      <w:pPr>
        <w:spacing w:after="0" w:line="177" w:lineRule="exact"/>
        <w:rPr>
          <w:rFonts w:ascii="Arial" w:cs="Arial" w:eastAsia="Arial" w:hAnsi="Arial"/>
          <w:sz w:val="16"/>
          <w:szCs w:val="16"/>
          <w:color w:val="auto"/>
        </w:rPr>
      </w:pPr>
    </w:p>
    <w:p>
      <w:pPr>
        <w:ind w:left="1540"/>
        <w:spacing w:after="0"/>
        <w:rPr>
          <w:rFonts w:ascii="Arial" w:cs="Arial" w:eastAsia="Arial" w:hAnsi="Arial"/>
          <w:sz w:val="16"/>
          <w:szCs w:val="16"/>
          <w:color w:val="auto"/>
        </w:rPr>
      </w:pPr>
      <w:r>
        <w:rPr>
          <w:rFonts w:ascii="Arial" w:cs="Arial" w:eastAsia="Arial" w:hAnsi="Arial"/>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-1828165</wp:posOffset>
            </wp:positionV>
            <wp:extent cx="7246620" cy="18865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886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5"/>
        </w:trPr>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5"/>
        </w:trPr>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amortization</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34"/>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468"/>
        </w:trPr>
        <w:tc>
          <w:tcPr>
            <w:tcW w:w="102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7"/>
        </w:trPr>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702"/>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r>
        <w:trPr>
          <w:trHeight w:val="493"/>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1"/>
        </w:trPr>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580"/>
          </w:cols>
          <w:pgMar w:left="240" w:top="891" w:right="239" w:bottom="1440" w:gutter="0" w:footer="0" w:header="0"/>
          <w:type w:val="continuous"/>
        </w:sectPr>
      </w:pPr>
    </w:p>
    <w:p>
      <w:pPr>
        <w:spacing w:after="0" w:line="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Amortization expenses for the years ended December 31, 2013, 2014 and 2015 were $97, $126 and $ 222,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Future amortization expenses for the years ending:</w:t>
            </w: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54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1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2016</w:t>
            </w:r>
          </w:p>
        </w:tc>
        <w:tc>
          <w:tcPr>
            <w:tcW w:w="1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1540"/>
              <w:spacing w:after="0"/>
              <w:rPr>
                <w:sz w:val="20"/>
                <w:szCs w:val="20"/>
                <w:color w:val="auto"/>
              </w:rPr>
            </w:pPr>
            <w:r>
              <w:rPr>
                <w:rFonts w:ascii="Arial" w:cs="Arial" w:eastAsia="Arial" w:hAnsi="Arial"/>
                <w:sz w:val="18"/>
                <w:szCs w:val="18"/>
                <w:color w:val="auto"/>
              </w:rPr>
              <w:t>2017</w:t>
            </w: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2018</w:t>
            </w:r>
          </w:p>
        </w:tc>
        <w:tc>
          <w:tcPr>
            <w:tcW w:w="1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1540"/>
              <w:spacing w:after="0"/>
              <w:rPr>
                <w:sz w:val="20"/>
                <w:szCs w:val="20"/>
                <w:color w:val="auto"/>
              </w:rPr>
            </w:pPr>
            <w:r>
              <w:rPr>
                <w:rFonts w:ascii="Arial" w:cs="Arial" w:eastAsia="Arial" w:hAnsi="Arial"/>
                <w:sz w:val="18"/>
                <w:szCs w:val="18"/>
                <w:color w:val="auto"/>
              </w:rPr>
              <w:t>2019</w:t>
            </w: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CCEEFF"/>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2020 and thereafter</w:t>
            </w:r>
          </w:p>
        </w:tc>
        <w:tc>
          <w:tcPr>
            <w:tcW w:w="1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40" w:type="dxa"/>
            <w:vAlign w:val="bottom"/>
            <w:tcBorders>
              <w:bottom w:val="single" w:sz="8" w:color="CCEEFF"/>
            </w:tcBorders>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spacing w:after="0"/>
              <w:rPr>
                <w:sz w:val="19"/>
                <w:szCs w:val="19"/>
                <w:color w:val="auto"/>
              </w:rPr>
            </w:pPr>
          </w:p>
        </w:tc>
        <w:tc>
          <w:tcPr>
            <w:tcW w:w="55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1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OTHER PAYABLES AND ACCRUED EXPENSES</w:t>
            </w: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12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5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tcPr>
          <w:p>
            <w:pPr>
              <w:ind w:left="3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Government authorities</w:t>
            </w: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tcPr>
          <w:p>
            <w:pPr>
              <w:ind w:left="1040"/>
              <w:spacing w:after="0"/>
              <w:rPr>
                <w:sz w:val="20"/>
                <w:szCs w:val="20"/>
                <w:color w:val="auto"/>
              </w:rPr>
            </w:pPr>
            <w:r>
              <w:rPr>
                <w:rFonts w:ascii="Arial" w:cs="Arial" w:eastAsia="Arial" w:hAnsi="Arial"/>
                <w:sz w:val="18"/>
                <w:szCs w:val="18"/>
                <w:color w:val="auto"/>
              </w:rPr>
              <w:t>Warranty provision</w:t>
            </w:r>
          </w:p>
        </w:tc>
        <w:tc>
          <w:tcPr>
            <w:tcW w:w="1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Professional services</w:t>
            </w:r>
          </w:p>
        </w:tc>
        <w:tc>
          <w:tcPr>
            <w:tcW w:w="1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120" w:type="dxa"/>
            <w:vAlign w:val="bottom"/>
            <w:gridSpan w:val="2"/>
          </w:tcPr>
          <w:p>
            <w:pPr>
              <w:ind w:left="1040"/>
              <w:spacing w:after="0"/>
              <w:rPr>
                <w:sz w:val="20"/>
                <w:szCs w:val="20"/>
                <w:color w:val="auto"/>
              </w:rPr>
            </w:pPr>
            <w:r>
              <w:rPr>
                <w:rFonts w:ascii="Arial" w:cs="Arial" w:eastAsia="Arial" w:hAnsi="Arial"/>
                <w:sz w:val="18"/>
                <w:szCs w:val="18"/>
                <w:color w:val="auto"/>
              </w:rPr>
              <w:t>Accrued expenses and other</w:t>
            </w:r>
          </w:p>
        </w:tc>
        <w:tc>
          <w:tcPr>
            <w:tcW w:w="1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4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2"/>
                <w:szCs w:val="22"/>
                <w:color w:val="auto"/>
              </w:rPr>
            </w:pPr>
          </w:p>
        </w:tc>
        <w:tc>
          <w:tcPr>
            <w:tcW w:w="5580" w:type="dxa"/>
            <w:vAlign w:val="bottom"/>
          </w:tcPr>
          <w:p>
            <w:pPr>
              <w:spacing w:after="0"/>
              <w:rPr>
                <w:sz w:val="22"/>
                <w:szCs w:val="22"/>
                <w:color w:val="auto"/>
              </w:rPr>
            </w:pPr>
          </w:p>
        </w:tc>
        <w:tc>
          <w:tcPr>
            <w:tcW w:w="2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2,606</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-3455670</wp:posOffset>
            </wp:positionV>
            <wp:extent cx="969010" cy="15690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69010" cy="1569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651510" cy="14236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1510" cy="142367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8:-</w:t>
        <w:tab/>
        <w:t>COMMITMENTS AND CONTINGENT LIABILITIES</w:t>
      </w:r>
    </w:p>
    <w:p>
      <w:pPr>
        <w:spacing w:after="0" w:line="229" w:lineRule="exact"/>
        <w:rPr>
          <w:sz w:val="20"/>
          <w:szCs w:val="20"/>
          <w:color w:val="auto"/>
        </w:rPr>
      </w:pPr>
    </w:p>
    <w:p>
      <w:pPr>
        <w:ind w:left="1520" w:hanging="499"/>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225" w:lineRule="exact"/>
        <w:rPr>
          <w:rFonts w:ascii="Arial" w:cs="Arial" w:eastAsia="Arial" w:hAnsi="Arial"/>
          <w:sz w:val="18"/>
          <w:szCs w:val="18"/>
          <w:color w:val="auto"/>
        </w:rPr>
      </w:pPr>
    </w:p>
    <w:p>
      <w:pPr>
        <w:ind w:left="1540" w:right="100"/>
        <w:spacing w:after="0" w:line="264" w:lineRule="auto"/>
        <w:rPr>
          <w:rFonts w:ascii="Arial" w:cs="Arial" w:eastAsia="Arial" w:hAnsi="Arial"/>
          <w:sz w:val="18"/>
          <w:szCs w:val="18"/>
          <w:color w:val="auto"/>
        </w:rPr>
      </w:pPr>
      <w:r>
        <w:rPr>
          <w:rFonts w:ascii="Arial" w:cs="Arial" w:eastAsia="Arial" w:hAnsi="Arial"/>
          <w:sz w:val="18"/>
          <w:szCs w:val="18"/>
          <w:color w:val="auto"/>
        </w:rPr>
        <w:t>The Company leases facilities and vehicles under operating leases that expire on various dates through 2022. Aggregate minimum lease and rental payments under non-cancelable operating leases as of December 31, 2015, are (in the aggregate) and for each succeeding fiscal year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969010" cy="11061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69010" cy="110617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3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1,725</w:t>
            </w:r>
          </w:p>
        </w:tc>
      </w:tr>
      <w:tr>
        <w:trPr>
          <w:trHeight w:val="243"/>
        </w:trPr>
        <w:tc>
          <w:tcPr>
            <w:tcW w:w="10300" w:type="dxa"/>
            <w:vAlign w:val="bottom"/>
          </w:tcPr>
          <w:p>
            <w:pPr>
              <w:ind w:left="154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1,929</w:t>
            </w:r>
          </w:p>
        </w:tc>
      </w:tr>
      <w:tr>
        <w:trPr>
          <w:trHeight w:val="243"/>
        </w:trPr>
        <w:tc>
          <w:tcPr>
            <w:tcW w:w="103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r>
      <w:tr>
        <w:trPr>
          <w:trHeight w:val="243"/>
        </w:trPr>
        <w:tc>
          <w:tcPr>
            <w:tcW w:w="10300" w:type="dxa"/>
            <w:vAlign w:val="bottom"/>
          </w:tcPr>
          <w:p>
            <w:pPr>
              <w:ind w:left="154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r>
      <w:tr>
        <w:trPr>
          <w:trHeight w:val="237"/>
        </w:trPr>
        <w:tc>
          <w:tcPr>
            <w:tcW w:w="106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2020 and thereafter</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r>
      <w:tr>
        <w:trPr>
          <w:trHeight w:val="230"/>
        </w:trPr>
        <w:tc>
          <w:tcPr>
            <w:tcW w:w="103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64"/>
        </w:trPr>
        <w:tc>
          <w:tcPr>
            <w:tcW w:w="103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
        </w:trPr>
        <w:tc>
          <w:tcPr>
            <w:tcW w:w="10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10620" w:type="dxa"/>
            <w:vAlign w:val="bottom"/>
            <w:gridSpan w:val="2"/>
          </w:tcPr>
          <w:p>
            <w:pPr>
              <w:ind w:left="1540"/>
              <w:spacing w:after="0"/>
              <w:rPr>
                <w:sz w:val="20"/>
                <w:szCs w:val="20"/>
                <w:color w:val="auto"/>
              </w:rPr>
            </w:pPr>
            <w:r>
              <w:rPr>
                <w:rFonts w:ascii="Arial" w:cs="Arial" w:eastAsia="Arial" w:hAnsi="Arial"/>
                <w:sz w:val="18"/>
                <w:szCs w:val="18"/>
                <w:color w:val="auto"/>
                <w:w w:val="91"/>
              </w:rPr>
              <w:t>Total rent expenses for the years ended December 31, 2013, 2014 and 2015 were $1,080, $1,203 and $1,443, respectively.</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left="1520" w:hanging="499"/>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ind w:left="1540" w:right="60"/>
        <w:spacing w:after="0" w:line="255" w:lineRule="auto"/>
        <w:rPr>
          <w:rFonts w:ascii="Arial" w:cs="Arial" w:eastAsia="Arial" w:hAnsi="Arial"/>
          <w:sz w:val="18"/>
          <w:szCs w:val="18"/>
          <w:color w:val="auto"/>
        </w:rPr>
      </w:pPr>
      <w:r>
        <w:rPr>
          <w:rFonts w:ascii="Arial" w:cs="Arial" w:eastAsia="Arial" w:hAnsi="Arial"/>
          <w:sz w:val="18"/>
          <w:szCs w:val="18"/>
          <w:color w:val="auto"/>
        </w:rPr>
        <w:t>As of December 31, 2015, the Company has three lines of credit with Israeli banks for total borrowings of up to $5.0 million, all of which was undrawn as of December 31, 2015. These lines of credit are unsecured and available subject to the Company maintenance of a 30% ratio of total shareholders' equity to total assets. Interest rates across these credit lines varied from 1.95% to 2.3% as of December 31, 2015. Any borrowings under the credit lines would become repayable if Fortissimo Capital ceases to be the company controlling shareholder (which for this purpose generally requires Fortissimo Capital to continue to hold 25% of the company outstanding ordinary shares).</w:t>
      </w:r>
    </w:p>
    <w:p>
      <w:pPr>
        <w:spacing w:after="0" w:line="193" w:lineRule="exact"/>
        <w:rPr>
          <w:rFonts w:ascii="Arial" w:cs="Arial" w:eastAsia="Arial" w:hAnsi="Arial"/>
          <w:sz w:val="18"/>
          <w:szCs w:val="18"/>
          <w:color w:val="auto"/>
        </w:rPr>
      </w:pPr>
    </w:p>
    <w:p>
      <w:pPr>
        <w:ind w:left="1540" w:right="300"/>
        <w:spacing w:after="0" w:line="277" w:lineRule="auto"/>
        <w:rPr>
          <w:rFonts w:ascii="Arial" w:cs="Arial" w:eastAsia="Arial" w:hAnsi="Arial"/>
          <w:sz w:val="18"/>
          <w:szCs w:val="18"/>
          <w:color w:val="auto"/>
        </w:rPr>
      </w:pPr>
      <w:r>
        <w:rPr>
          <w:rFonts w:ascii="Arial" w:cs="Arial" w:eastAsia="Arial" w:hAnsi="Arial"/>
          <w:sz w:val="18"/>
          <w:szCs w:val="18"/>
          <w:color w:val="auto"/>
        </w:rPr>
        <w:t>As of the date of these financial statements, the Company does not have any borrowings under the lines of credit. The Company is in compliance with the financial covenants.</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The Company estimates that at December 31, 2015, it had $ 12,441 of purchase commitments for goods and services from vendors.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8:-</w:t>
        <w:tab/>
        <w:t>COMMITMENTS AND CONTINGENT LIABILITIES (Cont.)</w:t>
      </w:r>
    </w:p>
    <w:p>
      <w:pPr>
        <w:spacing w:after="0" w:line="229" w:lineRule="exact"/>
        <w:rPr>
          <w:sz w:val="20"/>
          <w:szCs w:val="20"/>
          <w:color w:val="auto"/>
        </w:rPr>
      </w:pPr>
    </w:p>
    <w:p>
      <w:pPr>
        <w:ind w:left="1520" w:hanging="499"/>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ind w:left="1540" w:right="4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81" w:lineRule="exact"/>
        <w:rPr>
          <w:rFonts w:ascii="Arial" w:cs="Arial" w:eastAsia="Arial" w:hAnsi="Arial"/>
          <w:sz w:val="18"/>
          <w:szCs w:val="18"/>
          <w:color w:val="auto"/>
        </w:rPr>
      </w:pPr>
    </w:p>
    <w:p>
      <w:pPr>
        <w:ind w:left="1540" w:right="120"/>
        <w:spacing w:after="0" w:line="286" w:lineRule="auto"/>
        <w:rPr>
          <w:rFonts w:ascii="Arial" w:cs="Arial" w:eastAsia="Arial" w:hAnsi="Arial"/>
          <w:sz w:val="18"/>
          <w:szCs w:val="18"/>
          <w:color w:val="auto"/>
        </w:rPr>
      </w:pPr>
      <w:r>
        <w:rPr>
          <w:rFonts w:ascii="Arial" w:cs="Arial" w:eastAsia="Arial" w:hAnsi="Arial"/>
          <w:sz w:val="17"/>
          <w:szCs w:val="17"/>
          <w:color w:val="auto"/>
        </w:rPr>
        <w:t>In February 2015, one of the Company's distributors, which, accounted for 25% and 18% of the Company's revenues in 2014 and 2015, respectively, received a letter claiming patent infringement in connection with the sale of one of the Company's systems. The letter included copy of the complaint filed against the distributor with the U.S. District Court for the Middle District of Florida.</w:t>
      </w:r>
    </w:p>
    <w:p>
      <w:pPr>
        <w:spacing w:after="0" w:line="165" w:lineRule="exact"/>
        <w:rPr>
          <w:rFonts w:ascii="Arial" w:cs="Arial" w:eastAsia="Arial" w:hAnsi="Arial"/>
          <w:sz w:val="18"/>
          <w:szCs w:val="18"/>
          <w:color w:val="auto"/>
        </w:rPr>
      </w:pPr>
    </w:p>
    <w:p>
      <w:pPr>
        <w:ind w:left="1540" w:right="200"/>
        <w:spacing w:after="0" w:line="277" w:lineRule="auto"/>
        <w:rPr>
          <w:rFonts w:ascii="Arial" w:cs="Arial" w:eastAsia="Arial" w:hAnsi="Arial"/>
          <w:sz w:val="18"/>
          <w:szCs w:val="18"/>
          <w:color w:val="auto"/>
        </w:rPr>
      </w:pPr>
      <w:r>
        <w:rPr>
          <w:rFonts w:ascii="Arial" w:cs="Arial" w:eastAsia="Arial" w:hAnsi="Arial"/>
          <w:sz w:val="18"/>
          <w:szCs w:val="18"/>
          <w:color w:val="auto"/>
        </w:rPr>
        <w:t>The Company's agreement with the distributor contains an undertaking by the Company to indemnify the distributor against claims by third parties alleging that the Company's products infringe third party intellectual property rights.</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In December 2015, the parties reached a settlement agreement in which the Company is obligated to pay $ 90, which is accrued for.</w:t>
      </w:r>
    </w:p>
    <w:p>
      <w:pPr>
        <w:spacing w:after="0" w:line="248" w:lineRule="exact"/>
        <w:rPr>
          <w:rFonts w:ascii="Arial" w:cs="Arial" w:eastAsia="Arial" w:hAnsi="Arial"/>
          <w:sz w:val="18"/>
          <w:szCs w:val="18"/>
          <w:color w:val="auto"/>
        </w:rPr>
      </w:pPr>
    </w:p>
    <w:p>
      <w:pPr>
        <w:ind w:left="1520" w:hanging="499"/>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jc w:val="both"/>
        <w:ind w:left="2040" w:right="320" w:hanging="506"/>
        <w:spacing w:after="0" w:line="264" w:lineRule="auto"/>
        <w:tabs>
          <w:tab w:leader="none" w:pos="2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Under the Company's agreement for purchasing print heads and other products, which was amended and restated in 2015, the Company is obligated to pay royalties at a rate set forth in the agreement up to an agreed maximum amount of the Company’s annual ink revenues.</w:t>
      </w:r>
    </w:p>
    <w:p>
      <w:pPr>
        <w:spacing w:after="0" w:line="18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7"/>
          <w:szCs w:val="17"/>
          <w:color w:val="auto"/>
        </w:rPr>
        <w:t>Royalties'- expenses for the years ended December 31, 2013, 2014 and 2015 were $563, $590 and $625, respectively.</w:t>
      </w:r>
    </w:p>
    <w:p>
      <w:pPr>
        <w:spacing w:after="0" w:line="236" w:lineRule="exact"/>
        <w:rPr>
          <w:rFonts w:ascii="Arial" w:cs="Arial" w:eastAsia="Arial" w:hAnsi="Arial"/>
          <w:sz w:val="18"/>
          <w:szCs w:val="18"/>
          <w:color w:val="auto"/>
        </w:rPr>
      </w:pPr>
    </w:p>
    <w:p>
      <w:pPr>
        <w:ind w:left="2040" w:right="140" w:hanging="506"/>
        <w:spacing w:after="0" w:line="257" w:lineRule="auto"/>
        <w:tabs>
          <w:tab w:leader="none" w:pos="20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Company received research and development grants from the Office of the Chief Scientist (the "OCS"). In consideration for the research and development grants received from the OCS, the Company had undertaken to pay royalties as a percentage of revenues from products developed from research and development projects financed. The royalty rate is 3.5%. If the Company does not generate sales of products developed with funds provided by the OCS, the Company is not obligated to pay royalties or repay the grants.</w:t>
      </w:r>
    </w:p>
    <w:p>
      <w:pPr>
        <w:spacing w:after="0" w:line="188" w:lineRule="exact"/>
        <w:rPr>
          <w:rFonts w:ascii="Arial" w:cs="Arial" w:eastAsia="Arial" w:hAnsi="Arial"/>
          <w:sz w:val="18"/>
          <w:szCs w:val="18"/>
          <w:color w:val="auto"/>
        </w:rPr>
      </w:pPr>
    </w:p>
    <w:p>
      <w:pPr>
        <w:ind w:left="2040" w:right="600"/>
        <w:spacing w:after="0" w:line="342" w:lineRule="auto"/>
        <w:rPr>
          <w:rFonts w:ascii="Arial" w:cs="Arial" w:eastAsia="Arial" w:hAnsi="Arial"/>
          <w:sz w:val="18"/>
          <w:szCs w:val="18"/>
          <w:color w:val="auto"/>
        </w:rPr>
      </w:pPr>
      <w:r>
        <w:rPr>
          <w:rFonts w:ascii="Arial" w:cs="Arial" w:eastAsia="Arial" w:hAnsi="Arial"/>
          <w:sz w:val="16"/>
          <w:szCs w:val="16"/>
          <w:color w:val="auto"/>
        </w:rPr>
        <w:t>Royalties are payable from the time of commencement of sales of all of these products until the cumulative amount of the royalties paid equals 100% of the dollar-linked amounts of the grants received, and bears interest at the LIBOR rate.</w:t>
      </w:r>
    </w:p>
    <w:p>
      <w:pPr>
        <w:spacing w:after="0" w:line="123" w:lineRule="exact"/>
        <w:rPr>
          <w:rFonts w:ascii="Arial" w:cs="Arial" w:eastAsia="Arial" w:hAnsi="Arial"/>
          <w:sz w:val="18"/>
          <w:szCs w:val="18"/>
          <w:color w:val="auto"/>
        </w:rPr>
      </w:pPr>
    </w:p>
    <w:p>
      <w:pPr>
        <w:ind w:left="2040" w:right="140"/>
        <w:spacing w:after="0" w:line="312" w:lineRule="auto"/>
        <w:rPr>
          <w:rFonts w:ascii="Arial" w:cs="Arial" w:eastAsia="Arial" w:hAnsi="Arial"/>
          <w:sz w:val="18"/>
          <w:szCs w:val="18"/>
          <w:color w:val="auto"/>
        </w:rPr>
      </w:pPr>
      <w:r>
        <w:rPr>
          <w:rFonts w:ascii="Arial" w:cs="Arial" w:eastAsia="Arial" w:hAnsi="Arial"/>
          <w:sz w:val="16"/>
          <w:szCs w:val="16"/>
          <w:color w:val="auto"/>
        </w:rPr>
        <w:t>The total research and development grants that the Company has received from the OCS as of December 31, 2015 were $ 168. The accumulated interest as of December 31, 2015 was $ 8. At the end of 2015 the Company decided to repay its grant in full to the OCS in the amount of $ 176, in addition to royalties paid during the year and settled its obligations to the OCS.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2" w:name="page133"/>
    <w:bookmarkEnd w:id="132"/>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8:-</w:t>
        <w:tab/>
        <w:t>COMMITMENTS AND CONTINGENT LIABILITIES (Cont.)</w:t>
      </w:r>
    </w:p>
    <w:p>
      <w:pPr>
        <w:spacing w:after="0" w:line="229" w:lineRule="exact"/>
        <w:rPr>
          <w:sz w:val="20"/>
          <w:szCs w:val="20"/>
          <w:color w:val="auto"/>
        </w:rPr>
      </w:pPr>
    </w:p>
    <w:p>
      <w:pPr>
        <w:ind w:left="1520" w:hanging="499"/>
        <w:spacing w:after="0"/>
        <w:tabs>
          <w:tab w:leader="none" w:pos="15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As of December 31, 2015, the Company provided two bank guarantees of $ 204 in the aggregate for its rented facilities.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9:-</w:t>
        <w:tab/>
        <w:t>SHAREHOLDERS' EQUITY</w:t>
      </w:r>
    </w:p>
    <w:p>
      <w:pPr>
        <w:spacing w:after="0" w:line="229" w:lineRule="exact"/>
        <w:rPr>
          <w:sz w:val="20"/>
          <w:szCs w:val="20"/>
          <w:color w:val="auto"/>
        </w:rPr>
      </w:pPr>
    </w:p>
    <w:p>
      <w:pPr>
        <w:ind w:left="1540" w:right="8560" w:hanging="519"/>
        <w:spacing w:after="0" w:line="601" w:lineRule="auto"/>
        <w:tabs>
          <w:tab w:leader="none" w:pos="1521" w:val="left"/>
        </w:tabs>
        <w:numPr>
          <w:ilvl w:val="0"/>
          <w:numId w:val="100"/>
        </w:numPr>
        <w:rPr>
          <w:rFonts w:ascii="Arial" w:cs="Arial" w:eastAsia="Arial" w:hAnsi="Arial"/>
          <w:sz w:val="15"/>
          <w:szCs w:val="15"/>
          <w:color w:val="auto"/>
        </w:rPr>
      </w:pPr>
      <w:r>
        <w:rPr>
          <w:rFonts w:ascii="Arial" w:cs="Arial" w:eastAsia="Arial" w:hAnsi="Arial"/>
          <w:sz w:val="15"/>
          <w:szCs w:val="15"/>
          <w:color w:val="auto"/>
        </w:rPr>
        <w:t>Company's shares: Ordinary shares:</w:t>
      </w:r>
    </w:p>
    <w:p>
      <w:pPr>
        <w:ind w:left="1540" w:right="140"/>
        <w:spacing w:after="0" w:line="259" w:lineRule="auto"/>
        <w:rPr>
          <w:rFonts w:ascii="Arial" w:cs="Arial" w:eastAsia="Arial" w:hAnsi="Arial"/>
          <w:sz w:val="15"/>
          <w:szCs w:val="15"/>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6" w:lineRule="exact"/>
        <w:rPr>
          <w:rFonts w:ascii="Arial" w:cs="Arial" w:eastAsia="Arial" w:hAnsi="Arial"/>
          <w:sz w:val="15"/>
          <w:szCs w:val="15"/>
          <w:color w:val="auto"/>
        </w:rPr>
      </w:pPr>
    </w:p>
    <w:p>
      <w:pPr>
        <w:ind w:left="1540"/>
        <w:spacing w:after="0"/>
        <w:rPr>
          <w:rFonts w:ascii="Arial" w:cs="Arial" w:eastAsia="Arial" w:hAnsi="Arial"/>
          <w:sz w:val="15"/>
          <w:szCs w:val="15"/>
          <w:color w:val="auto"/>
        </w:rPr>
      </w:pPr>
      <w:r>
        <w:rPr>
          <w:rFonts w:ascii="Arial" w:cs="Arial" w:eastAsia="Arial" w:hAnsi="Arial"/>
          <w:sz w:val="18"/>
          <w:szCs w:val="18"/>
          <w:color w:val="auto"/>
        </w:rPr>
        <w:t>Preferred A-1 shares:</w:t>
      </w:r>
    </w:p>
    <w:p>
      <w:pPr>
        <w:spacing w:after="0" w:line="225" w:lineRule="exact"/>
        <w:rPr>
          <w:rFonts w:ascii="Arial" w:cs="Arial" w:eastAsia="Arial" w:hAnsi="Arial"/>
          <w:sz w:val="15"/>
          <w:szCs w:val="15"/>
          <w:color w:val="auto"/>
        </w:rPr>
      </w:pPr>
    </w:p>
    <w:p>
      <w:pPr>
        <w:ind w:left="1540"/>
        <w:spacing w:after="0"/>
        <w:rPr>
          <w:rFonts w:ascii="Arial" w:cs="Arial" w:eastAsia="Arial" w:hAnsi="Arial"/>
          <w:sz w:val="15"/>
          <w:szCs w:val="15"/>
          <w:color w:val="auto"/>
        </w:rPr>
      </w:pPr>
      <w:r>
        <w:rPr>
          <w:rFonts w:ascii="Arial" w:cs="Arial" w:eastAsia="Arial" w:hAnsi="Arial"/>
          <w:sz w:val="18"/>
          <w:szCs w:val="18"/>
          <w:color w:val="auto"/>
        </w:rPr>
        <w:t>On April 8, 2015 the Company consummated its IPO and all preferred shares were converted to ordinary shares.</w:t>
      </w:r>
    </w:p>
    <w:p>
      <w:pPr>
        <w:spacing w:after="0" w:line="225" w:lineRule="exact"/>
        <w:rPr>
          <w:rFonts w:ascii="Arial" w:cs="Arial" w:eastAsia="Arial" w:hAnsi="Arial"/>
          <w:sz w:val="15"/>
          <w:szCs w:val="15"/>
          <w:color w:val="auto"/>
        </w:rPr>
      </w:pPr>
    </w:p>
    <w:p>
      <w:pPr>
        <w:ind w:left="1520" w:hanging="499"/>
        <w:spacing w:after="0"/>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summary of the Company’s stock option activity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remaining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of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contractual</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6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upon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term</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intrinsic</w:t>
            </w:r>
          </w:p>
        </w:tc>
      </w:tr>
      <w:tr>
        <w:trPr>
          <w:trHeight w:val="241"/>
        </w:trPr>
        <w:tc>
          <w:tcPr>
            <w:tcW w:w="662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exercise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price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value</w:t>
            </w:r>
          </w:p>
        </w:tc>
      </w:tr>
      <w:tr>
        <w:trPr>
          <w:trHeight w:val="230"/>
        </w:trPr>
        <w:tc>
          <w:tcPr>
            <w:tcW w:w="66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Outstanding at beginning of year</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2,578,328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w:t>
            </w:r>
          </w:p>
        </w:tc>
        <w:tc>
          <w:tcPr>
            <w:tcW w:w="100" w:type="dxa"/>
            <w:vAlign w:val="bottom"/>
            <w:shd w:val="clear" w:color="auto" w:fill="CCEEFF"/>
          </w:tcPr>
          <w:p>
            <w:pPr>
              <w:spacing w:after="0"/>
              <w:rPr>
                <w:sz w:val="21"/>
                <w:szCs w:val="21"/>
                <w:color w:val="auto"/>
              </w:rPr>
            </w:pPr>
          </w:p>
        </w:tc>
      </w:tr>
      <w:tr>
        <w:trPr>
          <w:trHeight w:val="243"/>
        </w:trPr>
        <w:tc>
          <w:tcPr>
            <w:tcW w:w="6620" w:type="dxa"/>
            <w:vAlign w:val="bottom"/>
          </w:tcPr>
          <w:p>
            <w:pPr>
              <w:ind w:left="15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771,083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r>
      <w:tr>
        <w:trPr>
          <w:trHeight w:val="243"/>
        </w:trPr>
        <w:tc>
          <w:tcPr>
            <w:tcW w:w="66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(528,984)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w:t>
            </w:r>
          </w:p>
        </w:tc>
        <w:tc>
          <w:tcPr>
            <w:tcW w:w="100" w:type="dxa"/>
            <w:vAlign w:val="bottom"/>
            <w:shd w:val="clear" w:color="auto" w:fill="CCEEFF"/>
          </w:tcPr>
          <w:p>
            <w:pPr>
              <w:spacing w:after="0"/>
              <w:rPr>
                <w:sz w:val="21"/>
                <w:szCs w:val="21"/>
                <w:color w:val="auto"/>
              </w:rPr>
            </w:pPr>
          </w:p>
        </w:tc>
      </w:tr>
      <w:tr>
        <w:trPr>
          <w:trHeight w:val="237"/>
        </w:trPr>
        <w:tc>
          <w:tcPr>
            <w:tcW w:w="6620" w:type="dxa"/>
            <w:vAlign w:val="bottom"/>
          </w:tcPr>
          <w:p>
            <w:pPr>
              <w:ind w:left="15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(51,423)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0"/>
        </w:trPr>
        <w:tc>
          <w:tcPr>
            <w:tcW w:w="66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r>
      <w:tr>
        <w:trPr>
          <w:trHeight w:val="304"/>
        </w:trPr>
        <w:tc>
          <w:tcPr>
            <w:tcW w:w="6620" w:type="dxa"/>
            <w:vAlign w:val="bottom"/>
          </w:tcPr>
          <w:p>
            <w:pPr>
              <w:ind w:left="1540"/>
              <w:spacing w:after="0"/>
              <w:rPr>
                <w:sz w:val="20"/>
                <w:szCs w:val="20"/>
                <w:color w:val="auto"/>
              </w:rPr>
            </w:pPr>
            <w:r>
              <w:rPr>
                <w:rFonts w:ascii="Arial" w:cs="Arial" w:eastAsia="Arial" w:hAnsi="Arial"/>
                <w:sz w:val="18"/>
                <w:szCs w:val="18"/>
                <w:color w:val="auto"/>
              </w:rPr>
              <w:t>Outstanding at end of year</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2,769,004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18,580</w:t>
            </w:r>
          </w:p>
        </w:tc>
        <w:tc>
          <w:tcPr>
            <w:tcW w:w="100" w:type="dxa"/>
            <w:vAlign w:val="bottom"/>
          </w:tcPr>
          <w:p>
            <w:pPr>
              <w:spacing w:after="0"/>
              <w:rPr>
                <w:sz w:val="24"/>
                <w:szCs w:val="24"/>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6620" w:type="dxa"/>
            <w:vAlign w:val="bottom"/>
          </w:tcPr>
          <w:p>
            <w:pPr>
              <w:ind w:left="1540"/>
              <w:spacing w:after="0"/>
              <w:rPr>
                <w:sz w:val="20"/>
                <w:szCs w:val="20"/>
                <w:color w:val="auto"/>
              </w:rPr>
            </w:pPr>
            <w:r>
              <w:rPr>
                <w:rFonts w:ascii="Arial" w:cs="Arial" w:eastAsia="Arial" w:hAnsi="Arial"/>
                <w:sz w:val="18"/>
                <w:szCs w:val="18"/>
                <w:color w:val="auto"/>
              </w:rPr>
              <w:t>Exercisable at end of year</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1,092,935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10,254</w:t>
            </w:r>
          </w:p>
        </w:tc>
        <w:tc>
          <w:tcPr>
            <w:tcW w:w="100" w:type="dxa"/>
            <w:vAlign w:val="bottom"/>
          </w:tcPr>
          <w:p>
            <w:pPr>
              <w:spacing w:after="0"/>
              <w:rPr>
                <w:sz w:val="24"/>
                <w:szCs w:val="24"/>
                <w:color w:val="auto"/>
              </w:rPr>
            </w:pPr>
          </w:p>
        </w:tc>
      </w:tr>
      <w:tr>
        <w:trPr>
          <w:trHeight w:val="216"/>
        </w:trPr>
        <w:tc>
          <w:tcPr>
            <w:tcW w:w="6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620" w:type="dxa"/>
            <w:vAlign w:val="bottom"/>
          </w:tcPr>
          <w:p>
            <w:pPr>
              <w:ind w:left="1540"/>
              <w:spacing w:after="0"/>
              <w:rPr>
                <w:sz w:val="20"/>
                <w:szCs w:val="20"/>
                <w:color w:val="auto"/>
              </w:rPr>
            </w:pPr>
            <w:r>
              <w:rPr>
                <w:rFonts w:ascii="Arial" w:cs="Arial" w:eastAsia="Arial" w:hAnsi="Arial"/>
                <w:sz w:val="18"/>
                <w:szCs w:val="18"/>
                <w:color w:val="auto"/>
              </w:rPr>
              <w:t>Vested and expected to vest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2,581,392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17,931</w:t>
            </w:r>
          </w:p>
        </w:tc>
        <w:tc>
          <w:tcPr>
            <w:tcW w:w="100" w:type="dxa"/>
            <w:vAlign w:val="bottom"/>
          </w:tcPr>
          <w:p>
            <w:pPr>
              <w:spacing w:after="0"/>
              <w:rPr>
                <w:sz w:val="22"/>
                <w:szCs w:val="22"/>
                <w:color w:val="auto"/>
              </w:rPr>
            </w:pPr>
          </w:p>
        </w:tc>
      </w:tr>
      <w:tr>
        <w:trPr>
          <w:trHeight w:val="21"/>
        </w:trPr>
        <w:tc>
          <w:tcPr>
            <w:tcW w:w="6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-2649220</wp:posOffset>
            </wp:positionV>
            <wp:extent cx="969010" cy="26244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69010" cy="262445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SHAREHOLDERS' EQUITY (Cont.)</w:t>
      </w:r>
    </w:p>
    <w:p>
      <w:pPr>
        <w:spacing w:after="0" w:line="229" w:lineRule="exact"/>
        <w:rPr>
          <w:sz w:val="20"/>
          <w:szCs w:val="20"/>
          <w:color w:val="auto"/>
        </w:rPr>
      </w:pPr>
    </w:p>
    <w:p>
      <w:pPr>
        <w:ind w:left="1540" w:right="520"/>
        <w:spacing w:after="0" w:line="277" w:lineRule="auto"/>
        <w:rPr>
          <w:sz w:val="20"/>
          <w:szCs w:val="20"/>
          <w:color w:val="auto"/>
        </w:rPr>
      </w:pPr>
      <w:r>
        <w:rPr>
          <w:rFonts w:ascii="Arial" w:cs="Arial" w:eastAsia="Arial" w:hAnsi="Arial"/>
          <w:sz w:val="18"/>
          <w:szCs w:val="18"/>
          <w:color w:val="auto"/>
        </w:rPr>
        <w:t>As of December 31, 2015, $ 8,237 in unrecognized compensation cost related to stock options is expected to be recognized over a weighted average vesting period of 2.99 years.</w:t>
      </w:r>
    </w:p>
    <w:p>
      <w:pPr>
        <w:spacing w:after="0" w:line="170" w:lineRule="exact"/>
        <w:rPr>
          <w:sz w:val="20"/>
          <w:szCs w:val="20"/>
          <w:color w:val="auto"/>
        </w:rPr>
      </w:pPr>
    </w:p>
    <w:p>
      <w:pPr>
        <w:ind w:left="1520" w:right="180"/>
        <w:spacing w:after="0" w:line="342" w:lineRule="auto"/>
        <w:rPr>
          <w:sz w:val="20"/>
          <w:szCs w:val="20"/>
          <w:color w:val="auto"/>
        </w:rPr>
      </w:pPr>
      <w:r>
        <w:rPr>
          <w:rFonts w:ascii="Arial" w:cs="Arial" w:eastAsia="Arial" w:hAnsi="Arial"/>
          <w:sz w:val="16"/>
          <w:szCs w:val="16"/>
          <w:color w:val="auto"/>
        </w:rPr>
        <w:t>The weighted average fair value of options granted during the years ended December 31, 2013, 2014 and 2015 was 2.47, 4.46 and 7.11 per share, respectively. The weighted average fair value of options vested during the year ended December 31, 2015 was $2.151.</w:t>
      </w:r>
    </w:p>
    <w:p>
      <w:pPr>
        <w:spacing w:after="0" w:line="124" w:lineRule="exact"/>
        <w:rPr>
          <w:sz w:val="20"/>
          <w:szCs w:val="20"/>
          <w:color w:val="auto"/>
        </w:rPr>
      </w:pPr>
    </w:p>
    <w:p>
      <w:pPr>
        <w:ind w:left="1520" w:hanging="49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options outstanding as of December 31, 2015, have been classified by exercise price,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Options outstanding</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Options exercisable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90"/>
              </w:rPr>
              <w:t>at December 31, 2015</w:t>
            </w:r>
          </w:p>
        </w:tc>
        <w:tc>
          <w:tcPr>
            <w:tcW w:w="1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0"/>
              </w:rPr>
              <w:t>at December 31, 2015</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average</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contractual</w:t>
            </w:r>
          </w:p>
        </w:tc>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contractual</w:t>
            </w:r>
          </w:p>
        </w:tc>
      </w:tr>
      <w:tr>
        <w:trPr>
          <w:trHeight w:val="241"/>
        </w:trPr>
        <w:tc>
          <w:tcPr>
            <w:tcW w:w="1740" w:type="dxa"/>
            <w:vAlign w:val="bottom"/>
            <w:gridSpan w:val="2"/>
          </w:tcPr>
          <w:p>
            <w:pPr>
              <w:ind w:left="280"/>
              <w:spacing w:after="0"/>
              <w:rPr>
                <w:sz w:val="20"/>
                <w:szCs w:val="20"/>
                <w:color w:val="auto"/>
              </w:rPr>
            </w:pPr>
            <w:r>
              <w:rPr>
                <w:rFonts w:ascii="Arial" w:cs="Arial" w:eastAsia="Arial" w:hAnsi="Arial"/>
                <w:sz w:val="18"/>
                <w:szCs w:val="18"/>
                <w:b w:val="1"/>
                <w:bCs w:val="1"/>
                <w:color w:val="auto"/>
              </w:rPr>
              <w:t>Exercise price</w:t>
            </w:r>
          </w:p>
        </w:tc>
        <w:tc>
          <w:tcPr>
            <w:tcW w:w="1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outstanding</w:t>
            </w:r>
          </w:p>
        </w:tc>
        <w:tc>
          <w:tcPr>
            <w:tcW w:w="200" w:type="dxa"/>
            <w:vAlign w:val="bottom"/>
          </w:tcPr>
          <w:p>
            <w:pPr>
              <w:spacing w:after="0"/>
              <w:rPr>
                <w:sz w:val="20"/>
                <w:szCs w:val="20"/>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 price</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life</w:t>
            </w:r>
          </w:p>
        </w:tc>
        <w:tc>
          <w:tcPr>
            <w:tcW w:w="14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outstanding</w:t>
            </w:r>
          </w:p>
        </w:tc>
        <w:tc>
          <w:tcPr>
            <w:tcW w:w="18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exercise 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life</w:t>
            </w:r>
          </w:p>
        </w:tc>
      </w:tr>
      <w:tr>
        <w:trPr>
          <w:trHeight w:val="223"/>
        </w:trPr>
        <w:tc>
          <w:tcPr>
            <w:tcW w:w="1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2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100" w:type="dxa"/>
            <w:vAlign w:val="bottom"/>
          </w:tcPr>
          <w:p>
            <w:pPr>
              <w:spacing w:after="0"/>
              <w:rPr>
                <w:sz w:val="19"/>
                <w:szCs w:val="19"/>
                <w:color w:val="auto"/>
              </w:rPr>
            </w:pPr>
          </w:p>
        </w:tc>
      </w:tr>
      <w:tr>
        <w:trPr>
          <w:trHeight w:val="216"/>
        </w:trPr>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0.4-0.9</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445,750</w:t>
            </w:r>
          </w:p>
        </w:tc>
        <w:tc>
          <w:tcPr>
            <w:tcW w:w="1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0.64</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410,525</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1.1-1.6</w:t>
            </w:r>
          </w:p>
        </w:tc>
        <w:tc>
          <w:tcPr>
            <w:tcW w:w="1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419,525</w:t>
            </w:r>
          </w:p>
        </w:tc>
        <w:tc>
          <w:tcPr>
            <w:tcW w:w="1940" w:type="dxa"/>
            <w:vAlign w:val="bottom"/>
            <w:gridSpan w:val="3"/>
          </w:tcPr>
          <w:p>
            <w:pPr>
              <w:jc w:val="right"/>
              <w:ind w:right="240"/>
              <w:spacing w:after="0"/>
              <w:rPr>
                <w:sz w:val="20"/>
                <w:szCs w:val="20"/>
                <w:color w:val="auto"/>
              </w:rPr>
            </w:pPr>
            <w:r>
              <w:rPr>
                <w:rFonts w:ascii="Arial" w:cs="Arial" w:eastAsia="Arial" w:hAnsi="Arial"/>
                <w:sz w:val="18"/>
                <w:szCs w:val="18"/>
                <w:color w:val="auto"/>
              </w:rPr>
              <w:t>1.40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5.30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295,016</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1.34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16"/>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2.1-2.2</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1,145,232</w:t>
            </w:r>
          </w:p>
        </w:tc>
        <w:tc>
          <w:tcPr>
            <w:tcW w:w="1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379,894</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209,822</w:t>
            </w:r>
          </w:p>
        </w:tc>
        <w:tc>
          <w:tcPr>
            <w:tcW w:w="1940" w:type="dxa"/>
            <w:vAlign w:val="bottom"/>
            <w:gridSpan w:val="3"/>
          </w:tcPr>
          <w:p>
            <w:pPr>
              <w:jc w:val="right"/>
              <w:ind w:right="240"/>
              <w:spacing w:after="0"/>
              <w:rPr>
                <w:sz w:val="20"/>
                <w:szCs w:val="20"/>
                <w:color w:val="auto"/>
              </w:rPr>
            </w:pPr>
            <w:r>
              <w:rPr>
                <w:rFonts w:ascii="Arial" w:cs="Arial" w:eastAsia="Arial" w:hAnsi="Arial"/>
                <w:sz w:val="18"/>
                <w:szCs w:val="18"/>
                <w:color w:val="auto"/>
              </w:rPr>
              <w:t>9.97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13.0-15.3</w:t>
            </w: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548,675</w:t>
            </w:r>
          </w:p>
        </w:tc>
        <w:tc>
          <w:tcPr>
            <w:tcW w:w="1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14.06</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c>
          <w:tcPr>
            <w:tcW w:w="1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12.97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r>
      <w:tr>
        <w:trPr>
          <w:trHeight w:val="216"/>
        </w:trPr>
        <w:tc>
          <w:tcPr>
            <w:tcW w:w="16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2,769,004</w:t>
            </w: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1,092,935</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1520" w:right="100" w:hanging="499"/>
        <w:spacing w:after="0" w:line="272" w:lineRule="auto"/>
        <w:tabs>
          <w:tab w:leader="none" w:pos="15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Company’s Board approved option plans pursuant to which the Company is authorized to issue to employees, directors and officers of the Company and its subsidiaries (the “optionees”) options to purchase ordinary shares of NIS 0.01 par value each. Under the plans, options granted before 2014 generally vest in portions as follows: 50% of total options are exercisable two years after the date determined for each optionee, a further 25% three years after the date determined for each optionee and a 25% four years after the date determined for each optionee. Starting 2014, 25% of total options are exercisable one year after the date determined for each optionee and a further 6.25% at the end of each subsequent three month period for 3 years. Options that have vested are exercisable for up to 10 years from the grant date of the options to each employee.</w:t>
      </w:r>
    </w:p>
    <w:p>
      <w:pPr>
        <w:spacing w:after="0" w:line="177" w:lineRule="exact"/>
        <w:rPr>
          <w:rFonts w:ascii="Arial" w:cs="Arial" w:eastAsia="Arial" w:hAnsi="Arial"/>
          <w:sz w:val="17"/>
          <w:szCs w:val="17"/>
          <w:color w:val="auto"/>
        </w:rPr>
      </w:pPr>
    </w:p>
    <w:p>
      <w:pPr>
        <w:ind w:left="1540" w:right="140"/>
        <w:spacing w:after="0" w:line="277" w:lineRule="auto"/>
        <w:rPr>
          <w:rFonts w:ascii="Arial" w:cs="Arial" w:eastAsia="Arial" w:hAnsi="Arial"/>
          <w:sz w:val="17"/>
          <w:szCs w:val="17"/>
          <w:color w:val="auto"/>
        </w:rPr>
      </w:pPr>
      <w:r>
        <w:rPr>
          <w:rFonts w:ascii="Arial" w:cs="Arial" w:eastAsia="Arial" w:hAnsi="Arial"/>
          <w:sz w:val="18"/>
          <w:szCs w:val="18"/>
          <w:color w:val="auto"/>
        </w:rPr>
        <w:t>During 2015, the Board of Directors approved an increase in the ordinary shares reserved for issuance to 3,889,173 ordinary shares. As of December 31, 2015, an aggregate of 1,130,259 ordinary shares were available for future grants.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4" w:name="page135"/>
    <w:bookmarkEnd w:id="134"/>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1"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51510" cy="28898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1510" cy="2889885"/>
                    </a:xfrm>
                    <a:prstGeom prst="rect">
                      <a:avLst/>
                    </a:prstGeom>
                    <a:noFill/>
                  </pic:spPr>
                </pic:pic>
              </a:graphicData>
            </a:graphic>
          </wp:anchor>
        </w:drawing>
      </w:r>
    </w:p>
    <w:p>
      <w:pPr>
        <w:spacing w:after="0" w:line="7" w:lineRule="exact"/>
        <w:rPr>
          <w:sz w:val="20"/>
          <w:szCs w:val="20"/>
          <w:color w:val="auto"/>
        </w:rPr>
      </w:pPr>
    </w:p>
    <w:p>
      <w:pPr>
        <w:jc w:val="center"/>
        <w:ind w:left="778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r>
      <w:tr>
        <w:trPr>
          <w:trHeight w:val="230"/>
        </w:trPr>
        <w:tc>
          <w:tcPr>
            <w:tcW w:w="6720" w:type="dxa"/>
            <w:vAlign w:val="bottom"/>
          </w:tcPr>
          <w:p>
            <w:pPr>
              <w:ind w:left="1040"/>
              <w:spacing w:after="0"/>
              <w:rPr>
                <w:sz w:val="20"/>
                <w:szCs w:val="20"/>
                <w:color w:val="auto"/>
              </w:rPr>
            </w:pPr>
            <w:r>
              <w:rPr>
                <w:rFonts w:ascii="Arial" w:cs="Arial" w:eastAsia="Arial" w:hAnsi="Arial"/>
                <w:sz w:val="18"/>
                <w:szCs w:val="18"/>
                <w:b w:val="1"/>
                <w:bCs w:val="1"/>
                <w:color w:val="auto"/>
              </w:rPr>
              <w:t>Numerator for basic and diluted net earnings per share:</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4"/>
        </w:trPr>
        <w:tc>
          <w:tcPr>
            <w:tcW w:w="67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4,725</w:t>
            </w:r>
          </w:p>
        </w:tc>
      </w:tr>
      <w:tr>
        <w:trPr>
          <w:trHeight w:val="21"/>
        </w:trPr>
        <w:tc>
          <w:tcPr>
            <w:tcW w:w="6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6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20" w:type="dxa"/>
            <w:vAlign w:val="bottom"/>
            <w:shd w:val="clear" w:color="auto" w:fill="CCEEFF"/>
          </w:tcPr>
          <w:p>
            <w:pPr>
              <w:ind w:left="1040"/>
              <w:spacing w:after="0"/>
              <w:rPr>
                <w:sz w:val="20"/>
                <w:szCs w:val="20"/>
                <w:color w:val="auto"/>
              </w:rPr>
            </w:pPr>
            <w:r>
              <w:rPr>
                <w:rFonts w:ascii="Arial" w:cs="Arial" w:eastAsia="Arial" w:hAnsi="Arial"/>
                <w:sz w:val="18"/>
                <w:szCs w:val="18"/>
                <w:b w:val="1"/>
                <w:bCs w:val="1"/>
                <w:color w:val="auto"/>
              </w:rPr>
              <w:t>Weighted average shares outstanding, net of treasury stock:</w:t>
            </w: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Denominator for basic net earnings per share</w:t>
            </w: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8,953,565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8,969,588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24,633,369</w:t>
            </w:r>
          </w:p>
        </w:tc>
      </w:tr>
      <w:tr>
        <w:trPr>
          <w:trHeight w:val="243"/>
        </w:trPr>
        <w:tc>
          <w:tcPr>
            <w:tcW w:w="6720" w:type="dxa"/>
            <w:vAlign w:val="bottom"/>
          </w:tcPr>
          <w:p>
            <w:pPr>
              <w:ind w:left="1040"/>
              <w:spacing w:after="0"/>
              <w:rPr>
                <w:sz w:val="20"/>
                <w:szCs w:val="20"/>
                <w:color w:val="auto"/>
              </w:rPr>
            </w:pPr>
            <w:r>
              <w:rPr>
                <w:rFonts w:ascii="Arial" w:cs="Arial" w:eastAsia="Arial" w:hAnsi="Arial"/>
                <w:sz w:val="18"/>
                <w:szCs w:val="18"/>
                <w:color w:val="auto"/>
              </w:rPr>
              <w:t>Effect of dilutive securities:</w:t>
            </w: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7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Employee stock options</w:t>
            </w: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926,484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1,476,741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1,825,215</w:t>
            </w:r>
          </w:p>
        </w:tc>
      </w:tr>
      <w:tr>
        <w:trPr>
          <w:trHeight w:val="230"/>
        </w:trPr>
        <w:tc>
          <w:tcPr>
            <w:tcW w:w="67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64"/>
        </w:trPr>
        <w:tc>
          <w:tcPr>
            <w:tcW w:w="67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Denominator for diluted net earnings per share</w:t>
            </w: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9,880,049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10,446,329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26,458,584</w:t>
            </w:r>
          </w:p>
        </w:tc>
      </w:tr>
      <w:tr>
        <w:trPr>
          <w:trHeight w:val="21"/>
        </w:trPr>
        <w:tc>
          <w:tcPr>
            <w:tcW w:w="6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6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67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Basic net earnings per share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r>
      <w:tr>
        <w:trPr>
          <w:trHeight w:val="21"/>
        </w:trPr>
        <w:tc>
          <w:tcPr>
            <w:tcW w:w="6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6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67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Diluted net earnings per share</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21"/>
        </w:trPr>
        <w:tc>
          <w:tcPr>
            <w:tcW w:w="6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11:-</w:t>
        <w:tab/>
        <w:t>ACCUMULATED OTHER COMPREHENSIVE INCOME (LOSS)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gains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(losses) 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available-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gains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for-sale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2"/>
              </w:rPr>
              <w:t>(losses) 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currency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marketable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cash flow</w:t>
            </w: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hedges</w:t>
            </w:r>
          </w:p>
        </w:tc>
        <w:tc>
          <w:tcPr>
            <w:tcW w:w="80" w:type="dxa"/>
            <w:vAlign w:val="bottom"/>
          </w:tcPr>
          <w:p>
            <w:pPr>
              <w:spacing w:after="0"/>
              <w:rPr>
                <w:sz w:val="20"/>
                <w:szCs w:val="20"/>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adjustment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r>
      <w:tr>
        <w:trPr>
          <w:trHeight w:val="230"/>
        </w:trPr>
        <w:tc>
          <w:tcPr>
            <w:tcW w:w="6540" w:type="dxa"/>
            <w:vAlign w:val="bottom"/>
          </w:tcPr>
          <w:p>
            <w:pPr>
              <w:ind w:left="1040"/>
              <w:spacing w:after="0"/>
              <w:rPr>
                <w:sz w:val="20"/>
                <w:szCs w:val="20"/>
                <w:color w:val="auto"/>
              </w:rPr>
            </w:pPr>
            <w:r>
              <w:rPr>
                <w:rFonts w:ascii="Arial" w:cs="Arial" w:eastAsia="Arial" w:hAnsi="Arial"/>
                <w:sz w:val="18"/>
                <w:szCs w:val="18"/>
                <w:color w:val="auto"/>
              </w:rPr>
              <w:t>Year ended December 31, 2015:</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5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6540" w:type="dxa"/>
            <w:vAlign w:val="bottom"/>
          </w:tcPr>
          <w:p>
            <w:pPr>
              <w:ind w:left="10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50"/>
        </w:trPr>
        <w:tc>
          <w:tcPr>
            <w:tcW w:w="654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1"/>
              </w:rPr>
              <w:t>Amounts reclassified from accumulated other comprehensive income (loss)</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6540" w:type="dxa"/>
            <w:vAlign w:val="bottom"/>
            <w:tcBorders>
              <w:top w:val="single" w:sz="8" w:color="CCEEFF"/>
              <w:bottom w:val="single" w:sz="8" w:color="CCEEFF"/>
            </w:tcBorders>
          </w:tcPr>
          <w:p>
            <w:pPr>
              <w:ind w:left="1040"/>
              <w:spacing w:after="0" w:line="203" w:lineRule="exact"/>
              <w:rPr>
                <w:sz w:val="20"/>
                <w:szCs w:val="20"/>
                <w:color w:val="auto"/>
              </w:rPr>
            </w:pPr>
            <w:r>
              <w:rPr>
                <w:rFonts w:ascii="Arial" w:cs="Arial" w:eastAsia="Arial" w:hAnsi="Arial"/>
                <w:sz w:val="18"/>
                <w:szCs w:val="18"/>
                <w:color w:val="auto"/>
              </w:rPr>
              <w:t>Net current period other comprehensive income (loss)</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654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Ending Balance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
        </w:trPr>
        <w:tc>
          <w:tcPr>
            <w:tcW w:w="6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-1946275</wp:posOffset>
            </wp:positionV>
            <wp:extent cx="651510" cy="1920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1510" cy="192087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12:-</w:t>
        <w:tab/>
        <w:t>TAXES ON INCOME</w:t>
      </w:r>
    </w:p>
    <w:p>
      <w:pPr>
        <w:spacing w:after="0" w:line="229" w:lineRule="exact"/>
        <w:rPr>
          <w:sz w:val="20"/>
          <w:szCs w:val="20"/>
          <w:color w:val="auto"/>
        </w:rPr>
      </w:pPr>
    </w:p>
    <w:p>
      <w:pPr>
        <w:ind w:left="1520" w:hanging="499"/>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 rates: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Taxable income of the Israeli companies is subject to the Israeli corporate tax at the rate as follows: 2013– 25%, 2014 and 2015 -. 26.5%</w:t>
      </w:r>
    </w:p>
    <w:p>
      <w:pPr>
        <w:spacing w:after="0" w:line="248" w:lineRule="exact"/>
        <w:rPr>
          <w:rFonts w:ascii="Arial" w:cs="Arial" w:eastAsia="Arial" w:hAnsi="Arial"/>
          <w:sz w:val="18"/>
          <w:szCs w:val="18"/>
          <w:color w:val="auto"/>
        </w:rPr>
      </w:pPr>
    </w:p>
    <w:p>
      <w:pPr>
        <w:ind w:left="1540" w:right="280"/>
        <w:spacing w:after="0" w:line="264" w:lineRule="auto"/>
        <w:rPr>
          <w:rFonts w:ascii="Arial" w:cs="Arial" w:eastAsia="Arial" w:hAnsi="Arial"/>
          <w:sz w:val="18"/>
          <w:szCs w:val="18"/>
          <w:color w:val="auto"/>
        </w:rPr>
      </w:pPr>
      <w:r>
        <w:rPr>
          <w:rFonts w:ascii="Arial" w:cs="Arial" w:eastAsia="Arial" w:hAnsi="Arial"/>
          <w:sz w:val="18"/>
          <w:szCs w:val="18"/>
          <w:color w:val="auto"/>
        </w:rPr>
        <w:t>On January 4, 2016, the Israeli Parliament's Plenum approved by a second and third reading the Bill for Amending the Income Tax Ordinance (No. 217) (Reduction of Corporate Tax Rate) which consists of the reduction of the corporate tax rate from 26.5% to 25%, effective January 1, 2016.</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“Law”):</w:t>
      </w:r>
    </w:p>
    <w:p>
      <w:pPr>
        <w:spacing w:after="0" w:line="225" w:lineRule="exact"/>
        <w:rPr>
          <w:rFonts w:ascii="Arial" w:cs="Arial" w:eastAsia="Arial" w:hAnsi="Arial"/>
          <w:sz w:val="18"/>
          <w:szCs w:val="18"/>
          <w:color w:val="auto"/>
        </w:rPr>
      </w:pPr>
    </w:p>
    <w:p>
      <w:pPr>
        <w:ind w:left="1540" w:right="100"/>
        <w:spacing w:after="0" w:line="264" w:lineRule="auto"/>
        <w:rPr>
          <w:rFonts w:ascii="Arial" w:cs="Arial" w:eastAsia="Arial" w:hAnsi="Arial"/>
          <w:sz w:val="18"/>
          <w:szCs w:val="18"/>
          <w:color w:val="auto"/>
        </w:rPr>
      </w:pPr>
      <w:r>
        <w:rPr>
          <w:rFonts w:ascii="Arial" w:cs="Arial" w:eastAsia="Arial" w:hAnsi="Arial"/>
          <w:sz w:val="18"/>
          <w:szCs w:val="18"/>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81" w:lineRule="exact"/>
        <w:rPr>
          <w:rFonts w:ascii="Arial" w:cs="Arial" w:eastAsia="Arial" w:hAnsi="Arial"/>
          <w:sz w:val="18"/>
          <w:szCs w:val="18"/>
          <w:color w:val="auto"/>
        </w:rPr>
      </w:pPr>
    </w:p>
    <w:p>
      <w:pPr>
        <w:ind w:left="1540" w:right="140"/>
        <w:spacing w:after="0" w:line="277" w:lineRule="auto"/>
        <w:rPr>
          <w:rFonts w:ascii="Arial" w:cs="Arial" w:eastAsia="Arial" w:hAnsi="Arial"/>
          <w:sz w:val="18"/>
          <w:szCs w:val="18"/>
          <w:color w:val="auto"/>
        </w:rPr>
      </w:pPr>
      <w:r>
        <w:rPr>
          <w:rFonts w:ascii="Arial" w:cs="Arial" w:eastAsia="Arial" w:hAnsi="Arial"/>
          <w:sz w:val="18"/>
          <w:szCs w:val="18"/>
          <w:color w:val="auto"/>
        </w:rPr>
        <w:t>The duration of tax benefits is subject to a limitation of the earlier of 12 years from commencement of production, or 14 years from the approval date. The Israeli Companies began to utilize such tax benefits in 2010.</w:t>
      </w:r>
    </w:p>
    <w:p>
      <w:pPr>
        <w:spacing w:after="0" w:line="170" w:lineRule="exact"/>
        <w:rPr>
          <w:rFonts w:ascii="Arial" w:cs="Arial" w:eastAsia="Arial" w:hAnsi="Arial"/>
          <w:sz w:val="18"/>
          <w:szCs w:val="18"/>
          <w:color w:val="auto"/>
        </w:rPr>
      </w:pPr>
    </w:p>
    <w:p>
      <w:pPr>
        <w:jc w:val="both"/>
        <w:ind w:left="1540" w:right="40"/>
        <w:spacing w:after="0" w:line="259" w:lineRule="auto"/>
        <w:rPr>
          <w:rFonts w:ascii="Arial" w:cs="Arial" w:eastAsia="Arial" w:hAnsi="Arial"/>
          <w:sz w:val="18"/>
          <w:szCs w:val="18"/>
          <w:color w:val="auto"/>
        </w:rPr>
      </w:pPr>
      <w:r>
        <w:rPr>
          <w:rFonts w:ascii="Arial" w:cs="Arial" w:eastAsia="Arial" w:hAnsi="Arial"/>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adjustments and including interest.</w:t>
      </w:r>
    </w:p>
    <w:p>
      <w:pPr>
        <w:spacing w:after="0" w:line="18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Income from sources other than the “Beneficiary Enterprise” are subject to the tax at the regular rate.</w:t>
      </w:r>
    </w:p>
    <w:p>
      <w:pPr>
        <w:spacing w:after="0" w:line="225" w:lineRule="exact"/>
        <w:rPr>
          <w:rFonts w:ascii="Arial" w:cs="Arial" w:eastAsia="Arial" w:hAnsi="Arial"/>
          <w:sz w:val="18"/>
          <w:szCs w:val="18"/>
          <w:color w:val="auto"/>
        </w:rPr>
      </w:pPr>
    </w:p>
    <w:p>
      <w:pPr>
        <w:ind w:left="1540" w:right="400"/>
        <w:spacing w:after="0" w:line="277" w:lineRule="auto"/>
        <w:rPr>
          <w:rFonts w:ascii="Arial" w:cs="Arial" w:eastAsia="Arial" w:hAnsi="Arial"/>
          <w:sz w:val="18"/>
          <w:szCs w:val="18"/>
          <w:color w:val="auto"/>
        </w:rPr>
      </w:pPr>
      <w:r>
        <w:rPr>
          <w:rFonts w:ascii="Arial" w:cs="Arial" w:eastAsia="Arial" w:hAnsi="Arial"/>
          <w:sz w:val="18"/>
          <w:szCs w:val="18"/>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70" w:lineRule="exact"/>
        <w:rPr>
          <w:rFonts w:ascii="Arial" w:cs="Arial" w:eastAsia="Arial" w:hAnsi="Arial"/>
          <w:sz w:val="18"/>
          <w:szCs w:val="18"/>
          <w:color w:val="auto"/>
        </w:rPr>
      </w:pPr>
    </w:p>
    <w:p>
      <w:pPr>
        <w:ind w:left="1540" w:right="560"/>
        <w:spacing w:after="0" w:line="277" w:lineRule="auto"/>
        <w:rPr>
          <w:rFonts w:ascii="Arial" w:cs="Arial" w:eastAsia="Arial" w:hAnsi="Arial"/>
          <w:sz w:val="18"/>
          <w:szCs w:val="18"/>
          <w:color w:val="auto"/>
        </w:rPr>
      </w:pPr>
      <w:r>
        <w:rPr>
          <w:rFonts w:ascii="Arial" w:cs="Arial" w:eastAsia="Arial" w:hAnsi="Arial"/>
          <w:sz w:val="18"/>
          <w:szCs w:val="18"/>
          <w:color w:val="auto"/>
        </w:rPr>
        <w:t>In addition tax-exempt income attributed to the Beneficiary Enterprise will subject the Company to taxes upon distribution in any manner including complete liquidation.</w:t>
      </w:r>
    </w:p>
    <w:p>
      <w:pPr>
        <w:spacing w:after="0" w:line="170" w:lineRule="exact"/>
        <w:rPr>
          <w:rFonts w:ascii="Arial" w:cs="Arial" w:eastAsia="Arial" w:hAnsi="Arial"/>
          <w:sz w:val="18"/>
          <w:szCs w:val="18"/>
          <w:color w:val="auto"/>
        </w:rPr>
      </w:pPr>
    </w:p>
    <w:p>
      <w:pPr>
        <w:ind w:left="1540" w:right="40"/>
        <w:spacing w:after="0" w:line="259" w:lineRule="auto"/>
        <w:rPr>
          <w:rFonts w:ascii="Arial" w:cs="Arial" w:eastAsia="Arial" w:hAnsi="Arial"/>
          <w:sz w:val="18"/>
          <w:szCs w:val="18"/>
          <w:color w:val="auto"/>
        </w:rPr>
      </w:pPr>
      <w:r>
        <w:rPr>
          <w:rFonts w:ascii="Arial" w:cs="Arial" w:eastAsia="Arial" w:hAnsi="Arial"/>
          <w:sz w:val="18"/>
          <w:szCs w:val="18"/>
          <w:color w:val="auto"/>
        </w:rPr>
        <w:t>The Company does not intend to distribute any amounts of its undistributed tax-exempt income as dividend. The Company and its board of directors intend to reinvest its tax-exempt income and not to distribute such income as a dividend. Accordingly, no deferred income taxes have been provided on income attributable to the Company’s Beneficiary Enterprise programs as the undistributed tax exempt income is essentially permanent by reinvestment.</w:t>
      </w:r>
    </w:p>
    <w:p>
      <w:pPr>
        <w:spacing w:after="0" w:line="186" w:lineRule="exact"/>
        <w:rPr>
          <w:rFonts w:ascii="Arial" w:cs="Arial" w:eastAsia="Arial" w:hAnsi="Arial"/>
          <w:sz w:val="18"/>
          <w:szCs w:val="18"/>
          <w:color w:val="auto"/>
        </w:rPr>
      </w:pPr>
    </w:p>
    <w:p>
      <w:pPr>
        <w:ind w:left="1540" w:right="400"/>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2015, tax-exempt income of $36,704 is attributable to the Company’s and its subsidiary’s various Beneficiary Enterprise programs. If such tax exempt income is distributed, it would be taxed at the reduced corporate tax rate applicable to such income, and $9,176 would be incurred as of December 31, 2015.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TAXES ON INCOME (Cont.)</w:t>
      </w:r>
    </w:p>
    <w:p>
      <w:pPr>
        <w:spacing w:after="0" w:line="229" w:lineRule="exact"/>
        <w:rPr>
          <w:sz w:val="20"/>
          <w:szCs w:val="20"/>
          <w:color w:val="auto"/>
        </w:rPr>
      </w:pPr>
    </w:p>
    <w:p>
      <w:pPr>
        <w:ind w:left="1540" w:right="80"/>
        <w:spacing w:after="0" w:line="312" w:lineRule="auto"/>
        <w:rPr>
          <w:sz w:val="20"/>
          <w:szCs w:val="20"/>
          <w:color w:val="auto"/>
        </w:rPr>
      </w:pPr>
      <w:r>
        <w:rPr>
          <w:rFonts w:ascii="Arial" w:cs="Arial" w:eastAsia="Arial" w:hAnsi="Arial"/>
          <w:sz w:val="16"/>
          <w:szCs w:val="16"/>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147" w:lineRule="exact"/>
        <w:rPr>
          <w:sz w:val="20"/>
          <w:szCs w:val="20"/>
          <w:color w:val="auto"/>
        </w:rPr>
      </w:pPr>
    </w:p>
    <w:p>
      <w:pPr>
        <w:ind w:left="1540" w:right="120"/>
        <w:spacing w:after="0" w:line="255" w:lineRule="auto"/>
        <w:rPr>
          <w:sz w:val="20"/>
          <w:szCs w:val="20"/>
          <w:color w:val="auto"/>
        </w:rPr>
      </w:pPr>
      <w:r>
        <w:rPr>
          <w:rFonts w:ascii="Arial" w:cs="Arial" w:eastAsia="Arial" w:hAnsi="Arial"/>
          <w:sz w:val="18"/>
          <w:szCs w:val="18"/>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 (a) was registered under the Partnerships Ordinance; (b) all of its limited partners are companies incorporated in Israel, but not all of them are governmental entities, which, among other things, has</w:t>
      </w:r>
    </w:p>
    <w:p>
      <w:pPr>
        <w:spacing w:after="0" w:line="193" w:lineRule="exact"/>
        <w:rPr>
          <w:sz w:val="20"/>
          <w:szCs w:val="20"/>
          <w:color w:val="auto"/>
        </w:rPr>
      </w:pPr>
    </w:p>
    <w:p>
      <w:pPr>
        <w:ind w:left="1540" w:right="20"/>
        <w:spacing w:after="0" w:line="255" w:lineRule="auto"/>
        <w:rPr>
          <w:sz w:val="20"/>
          <w:szCs w:val="20"/>
          <w:color w:val="auto"/>
        </w:rPr>
      </w:pPr>
      <w:r>
        <w:rPr>
          <w:rFonts w:ascii="Arial" w:cs="Arial" w:eastAsia="Arial" w:hAnsi="Arial"/>
          <w:sz w:val="18"/>
          <w:szCs w:val="18"/>
          <w:color w:val="auto"/>
        </w:rPr>
        <w:t>Preferred Enterprise status and are controlled and managed from Israel. Pursuant to the 2011 Amendment, a Preferred Company is entitled to a reduced corporate flat tax rate of 15% with respect to its preferred income derived by its Preferred Enterprise in 2011-2012, unless the Preferred Enterprise is located in a certain development zone, in which case the rate will be 10%. Such corporate tax rate were reduced to 12.5% and 7%, respectively, in 2013 and increased to 16% and 9% in 2014 and thereafter.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89" w:lineRule="exact"/>
        <w:rPr>
          <w:sz w:val="20"/>
          <w:szCs w:val="20"/>
          <w:color w:val="auto"/>
        </w:rPr>
      </w:pPr>
    </w:p>
    <w:p>
      <w:pPr>
        <w:jc w:val="both"/>
        <w:ind w:left="1540" w:right="280"/>
        <w:spacing w:after="0" w:line="264"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the rate of 15% (20% from 2014) or such lower rate as may be provided in an applicable tax treaty. However, if such dividends are paid to an Israeli company, no tax will be withheld.</w:t>
      </w:r>
    </w:p>
    <w:p>
      <w:pPr>
        <w:spacing w:after="0" w:line="181" w:lineRule="exact"/>
        <w:rPr>
          <w:sz w:val="20"/>
          <w:szCs w:val="20"/>
          <w:color w:val="auto"/>
        </w:rPr>
      </w:pPr>
    </w:p>
    <w:p>
      <w:pPr>
        <w:ind w:left="1540"/>
        <w:spacing w:after="0" w:line="273" w:lineRule="auto"/>
        <w:rPr>
          <w:sz w:val="20"/>
          <w:szCs w:val="20"/>
          <w:color w:val="auto"/>
        </w:rPr>
      </w:pPr>
      <w:r>
        <w:rPr>
          <w:rFonts w:ascii="Arial" w:cs="Arial" w:eastAsia="Arial" w:hAnsi="Arial"/>
          <w:sz w:val="17"/>
          <w:szCs w:val="17"/>
          <w:color w:val="auto"/>
        </w:rPr>
        <w:t>The 2011 Amendment also provided transitional provisions to address companies already enjoying current benefits. a Beneficiary Enterprise can elect to continue to benefit from the benefits provided to it before the 2011 Amendment came into effect, provided that certain conditions are met, or file a request with the Israeli Tax Authority according to which its income derived as of January 1, 2011 will be subject to the provisions of the Law as amended in 2011. The Company has examined the possible effect, of these provisions of the 2011 Amendment on its financial statements and has decided, not to opt to apply the new benefits under the 2011 Amendment for the Israeli parent company and for its Israeli subsidiary it elected to apply the benefit under the 2011 Amendment.</w:t>
      </w:r>
    </w:p>
    <w:p>
      <w:pPr>
        <w:spacing w:after="0" w:line="39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Tax benefits under the Israeli Law for the Encouragement of Industry (Taxation), 1969:</w:t>
      </w:r>
    </w:p>
    <w:p>
      <w:pPr>
        <w:spacing w:after="0" w:line="225" w:lineRule="exact"/>
        <w:rPr>
          <w:sz w:val="20"/>
          <w:szCs w:val="20"/>
          <w:color w:val="auto"/>
        </w:rPr>
      </w:pPr>
    </w:p>
    <w:p>
      <w:pPr>
        <w:jc w:val="both"/>
        <w:ind w:left="1540" w:right="160"/>
        <w:spacing w:after="0" w:line="264" w:lineRule="auto"/>
        <w:rPr>
          <w:sz w:val="20"/>
          <w:szCs w:val="20"/>
          <w:color w:val="auto"/>
        </w:rPr>
      </w:pPr>
      <w:r>
        <w:rPr>
          <w:rFonts w:ascii="Arial" w:cs="Arial" w:eastAsia="Arial" w:hAnsi="Arial"/>
          <w:sz w:val="18"/>
          <w:szCs w:val="18"/>
          <w:color w:val="auto"/>
        </w:rPr>
        <w:t>The Israeli companies are an “Industrial Company” as defined by the Israeli Law for the Encouragement of Industry (Taxation), 1969, and, as such, are entitled to certain tax benefits including accelerated depreciation, deduction of public offering expenses in three equal annual installments and amortization of other intangible property rights for tax purposes.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7" w:name="page138"/>
    <w:bookmarkEnd w:id="137"/>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TAXES ON INCOME (Cont.)</w:t>
      </w:r>
    </w:p>
    <w:p>
      <w:pPr>
        <w:spacing w:after="0" w:line="229" w:lineRule="exact"/>
        <w:rPr>
          <w:sz w:val="20"/>
          <w:szCs w:val="20"/>
          <w:color w:val="auto"/>
        </w:rPr>
      </w:pPr>
    </w:p>
    <w:p>
      <w:pPr>
        <w:ind w:left="1520" w:hanging="49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Income taxes of non-Israeli subsidiaries: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Non-Israeli subsidiaries are taxed according to the tax laws in their respective countries of residence.</w:t>
      </w:r>
    </w:p>
    <w:p>
      <w:pPr>
        <w:spacing w:after="0" w:line="225" w:lineRule="exact"/>
        <w:rPr>
          <w:rFonts w:ascii="Arial" w:cs="Arial" w:eastAsia="Arial" w:hAnsi="Arial"/>
          <w:sz w:val="18"/>
          <w:szCs w:val="18"/>
          <w:color w:val="auto"/>
        </w:rPr>
      </w:pPr>
    </w:p>
    <w:p>
      <w:pPr>
        <w:ind w:left="1540" w:right="120"/>
        <w:spacing w:after="0" w:line="276" w:lineRule="auto"/>
        <w:rPr>
          <w:rFonts w:ascii="Arial" w:cs="Arial" w:eastAsia="Arial" w:hAnsi="Arial"/>
          <w:sz w:val="18"/>
          <w:szCs w:val="18"/>
          <w:color w:val="auto"/>
        </w:rPr>
      </w:pPr>
      <w:r>
        <w:rPr>
          <w:rFonts w:ascii="Arial" w:cs="Arial" w:eastAsia="Arial" w:hAnsi="Arial"/>
          <w:sz w:val="17"/>
          <w:szCs w:val="17"/>
          <w:color w:val="auto"/>
        </w:rPr>
        <w:t>Taxes were not provided for undistributed earnings of the Company’s foreign subsidiaries. The Company’s board of directors has determined that the Company does not currently intend to distribute any amounts 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72"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The amount of undistributed earnings of foreign subsidiaries that are considered to be reinvested as of December 31, 2015 was $3,052.</w:t>
      </w:r>
    </w:p>
    <w:p>
      <w:pPr>
        <w:spacing w:after="0" w:line="248" w:lineRule="exact"/>
        <w:rPr>
          <w:rFonts w:ascii="Arial" w:cs="Arial" w:eastAsia="Arial" w:hAnsi="Arial"/>
          <w:sz w:val="18"/>
          <w:szCs w:val="18"/>
          <w:color w:val="auto"/>
        </w:rPr>
      </w:pPr>
    </w:p>
    <w:p>
      <w:pPr>
        <w:ind w:left="1520" w:hanging="49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Final tax assessments:</w:t>
      </w:r>
    </w:p>
    <w:p>
      <w:pPr>
        <w:spacing w:after="0" w:line="225" w:lineRule="exact"/>
        <w:rPr>
          <w:rFonts w:ascii="Arial" w:cs="Arial" w:eastAsia="Arial" w:hAnsi="Arial"/>
          <w:sz w:val="18"/>
          <w:szCs w:val="18"/>
          <w:color w:val="auto"/>
        </w:rPr>
      </w:pPr>
    </w:p>
    <w:p>
      <w:pPr>
        <w:ind w:left="1540" w:right="220"/>
        <w:spacing w:after="0" w:line="342" w:lineRule="auto"/>
        <w:rPr>
          <w:rFonts w:ascii="Arial" w:cs="Arial" w:eastAsia="Arial" w:hAnsi="Arial"/>
          <w:sz w:val="18"/>
          <w:szCs w:val="18"/>
          <w:color w:val="auto"/>
        </w:rPr>
      </w:pPr>
      <w:r>
        <w:rPr>
          <w:rFonts w:ascii="Arial" w:cs="Arial" w:eastAsia="Arial" w:hAnsi="Arial"/>
          <w:sz w:val="16"/>
          <w:szCs w:val="16"/>
          <w:color w:val="auto"/>
        </w:rPr>
        <w:t>The Company and its Israeli subsidiary received final tax assessments through 2010. The U.S subsidiary received final tax assessment through 2010 and the German and the Hong Kong Subsidiaries have not received a final tax assessment since inception.</w:t>
      </w:r>
    </w:p>
    <w:p>
      <w:pPr>
        <w:spacing w:after="0" w:line="123" w:lineRule="exact"/>
        <w:rPr>
          <w:rFonts w:ascii="Arial" w:cs="Arial" w:eastAsia="Arial" w:hAnsi="Arial"/>
          <w:sz w:val="18"/>
          <w:szCs w:val="18"/>
          <w:color w:val="auto"/>
        </w:rPr>
      </w:pPr>
    </w:p>
    <w:p>
      <w:pPr>
        <w:ind w:left="1520" w:hanging="49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Carryforward losses for tax purposes:</w:t>
      </w:r>
    </w:p>
    <w:p>
      <w:pPr>
        <w:spacing w:after="0" w:line="225" w:lineRule="exact"/>
        <w:rPr>
          <w:rFonts w:ascii="Arial" w:cs="Arial" w:eastAsia="Arial" w:hAnsi="Arial"/>
          <w:sz w:val="18"/>
          <w:szCs w:val="18"/>
          <w:color w:val="auto"/>
        </w:rPr>
      </w:pPr>
    </w:p>
    <w:p>
      <w:pPr>
        <w:ind w:left="1540" w:right="20"/>
        <w:spacing w:after="0" w:line="277" w:lineRule="auto"/>
        <w:rPr>
          <w:rFonts w:ascii="Arial" w:cs="Arial" w:eastAsia="Arial" w:hAnsi="Arial"/>
          <w:sz w:val="18"/>
          <w:szCs w:val="18"/>
          <w:color w:val="auto"/>
        </w:rPr>
      </w:pPr>
      <w:r>
        <w:rPr>
          <w:rFonts w:ascii="Arial" w:cs="Arial" w:eastAsia="Arial" w:hAnsi="Arial"/>
          <w:sz w:val="18"/>
          <w:szCs w:val="18"/>
          <w:color w:val="auto"/>
        </w:rPr>
        <w:t>Carryforward operating tax losses of the Company’s Israeli subsidiary total approximately $16,481 as of December 31, 2015 and may be used indefinitely.</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ind w:left="1540" w:right="46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8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Carryforward tax losses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1,536</w:t>
            </w:r>
          </w:p>
        </w:tc>
      </w:tr>
      <w:tr>
        <w:trPr>
          <w:trHeight w:val="237"/>
        </w:trPr>
        <w:tc>
          <w:tcPr>
            <w:tcW w:w="8820" w:type="dxa"/>
            <w:vAlign w:val="bottom"/>
          </w:tcPr>
          <w:p>
            <w:pPr>
              <w:ind w:left="1540"/>
              <w:spacing w:after="0"/>
              <w:rPr>
                <w:sz w:val="20"/>
                <w:szCs w:val="20"/>
                <w:color w:val="auto"/>
              </w:rPr>
            </w:pPr>
            <w:r>
              <w:rPr>
                <w:rFonts w:ascii="Arial" w:cs="Arial" w:eastAsia="Arial" w:hAnsi="Arial"/>
                <w:sz w:val="18"/>
                <w:szCs w:val="18"/>
                <w:color w:val="auto"/>
              </w:rPr>
              <w:t>Temporary differences</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2,086</w:t>
            </w:r>
          </w:p>
        </w:tc>
      </w:tr>
      <w:tr>
        <w:trPr>
          <w:trHeight w:val="216"/>
        </w:trPr>
        <w:tc>
          <w:tcPr>
            <w:tcW w:w="8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20" w:type="dxa"/>
            <w:vAlign w:val="bottom"/>
          </w:tcPr>
          <w:p>
            <w:pPr>
              <w:ind w:left="1540"/>
              <w:spacing w:after="0"/>
              <w:rPr>
                <w:sz w:val="20"/>
                <w:szCs w:val="20"/>
                <w:color w:val="auto"/>
              </w:rPr>
            </w:pPr>
            <w:r>
              <w:rPr>
                <w:rFonts w:ascii="Arial" w:cs="Arial" w:eastAsia="Arial" w:hAnsi="Arial"/>
                <w:sz w:val="18"/>
                <w:szCs w:val="18"/>
                <w:color w:val="auto"/>
              </w:rPr>
              <w:t>Deferred tax assets before valuation allowance</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3,622</w:t>
            </w:r>
          </w:p>
        </w:tc>
      </w:tr>
      <w:tr>
        <w:trPr>
          <w:trHeight w:val="237"/>
        </w:trPr>
        <w:tc>
          <w:tcPr>
            <w:tcW w:w="8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Net deferred tax asset</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Deferred tax liability</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8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Net deferred tax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21"/>
        </w:trPr>
        <w:tc>
          <w:tcPr>
            <w:tcW w:w="8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-2143125</wp:posOffset>
            </wp:positionV>
            <wp:extent cx="969010" cy="21183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69010" cy="2118360"/>
                    </a:xfrm>
                    <a:prstGeom prst="rect">
                      <a:avLst/>
                    </a:prstGeom>
                    <a:noFill/>
                  </pic:spPr>
                </pic:pic>
              </a:graphicData>
            </a:graphic>
          </wp:anchor>
        </w:drawing>
      </w:r>
    </w:p>
    <w:p>
      <w:pPr>
        <w:spacing w:after="0" w:line="182" w:lineRule="exact"/>
        <w:rPr>
          <w:sz w:val="20"/>
          <w:szCs w:val="20"/>
          <w:color w:val="auto"/>
        </w:rPr>
      </w:pPr>
    </w:p>
    <w:p>
      <w:pPr>
        <w:ind w:left="1540" w:right="420"/>
        <w:spacing w:after="0" w:line="277" w:lineRule="auto"/>
        <w:rPr>
          <w:sz w:val="20"/>
          <w:szCs w:val="20"/>
          <w:color w:val="auto"/>
        </w:rPr>
      </w:pPr>
      <w:r>
        <w:rPr>
          <w:rFonts w:ascii="Arial" w:cs="Arial" w:eastAsia="Arial" w:hAnsi="Arial"/>
          <w:sz w:val="18"/>
          <w:szCs w:val="18"/>
          <w:color w:val="auto"/>
        </w:rPr>
        <w:t>The net change in the valuation allowance primarily reflects an increase in deferred tax assets on net operating and other temporary differences for which full valuation allowance is recorded.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8" w:name="page139"/>
    <w:bookmarkEnd w:id="138"/>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TAXES ON INCOME (Cont.)</w:t>
      </w:r>
    </w:p>
    <w:p>
      <w:pPr>
        <w:spacing w:after="0" w:line="229" w:lineRule="exact"/>
        <w:rPr>
          <w:sz w:val="20"/>
          <w:szCs w:val="20"/>
          <w:color w:val="auto"/>
        </w:rPr>
      </w:pPr>
    </w:p>
    <w:p>
      <w:pPr>
        <w:ind w:left="1520" w:hanging="499"/>
        <w:spacing w:after="0"/>
        <w:tabs>
          <w:tab w:leader="none" w:pos="15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Taxes on income are comprised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5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Current taxes</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r>
      <w:tr>
        <w:trPr>
          <w:trHeight w:val="237"/>
        </w:trPr>
        <w:tc>
          <w:tcPr>
            <w:tcW w:w="5120" w:type="dxa"/>
            <w:vAlign w:val="bottom"/>
          </w:tcPr>
          <w:p>
            <w:pPr>
              <w:ind w:left="1540"/>
              <w:spacing w:after="0"/>
              <w:rPr>
                <w:sz w:val="20"/>
                <w:szCs w:val="20"/>
                <w:color w:val="auto"/>
              </w:rPr>
            </w:pPr>
            <w:r>
              <w:rPr>
                <w:rFonts w:ascii="Arial" w:cs="Arial" w:eastAsia="Arial" w:hAnsi="Arial"/>
                <w:sz w:val="18"/>
                <w:szCs w:val="18"/>
                <w:color w:val="auto"/>
              </w:rPr>
              <w:t>Deferred taxes</w:t>
            </w: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5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120" w:type="dxa"/>
            <w:vAlign w:val="bottom"/>
          </w:tcPr>
          <w:p>
            <w:pPr>
              <w:spacing w:after="0"/>
              <w:rPr>
                <w:sz w:val="24"/>
                <w:szCs w:val="24"/>
                <w:color w:val="auto"/>
              </w:rPr>
            </w:pPr>
          </w:p>
        </w:tc>
        <w:tc>
          <w:tcPr>
            <w:tcW w:w="2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4"/>
                <w:szCs w:val="24"/>
                <w:color w:val="auto"/>
              </w:rPr>
            </w:pPr>
          </w:p>
        </w:tc>
      </w:tr>
      <w:tr>
        <w:trPr>
          <w:trHeight w:val="216"/>
        </w:trPr>
        <w:tc>
          <w:tcPr>
            <w:tcW w:w="5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ind w:left="1540"/>
              <w:spacing w:after="0"/>
              <w:rPr>
                <w:sz w:val="20"/>
                <w:szCs w:val="20"/>
                <w:color w:val="auto"/>
              </w:rPr>
            </w:pPr>
            <w:r>
              <w:rPr>
                <w:rFonts w:ascii="Arial" w:cs="Arial" w:eastAsia="Arial" w:hAnsi="Arial"/>
                <w:sz w:val="18"/>
                <w:szCs w:val="18"/>
                <w:color w:val="auto"/>
              </w:rPr>
              <w:t>Domestic</w:t>
            </w:r>
          </w:p>
        </w:tc>
        <w:tc>
          <w:tcPr>
            <w:tcW w:w="2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37"/>
        </w:trPr>
        <w:tc>
          <w:tcPr>
            <w:tcW w:w="51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Foreign</w:t>
            </w:r>
          </w:p>
        </w:tc>
        <w:tc>
          <w:tcPr>
            <w:tcW w:w="2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20"/>
                <w:szCs w:val="20"/>
                <w:color w:val="auto"/>
              </w:rPr>
            </w:pPr>
          </w:p>
        </w:tc>
      </w:tr>
      <w:tr>
        <w:trPr>
          <w:trHeight w:val="216"/>
        </w:trPr>
        <w:tc>
          <w:tcPr>
            <w:tcW w:w="512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120" w:type="dxa"/>
            <w:vAlign w:val="bottom"/>
            <w:shd w:val="clear" w:color="auto" w:fill="CCEEFF"/>
          </w:tcPr>
          <w:p>
            <w:pPr>
              <w:spacing w:after="0"/>
              <w:rPr>
                <w:sz w:val="22"/>
                <w:szCs w:val="22"/>
                <w:color w:val="auto"/>
              </w:rPr>
            </w:pP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22"/>
                <w:szCs w:val="22"/>
                <w:color w:val="auto"/>
              </w:rPr>
            </w:pPr>
          </w:p>
        </w:tc>
      </w:tr>
      <w:tr>
        <w:trPr>
          <w:trHeight w:val="21"/>
        </w:trPr>
        <w:tc>
          <w:tcPr>
            <w:tcW w:w="51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4"/>
        </w:trPr>
        <w:tc>
          <w:tcPr>
            <w:tcW w:w="5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5120" w:type="dxa"/>
            <w:vAlign w:val="bottom"/>
          </w:tcPr>
          <w:p>
            <w:pPr>
              <w:ind w:left="1540"/>
              <w:spacing w:after="0"/>
              <w:rPr>
                <w:sz w:val="20"/>
                <w:szCs w:val="20"/>
                <w:color w:val="auto"/>
              </w:rPr>
            </w:pPr>
            <w:r>
              <w:rPr>
                <w:rFonts w:ascii="Arial" w:cs="Arial" w:eastAsia="Arial" w:hAnsi="Arial"/>
                <w:sz w:val="18"/>
                <w:szCs w:val="18"/>
                <w:color w:val="auto"/>
              </w:rPr>
              <w:t>Domestic taxes: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6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Current taxes</w:t>
            </w:r>
          </w:p>
        </w:tc>
        <w:tc>
          <w:tcPr>
            <w:tcW w:w="2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512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1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Foreign taxes:</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Current taxes</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r>
      <w:tr>
        <w:trPr>
          <w:trHeight w:val="237"/>
        </w:trPr>
        <w:tc>
          <w:tcPr>
            <w:tcW w:w="5120" w:type="dxa"/>
            <w:vAlign w:val="bottom"/>
          </w:tcPr>
          <w:p>
            <w:pPr>
              <w:ind w:left="1540"/>
              <w:spacing w:after="0"/>
              <w:rPr>
                <w:sz w:val="20"/>
                <w:szCs w:val="20"/>
                <w:color w:val="auto"/>
              </w:rPr>
            </w:pPr>
            <w:r>
              <w:rPr>
                <w:rFonts w:ascii="Arial" w:cs="Arial" w:eastAsia="Arial" w:hAnsi="Arial"/>
                <w:sz w:val="18"/>
                <w:szCs w:val="18"/>
                <w:color w:val="auto"/>
              </w:rPr>
              <w:t>Deferred taxes</w:t>
            </w: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5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0"/>
                <w:szCs w:val="20"/>
                <w:color w:val="auto"/>
              </w:rPr>
            </w:pPr>
          </w:p>
        </w:tc>
      </w:tr>
      <w:tr>
        <w:trPr>
          <w:trHeight w:val="216"/>
        </w:trPr>
        <w:tc>
          <w:tcPr>
            <w:tcW w:w="5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5120" w:type="dxa"/>
            <w:vAlign w:val="bottom"/>
          </w:tcPr>
          <w:p>
            <w:pPr>
              <w:ind w:left="1540"/>
              <w:spacing w:after="0"/>
              <w:rPr>
                <w:sz w:val="20"/>
                <w:szCs w:val="20"/>
                <w:color w:val="auto"/>
              </w:rPr>
            </w:pPr>
            <w:r>
              <w:rPr>
                <w:rFonts w:ascii="Arial" w:cs="Arial" w:eastAsia="Arial" w:hAnsi="Arial"/>
                <w:sz w:val="18"/>
                <w:szCs w:val="18"/>
                <w:color w:val="auto"/>
              </w:rPr>
              <w:t>Taxes on income</w:t>
            </w:r>
          </w:p>
        </w:tc>
        <w:tc>
          <w:tcPr>
            <w:tcW w:w="2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2"/>
                <w:szCs w:val="22"/>
                <w:color w:val="auto"/>
              </w:rPr>
            </w:pPr>
          </w:p>
        </w:tc>
      </w:tr>
      <w:tr>
        <w:trPr>
          <w:trHeight w:val="21"/>
        </w:trPr>
        <w:tc>
          <w:tcPr>
            <w:tcW w:w="5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-4398645</wp:posOffset>
            </wp:positionV>
            <wp:extent cx="969010" cy="4373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69010" cy="437388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TAXES ON INCOME (Cont.)</w:t>
      </w:r>
    </w:p>
    <w:p>
      <w:pPr>
        <w:spacing w:after="0" w:line="229" w:lineRule="exact"/>
        <w:rPr>
          <w:sz w:val="20"/>
          <w:szCs w:val="20"/>
          <w:color w:val="auto"/>
        </w:rPr>
      </w:pPr>
    </w:p>
    <w:p>
      <w:pPr>
        <w:ind w:left="1520" w:hanging="499"/>
        <w:spacing w:after="0"/>
        <w:tabs>
          <w:tab w:leader="none" w:pos="15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 reconciliation of the beginning and ending amount of gross unrecognized tax benefits is as follows: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-713740</wp:posOffset>
            </wp:positionV>
            <wp:extent cx="7246620" cy="13462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346200"/>
                    </a:xfrm>
                    <a:prstGeom prst="rect">
                      <a:avLst/>
                    </a:prstGeom>
                    <a:noFill/>
                  </pic:spPr>
                </pic:pic>
              </a:graphicData>
            </a:graphic>
          </wp:anchor>
        </w:drawing>
      </w:r>
    </w:p>
    <w:p>
      <w:pPr>
        <w:spacing w:after="0" w:line="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Decrease related to prior years’ positions</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Increase related to current year positions</w:t>
      </w:r>
    </w:p>
    <w:p>
      <w:pPr>
        <w:spacing w:after="0" w:line="27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Balance at December 31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1,187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p>
      <w:pPr>
        <w:spacing w:after="0" w:line="2" w:lineRule="exact"/>
        <w:rPr>
          <w:sz w:val="20"/>
          <w:szCs w:val="20"/>
          <w:color w:val="auto"/>
        </w:rPr>
      </w:pPr>
    </w:p>
    <w:p>
      <w:pPr>
        <w:ind w:left="1540" w:right="180"/>
        <w:spacing w:after="0" w:line="277" w:lineRule="auto"/>
        <w:rPr>
          <w:sz w:val="20"/>
          <w:szCs w:val="20"/>
          <w:color w:val="auto"/>
        </w:rPr>
      </w:pPr>
      <w:r>
        <w:rPr>
          <w:rFonts w:ascii="Arial" w:cs="Arial" w:eastAsia="Arial" w:hAnsi="Arial"/>
          <w:sz w:val="18"/>
          <w:szCs w:val="18"/>
          <w:color w:val="auto"/>
        </w:rPr>
        <w:t>As of December 31, 2015, the entire amount of the unrecognized tax benefits could affect the Company's income tax provision and the effective tax rate.</w:t>
      </w:r>
    </w:p>
    <w:p>
      <w:pPr>
        <w:spacing w:after="0" w:line="170" w:lineRule="exact"/>
        <w:rPr>
          <w:sz w:val="20"/>
          <w:szCs w:val="20"/>
          <w:color w:val="auto"/>
        </w:rPr>
      </w:pPr>
    </w:p>
    <w:p>
      <w:pPr>
        <w:ind w:left="1540" w:right="60"/>
        <w:spacing w:after="0" w:line="259" w:lineRule="auto"/>
        <w:rPr>
          <w:sz w:val="20"/>
          <w:szCs w:val="20"/>
          <w:color w:val="auto"/>
        </w:rPr>
      </w:pPr>
      <w:r>
        <w:rPr>
          <w:rFonts w:ascii="Arial" w:cs="Arial" w:eastAsia="Arial" w:hAnsi="Arial"/>
          <w:sz w:val="18"/>
          <w:szCs w:val="18"/>
          <w:color w:val="auto"/>
        </w:rPr>
        <w:t>During the years ended December 31, 2013, 2014 and 2015, an amount of $75 $(79) and $26, respectively, was added to the unrecognized tax benefits derived from interest and exchange rate differences expenses related to prior years' uncertain tax positions. As of December 31, 2014 and 2015, the Company had accrued interest related to uncertain tax positions in the amounts of $82 and $96 respectively, which is included within income tax accrual on the balance sheets.</w:t>
      </w:r>
    </w:p>
    <w:p>
      <w:pPr>
        <w:spacing w:after="0" w:line="18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Exchange rate differences are recorded within financial income, net, while interest is recorded within income tax expense.</w:t>
      </w:r>
    </w:p>
    <w:p>
      <w:pPr>
        <w:spacing w:after="0" w:line="225" w:lineRule="exact"/>
        <w:rPr>
          <w:sz w:val="20"/>
          <w:szCs w:val="20"/>
          <w:color w:val="auto"/>
        </w:rPr>
      </w:pPr>
    </w:p>
    <w:p>
      <w:pPr>
        <w:ind w:left="1540" w:right="140"/>
        <w:spacing w:after="0" w:line="259"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TAXES ON INCOME (Cont.)</w:t>
      </w:r>
    </w:p>
    <w:p>
      <w:pPr>
        <w:spacing w:after="0" w:line="229" w:lineRule="exact"/>
        <w:rPr>
          <w:sz w:val="20"/>
          <w:szCs w:val="20"/>
          <w:color w:val="auto"/>
        </w:rPr>
      </w:pPr>
    </w:p>
    <w:p>
      <w:pPr>
        <w:ind w:left="1520" w:right="260" w:hanging="499"/>
        <w:spacing w:after="0" w:line="277" w:lineRule="auto"/>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200" w:lineRule="exact"/>
        <w:rPr>
          <w:sz w:val="20"/>
          <w:szCs w:val="20"/>
          <w:color w:val="auto"/>
        </w:rPr>
      </w:pPr>
    </w:p>
    <w:p>
      <w:pPr>
        <w:spacing w:after="0" w:line="210"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64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pacing w:after="0" w:line="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1"/>
                <w:szCs w:val="21"/>
                <w:color w:val="auto"/>
              </w:rPr>
            </w:pPr>
          </w:p>
        </w:tc>
      </w:tr>
      <w:tr>
        <w:trPr>
          <w:trHeight w:val="250"/>
        </w:trPr>
        <w:tc>
          <w:tcPr>
            <w:tcW w:w="7280" w:type="dxa"/>
            <w:vAlign w:val="bottom"/>
            <w:shd w:val="clear" w:color="auto" w:fill="CCEEFF"/>
          </w:tcPr>
          <w:p>
            <w:pPr>
              <w:ind w:left="1540"/>
              <w:spacing w:after="0"/>
              <w:rPr>
                <w:sz w:val="20"/>
                <w:szCs w:val="20"/>
                <w:color w:val="auto"/>
              </w:rPr>
            </w:pPr>
            <w:r>
              <w:rPr>
                <w:rFonts w:ascii="Arial" w:cs="Arial" w:eastAsia="Arial" w:hAnsi="Arial"/>
                <w:sz w:val="18"/>
                <w:szCs w:val="18"/>
                <w:color w:val="auto"/>
                <w:w w:val="96"/>
              </w:rPr>
              <w:t>Income before taxes, as reported in the consolidated statements of income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5,434</w:t>
            </w:r>
          </w:p>
        </w:tc>
      </w:tr>
      <w:tr>
        <w:trPr>
          <w:trHeight w:val="21"/>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1540"/>
              <w:spacing w:after="0"/>
              <w:rPr>
                <w:sz w:val="20"/>
                <w:szCs w:val="20"/>
                <w:color w:val="auto"/>
              </w:rPr>
            </w:pPr>
            <w:r>
              <w:rPr>
                <w:rFonts w:ascii="Arial" w:cs="Arial" w:eastAsia="Arial" w:hAnsi="Arial"/>
                <w:sz w:val="18"/>
                <w:szCs w:val="18"/>
                <w:color w:val="auto"/>
                <w:w w:val="94"/>
              </w:rPr>
              <w:t>Theoretical tax expense on the above amount at the Israeli statutory tax rate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r>
      <w:tr>
        <w:trPr>
          <w:trHeight w:val="216"/>
        </w:trPr>
        <w:tc>
          <w:tcPr>
            <w:tcW w:w="7280" w:type="dxa"/>
            <w:vAlign w:val="bottom"/>
          </w:tcPr>
          <w:p>
            <w:pPr>
              <w:ind w:left="1540"/>
              <w:spacing w:after="0"/>
              <w:rPr>
                <w:sz w:val="20"/>
                <w:szCs w:val="20"/>
                <w:color w:val="auto"/>
              </w:rPr>
            </w:pPr>
            <w:r>
              <w:rPr>
                <w:rFonts w:ascii="Arial" w:cs="Arial" w:eastAsia="Arial" w:hAnsi="Arial"/>
                <w:sz w:val="18"/>
                <w:szCs w:val="18"/>
                <w:color w:val="auto"/>
              </w:rPr>
              <w:t>Tax adjustment in respect of different tax rate of foreign subsidiaries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72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Non-deductible expenses and other permanent differences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r>
      <w:tr>
        <w:trPr>
          <w:trHeight w:val="202"/>
        </w:trPr>
        <w:tc>
          <w:tcPr>
            <w:tcW w:w="7280" w:type="dxa"/>
            <w:vAlign w:val="bottom"/>
          </w:tcPr>
          <w:p>
            <w:pPr>
              <w:ind w:left="1540"/>
              <w:spacing w:after="0" w:line="201" w:lineRule="exact"/>
              <w:rPr>
                <w:sz w:val="20"/>
                <w:szCs w:val="20"/>
                <w:color w:val="auto"/>
              </w:rPr>
            </w:pPr>
            <w:r>
              <w:rPr>
                <w:rFonts w:ascii="Arial" w:cs="Arial" w:eastAsia="Arial" w:hAnsi="Arial"/>
                <w:sz w:val="18"/>
                <w:szCs w:val="18"/>
                <w:color w:val="auto"/>
                <w:w w:val="93"/>
              </w:rPr>
              <w:t>Deferred taxes on losses and other temporary differences for which valuation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280" w:type="dxa"/>
            <w:vAlign w:val="bottom"/>
          </w:tcPr>
          <w:p>
            <w:pPr>
              <w:ind w:left="1720"/>
              <w:spacing w:after="0"/>
              <w:rPr>
                <w:sz w:val="20"/>
                <w:szCs w:val="20"/>
                <w:color w:val="auto"/>
              </w:rPr>
            </w:pPr>
            <w:r>
              <w:rPr>
                <w:rFonts w:ascii="Arial" w:cs="Arial" w:eastAsia="Arial" w:hAnsi="Arial"/>
                <w:sz w:val="18"/>
                <w:szCs w:val="18"/>
                <w:color w:val="auto"/>
              </w:rPr>
              <w:t>allowance was provided, net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1,691</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72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Stock compensation relating to stock options per ASC No. 718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7280" w:type="dxa"/>
            <w:vAlign w:val="bottom"/>
          </w:tcPr>
          <w:p>
            <w:pPr>
              <w:ind w:left="1540"/>
              <w:spacing w:after="0"/>
              <w:rPr>
                <w:sz w:val="20"/>
                <w:szCs w:val="20"/>
                <w:color w:val="auto"/>
              </w:rPr>
            </w:pPr>
            <w:r>
              <w:rPr>
                <w:rFonts w:ascii="Arial" w:cs="Arial" w:eastAsia="Arial" w:hAnsi="Arial"/>
                <w:sz w:val="18"/>
                <w:szCs w:val="18"/>
                <w:color w:val="auto"/>
              </w:rPr>
              <w:t>Beneficiary enterprise benefits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(1,685)</w:t>
            </w:r>
          </w:p>
        </w:tc>
      </w:tr>
      <w:tr>
        <w:trPr>
          <w:trHeight w:val="216"/>
        </w:trPr>
        <w:tc>
          <w:tcPr>
            <w:tcW w:w="72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Foreign exchange differences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r>
      <w:tr>
        <w:trPr>
          <w:trHeight w:val="216"/>
        </w:trPr>
        <w:tc>
          <w:tcPr>
            <w:tcW w:w="7280" w:type="dxa"/>
            <w:vAlign w:val="bottom"/>
          </w:tcPr>
          <w:p>
            <w:pPr>
              <w:ind w:left="1540"/>
              <w:spacing w:after="0"/>
              <w:rPr>
                <w:sz w:val="20"/>
                <w:szCs w:val="20"/>
                <w:color w:val="auto"/>
              </w:rPr>
            </w:pPr>
            <w:r>
              <w:rPr>
                <w:rFonts w:ascii="Arial" w:cs="Arial" w:eastAsia="Arial" w:hAnsi="Arial"/>
                <w:sz w:val="18"/>
                <w:szCs w:val="18"/>
                <w:color w:val="auto"/>
              </w:rPr>
              <w:t>Increase (decrease) in other uncertain tax positions—net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r>
      <w:tr>
        <w:trPr>
          <w:trHeight w:val="237"/>
        </w:trPr>
        <w:tc>
          <w:tcPr>
            <w:tcW w:w="72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728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Actual tax expense</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r>
      <w:tr>
        <w:trPr>
          <w:trHeight w:val="21"/>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ind w:left="1720" w:right="1040" w:hanging="186"/>
        <w:spacing w:after="0" w:line="277" w:lineRule="auto"/>
        <w:tabs>
          <w:tab w:leader="none" w:pos="179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Basic earnings per share amounts of the benefit resulting from the "Beneficiary Enterprise" status</w:t>
      </w:r>
    </w:p>
    <w:p>
      <w:pPr>
        <w:spacing w:after="0" w:line="279" w:lineRule="exact"/>
        <w:rPr>
          <w:sz w:val="20"/>
          <w:szCs w:val="20"/>
          <w:color w:val="auto"/>
        </w:rPr>
      </w:pPr>
    </w:p>
    <w:p>
      <w:pPr>
        <w:ind w:left="1720" w:right="1160" w:hanging="179"/>
        <w:spacing w:after="0" w:line="277" w:lineRule="auto"/>
        <w:rPr>
          <w:sz w:val="20"/>
          <w:szCs w:val="20"/>
          <w:color w:val="auto"/>
        </w:rPr>
      </w:pPr>
      <w:r>
        <w:rPr>
          <w:rFonts w:ascii="Arial" w:cs="Arial" w:eastAsia="Arial" w:hAnsi="Arial"/>
          <w:sz w:val="18"/>
          <w:szCs w:val="18"/>
          <w:color w:val="auto"/>
        </w:rPr>
        <w:t>Diluted earnings per share amounts of the benefit resulting from the "Beneficiary Enterprise" status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tabs>
          <w:tab w:leader="none" w:pos="1320" w:val="left"/>
          <w:tab w:leader="none" w:pos="2680" w:val="left"/>
        </w:tabs>
        <w:rPr>
          <w:sz w:val="20"/>
          <w:szCs w:val="20"/>
          <w:color w:val="auto"/>
        </w:rPr>
      </w:pPr>
      <w:r>
        <w:rPr>
          <w:rFonts w:ascii="Arial" w:cs="Arial" w:eastAsia="Arial" w:hAnsi="Arial"/>
          <w:sz w:val="18"/>
          <w:szCs w:val="18"/>
          <w:color w:val="auto"/>
        </w:rPr>
        <w:t>0.13</w:t>
      </w:r>
      <w:r>
        <w:rPr>
          <w:sz w:val="20"/>
          <w:szCs w:val="20"/>
          <w:color w:val="auto"/>
        </w:rPr>
        <w:tab/>
      </w:r>
      <w:r>
        <w:rPr>
          <w:rFonts w:ascii="Arial" w:cs="Arial" w:eastAsia="Arial" w:hAnsi="Arial"/>
          <w:sz w:val="18"/>
          <w:szCs w:val="18"/>
          <w:color w:val="auto"/>
        </w:rPr>
        <w:t>0.06</w:t>
      </w:r>
      <w:r>
        <w:rPr>
          <w:sz w:val="20"/>
          <w:szCs w:val="20"/>
          <w:color w:val="auto"/>
        </w:rPr>
        <w:tab/>
      </w:r>
      <w:r>
        <w:rPr>
          <w:rFonts w:ascii="Arial" w:cs="Arial" w:eastAsia="Arial" w:hAnsi="Arial"/>
          <w:sz w:val="16"/>
          <w:szCs w:val="16"/>
          <w:color w:val="auto"/>
        </w:rPr>
        <w:t>0.19</w:t>
      </w:r>
    </w:p>
    <w:p>
      <w:pPr>
        <w:spacing w:after="0" w:line="200" w:lineRule="exact"/>
        <w:rPr>
          <w:sz w:val="20"/>
          <w:szCs w:val="20"/>
          <w:color w:val="auto"/>
        </w:rPr>
      </w:pPr>
    </w:p>
    <w:p>
      <w:pPr>
        <w:spacing w:after="0" w:line="349" w:lineRule="exact"/>
        <w:rPr>
          <w:sz w:val="20"/>
          <w:szCs w:val="20"/>
          <w:color w:val="auto"/>
        </w:rPr>
      </w:pPr>
    </w:p>
    <w:p>
      <w:pPr>
        <w:spacing w:after="0"/>
        <w:tabs>
          <w:tab w:leader="none" w:pos="1320" w:val="left"/>
          <w:tab w:leader="none" w:pos="2680" w:val="left"/>
        </w:tabs>
        <w:rPr>
          <w:sz w:val="20"/>
          <w:szCs w:val="20"/>
          <w:color w:val="auto"/>
        </w:rPr>
      </w:pPr>
      <w:r>
        <w:rPr>
          <w:rFonts w:ascii="Arial" w:cs="Arial" w:eastAsia="Arial" w:hAnsi="Arial"/>
          <w:sz w:val="18"/>
          <w:szCs w:val="18"/>
          <w:color w:val="auto"/>
        </w:rPr>
        <w:t>0.12</w:t>
      </w:r>
      <w:r>
        <w:rPr>
          <w:sz w:val="20"/>
          <w:szCs w:val="20"/>
          <w:color w:val="auto"/>
        </w:rPr>
        <w:tab/>
      </w:r>
      <w:r>
        <w:rPr>
          <w:rFonts w:ascii="Arial" w:cs="Arial" w:eastAsia="Arial" w:hAnsi="Arial"/>
          <w:sz w:val="18"/>
          <w:szCs w:val="18"/>
          <w:color w:val="auto"/>
        </w:rPr>
        <w:t>0.05</w:t>
      </w:r>
      <w:r>
        <w:rPr>
          <w:sz w:val="20"/>
          <w:szCs w:val="20"/>
          <w:color w:val="auto"/>
        </w:rPr>
        <w:tab/>
      </w:r>
      <w:r>
        <w:rPr>
          <w:rFonts w:ascii="Arial" w:cs="Arial" w:eastAsia="Arial" w:hAnsi="Arial"/>
          <w:sz w:val="16"/>
          <w:szCs w:val="16"/>
          <w:color w:val="auto"/>
        </w:rPr>
        <w:t>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40640</wp:posOffset>
            </wp:positionV>
            <wp:extent cx="243522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35225" cy="1714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7580" w:space="720"/>
            <w:col w:w="3120"/>
          </w:cols>
          <w:pgMar w:left="240" w:top="904" w:right="239" w:bottom="1440" w:gutter="0" w:footer="0" w:header="0"/>
          <w:type w:val="continuous"/>
        </w:sectPr>
      </w:pPr>
    </w:p>
    <w:p>
      <w:pPr>
        <w:spacing w:after="0" w:line="295" w:lineRule="exact"/>
        <w:rPr>
          <w:sz w:val="20"/>
          <w:szCs w:val="20"/>
          <w:color w:val="auto"/>
        </w:rPr>
      </w:pPr>
    </w:p>
    <w:p>
      <w:pPr>
        <w:ind w:left="1540" w:right="20" w:hanging="1"/>
        <w:spacing w:after="0" w:line="297" w:lineRule="auto"/>
        <w:tabs>
          <w:tab w:leader="none" w:pos="188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Results for tax purposes are measured under, Measurement of results for tax purposes under the Income Tax (Inflationary Adjustments) Law, 1985, in terms of earnings in NIS. As explained in Note 2b, the financial statements are measured in U.S. dollars. The difference between the annual changes in the NIS/dollar exchange rate causes a difference between taxable income and the income before taxes shown in the financial statements. In accordance with ASC 740-10-25-3(F), the Company has not provided deferred income taxes in respect of the difference between the functional currency and the tax bases of assets and liabilities.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TAXES ON INCOME (Cont.)</w:t>
      </w:r>
    </w:p>
    <w:p>
      <w:pPr>
        <w:sectPr>
          <w:pgSz w:w="11900" w:h="16838" w:orient="portrait"/>
          <w:cols w:equalWidth="0" w:num="1">
            <w:col w:w="11420"/>
          </w:cols>
          <w:pgMar w:left="240" w:top="905" w:right="239" w:bottom="1440" w:gutter="0" w:footer="0" w:header="0"/>
        </w:sectPr>
      </w:pPr>
    </w:p>
    <w:p>
      <w:pPr>
        <w:spacing w:after="0" w:line="229" w:lineRule="exact"/>
        <w:rPr>
          <w:sz w:val="20"/>
          <w:szCs w:val="20"/>
          <w:color w:val="auto"/>
        </w:rPr>
      </w:pPr>
    </w:p>
    <w:p>
      <w:pPr>
        <w:ind w:left="1520" w:hanging="499"/>
        <w:spacing w:after="0"/>
        <w:tabs>
          <w:tab w:leader="none" w:pos="15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Income before income taxes is comprised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12090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Domestic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Foreign</w:t>
      </w:r>
    </w:p>
    <w:p>
      <w:pPr>
        <w:spacing w:after="0" w:line="25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Income before income taxes</w:t>
      </w:r>
    </w:p>
    <w:p>
      <w:pPr>
        <w:spacing w:after="0" w:line="3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13:-</w:t>
        <w:tab/>
        <w:t>GEOGRAPHIC INFORMATION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Summary information about geographic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r>
      <w:tr>
        <w:trPr>
          <w:trHeight w:val="431"/>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3,204</w:t>
            </w:r>
          </w:p>
        </w:tc>
      </w:tr>
      <w:tr>
        <w:trPr>
          <w:trHeight w:val="230"/>
        </w:trPr>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1,593</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2,230</w:t>
            </w: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480"/>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2,527</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3,805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5,434</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6760" w:space="720"/>
            <w:col w:w="3940"/>
          </w:cols>
          <w:pgMar w:left="240" w:top="905" w:right="239" w:bottom="1440" w:gutter="0" w:footer="0" w:header="0"/>
          <w:type w:val="continuous"/>
        </w:sectPr>
      </w:pPr>
    </w:p>
    <w:p>
      <w:pPr>
        <w:spacing w:after="0" w:line="25" w:lineRule="exact"/>
        <w:rPr>
          <w:sz w:val="20"/>
          <w:szCs w:val="20"/>
          <w:color w:val="auto"/>
        </w:rPr>
      </w:pPr>
    </w:p>
    <w:p>
      <w:pPr>
        <w:ind w:left="1020" w:right="640"/>
        <w:spacing w:after="0" w:line="277" w:lineRule="auto"/>
        <w:rPr>
          <w:sz w:val="20"/>
          <w:szCs w:val="20"/>
          <w:color w:val="auto"/>
        </w:rPr>
      </w:pPr>
      <w:r>
        <w:rPr>
          <w:rFonts w:ascii="Arial" w:cs="Arial" w:eastAsia="Arial" w:hAnsi="Arial"/>
          <w:sz w:val="18"/>
          <w:szCs w:val="18"/>
          <w:color w:val="auto"/>
        </w:rPr>
        <w:t>The Company operates in one reportable segment (see Note 1 for a brief description of the Company's business). The total revenues are attributed to geographic areas based on the location of the end-users.</w:t>
      </w:r>
    </w:p>
    <w:p>
      <w:pPr>
        <w:spacing w:after="0" w:line="170" w:lineRule="exact"/>
        <w:rPr>
          <w:sz w:val="20"/>
          <w:szCs w:val="20"/>
          <w:color w:val="auto"/>
        </w:rPr>
      </w:pPr>
    </w:p>
    <w:p>
      <w:pPr>
        <w:ind w:left="1020" w:right="240"/>
        <w:spacing w:after="0" w:line="277" w:lineRule="auto"/>
        <w:rPr>
          <w:sz w:val="20"/>
          <w:szCs w:val="20"/>
          <w:color w:val="auto"/>
        </w:rPr>
      </w:pPr>
      <w:r>
        <w:rPr>
          <w:rFonts w:ascii="Arial" w:cs="Arial" w:eastAsia="Arial" w:hAnsi="Arial"/>
          <w:sz w:val="18"/>
          <w:szCs w:val="18"/>
          <w:color w:val="auto"/>
        </w:rPr>
        <w:t>The following table presents total revenues for the years ended December 31, 2013, 2014 and 2015 and long-lived assets as of December 31, 2014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93"/>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5880" w:type="dxa"/>
            <w:vAlign w:val="bottom"/>
          </w:tcPr>
          <w:p>
            <w:pPr>
              <w:ind w:left="1020"/>
              <w:spacing w:after="0"/>
              <w:rPr>
                <w:sz w:val="20"/>
                <w:szCs w:val="20"/>
                <w:color w:val="auto"/>
              </w:rPr>
            </w:pPr>
            <w:r>
              <w:rPr>
                <w:rFonts w:ascii="Arial" w:cs="Arial" w:eastAsia="Arial" w:hAnsi="Arial"/>
                <w:sz w:val="18"/>
                <w:szCs w:val="18"/>
                <w:color w:val="auto"/>
              </w:rPr>
              <w:t>Revenues from sales to customers located in:</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United States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33,188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45,605</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1200"/>
              <w:spacing w:after="0"/>
              <w:rPr>
                <w:sz w:val="20"/>
                <w:szCs w:val="20"/>
                <w:color w:val="auto"/>
              </w:rPr>
            </w:pPr>
            <w:r>
              <w:rPr>
                <w:rFonts w:ascii="Arial" w:cs="Arial" w:eastAsia="Arial" w:hAnsi="Arial"/>
                <w:sz w:val="18"/>
                <w:szCs w:val="18"/>
                <w:color w:val="auto"/>
              </w:rPr>
              <w:t>America – (non-U.S)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5,732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3,564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EMEA</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w:t>
            </w:r>
          </w:p>
        </w:tc>
        <w:tc>
          <w:tcPr>
            <w:tcW w:w="100" w:type="dxa"/>
            <w:vAlign w:val="bottom"/>
            <w:shd w:val="clear" w:color="auto" w:fill="CCEEFF"/>
          </w:tcPr>
          <w:p>
            <w:pPr>
              <w:spacing w:after="0"/>
              <w:rPr>
                <w:sz w:val="18"/>
                <w:szCs w:val="18"/>
                <w:color w:val="auto"/>
              </w:rPr>
            </w:pPr>
          </w:p>
        </w:tc>
      </w:tr>
      <w:tr>
        <w:trPr>
          <w:trHeight w:val="237"/>
        </w:trPr>
        <w:tc>
          <w:tcPr>
            <w:tcW w:w="5880" w:type="dxa"/>
            <w:vAlign w:val="bottom"/>
          </w:tcPr>
          <w:p>
            <w:pPr>
              <w:ind w:left="1200"/>
              <w:spacing w:after="0"/>
              <w:rPr>
                <w:sz w:val="20"/>
                <w:szCs w:val="20"/>
                <w:color w:val="auto"/>
              </w:rPr>
            </w:pPr>
            <w:r>
              <w:rPr>
                <w:rFonts w:ascii="Arial" w:cs="Arial" w:eastAsia="Arial" w:hAnsi="Arial"/>
                <w:sz w:val="18"/>
                <w:szCs w:val="18"/>
                <w:color w:val="auto"/>
              </w:rPr>
              <w:t>Asia Pacific – other</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7,330</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11,608</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16,015</w:t>
            </w:r>
          </w:p>
        </w:tc>
        <w:tc>
          <w:tcPr>
            <w:tcW w:w="100" w:type="dxa"/>
            <w:vAlign w:val="bottom"/>
          </w:tcPr>
          <w:p>
            <w:pPr>
              <w:spacing w:after="0"/>
              <w:rPr>
                <w:sz w:val="20"/>
                <w:szCs w:val="20"/>
                <w:color w:val="auto"/>
              </w:rPr>
            </w:pPr>
          </w:p>
        </w:tc>
      </w:tr>
      <w:tr>
        <w:trPr>
          <w:trHeight w:val="216"/>
        </w:trPr>
        <w:tc>
          <w:tcPr>
            <w:tcW w:w="58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5880" w:type="dxa"/>
            <w:vAlign w:val="bottom"/>
          </w:tcPr>
          <w:p>
            <w:pPr>
              <w:spacing w:after="0"/>
              <w:rPr>
                <w:sz w:val="22"/>
                <w:szCs w:val="22"/>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49,395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66,364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86,405</w:t>
            </w:r>
          </w:p>
        </w:tc>
        <w:tc>
          <w:tcPr>
            <w:tcW w:w="100" w:type="dxa"/>
            <w:vAlign w:val="bottom"/>
          </w:tcPr>
          <w:p>
            <w:pPr>
              <w:spacing w:after="0"/>
              <w:rPr>
                <w:sz w:val="22"/>
                <w:szCs w:val="22"/>
                <w:color w:val="auto"/>
              </w:rPr>
            </w:pPr>
          </w:p>
        </w:tc>
      </w:tr>
      <w:tr>
        <w:trPr>
          <w:trHeight w:val="21"/>
        </w:trPr>
        <w:tc>
          <w:tcPr>
            <w:tcW w:w="5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-1645920</wp:posOffset>
            </wp:positionV>
            <wp:extent cx="643255" cy="16205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3255" cy="16205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8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8820" w:type="dxa"/>
            <w:vAlign w:val="bottom"/>
          </w:tcPr>
          <w:p>
            <w:pPr>
              <w:ind w:left="1020"/>
              <w:spacing w:after="0"/>
              <w:rPr>
                <w:sz w:val="20"/>
                <w:szCs w:val="20"/>
                <w:color w:val="auto"/>
              </w:rPr>
            </w:pPr>
            <w:r>
              <w:rPr>
                <w:rFonts w:ascii="Arial" w:cs="Arial" w:eastAsia="Arial" w:hAnsi="Arial"/>
                <w:sz w:val="18"/>
                <w:szCs w:val="18"/>
                <w:color w:val="auto"/>
              </w:rPr>
              <w:t>Long-lived assets, by geographic region: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America (principally the 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1200"/>
              <w:spacing w:after="0"/>
              <w:rPr>
                <w:sz w:val="20"/>
                <w:szCs w:val="20"/>
                <w:color w:val="auto"/>
              </w:rPr>
            </w:pPr>
            <w:r>
              <w:rPr>
                <w:rFonts w:ascii="Arial" w:cs="Arial" w:eastAsia="Arial" w:hAnsi="Arial"/>
                <w:sz w:val="18"/>
                <w:szCs w:val="18"/>
                <w:color w:val="auto"/>
              </w:rPr>
              <w:t>Israel</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2,961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EMEA</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r>
      <w:tr>
        <w:trPr>
          <w:trHeight w:val="237"/>
        </w:trPr>
        <w:tc>
          <w:tcPr>
            <w:tcW w:w="8820" w:type="dxa"/>
            <w:vAlign w:val="bottom"/>
          </w:tcPr>
          <w:p>
            <w:pPr>
              <w:ind w:left="120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p>
        </w:tc>
      </w:tr>
      <w:tr>
        <w:trPr>
          <w:trHeight w:val="216"/>
        </w:trPr>
        <w:tc>
          <w:tcPr>
            <w:tcW w:w="8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88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3,660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2"/>
                <w:szCs w:val="22"/>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-1517015</wp:posOffset>
            </wp:positionV>
            <wp:extent cx="643255" cy="14922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3255" cy="149225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142" w:name="page143"/>
    <w:bookmarkEnd w:id="142"/>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13:-</w:t>
        <w:tab/>
        <w:t>GEOGRAPHIC INFORMATION (Cont.)</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Major distributors data as a percentage of total revenues:</w:t>
      </w:r>
    </w:p>
    <w:p>
      <w:pPr>
        <w:spacing w:after="0" w:line="225" w:lineRule="exact"/>
        <w:rPr>
          <w:sz w:val="20"/>
          <w:szCs w:val="20"/>
          <w:color w:val="auto"/>
        </w:rPr>
      </w:pPr>
    </w:p>
    <w:p>
      <w:pPr>
        <w:ind w:left="1020" w:right="340"/>
        <w:spacing w:after="0" w:line="277" w:lineRule="auto"/>
        <w:rPr>
          <w:sz w:val="20"/>
          <w:szCs w:val="20"/>
          <w:color w:val="auto"/>
        </w:rPr>
      </w:pPr>
      <w:r>
        <w:rPr>
          <w:rFonts w:ascii="Arial" w:cs="Arial" w:eastAsia="Arial" w:hAnsi="Arial"/>
          <w:sz w:val="18"/>
          <w:szCs w:val="18"/>
          <w:color w:val="auto"/>
        </w:rPr>
        <w:t>The following table sets forth the distributors that represented 10% or more of the Company’s total revenues in each of the periods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3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3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Customer 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7320" w:type="dxa"/>
            <w:vAlign w:val="bottom"/>
            <w:gridSpan w:val="2"/>
          </w:tcPr>
          <w:p>
            <w:pPr>
              <w:ind w:left="1020"/>
              <w:spacing w:after="0"/>
              <w:rPr>
                <w:sz w:val="20"/>
                <w:szCs w:val="20"/>
                <w:color w:val="auto"/>
              </w:rPr>
            </w:pPr>
            <w:r>
              <w:rPr>
                <w:rFonts w:ascii="Arial" w:cs="Arial" w:eastAsia="Arial" w:hAnsi="Arial"/>
                <w:sz w:val="18"/>
                <w:szCs w:val="18"/>
                <w:color w:val="auto"/>
              </w:rPr>
              <w:t>Customer B</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r>
      <w:tr>
        <w:trPr>
          <w:trHeight w:val="418"/>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14:-  SELECTED STATEMENTS OF INCOME DATA</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340" w:type="dxa"/>
            <w:vAlign w:val="bottom"/>
          </w:tcPr>
          <w:p>
            <w:pPr>
              <w:ind w:left="1020"/>
              <w:spacing w:after="0"/>
              <w:rPr>
                <w:sz w:val="20"/>
                <w:szCs w:val="20"/>
                <w:color w:val="auto"/>
              </w:rPr>
            </w:pPr>
            <w:r>
              <w:rPr>
                <w:rFonts w:ascii="Arial" w:cs="Arial" w:eastAsia="Arial" w:hAnsi="Arial"/>
                <w:sz w:val="18"/>
                <w:szCs w:val="18"/>
                <w:color w:val="auto"/>
              </w:rPr>
              <w:t>a.</w:t>
            </w:r>
          </w:p>
        </w:tc>
        <w:tc>
          <w:tcPr>
            <w:tcW w:w="5980" w:type="dxa"/>
            <w:vAlign w:val="bottom"/>
          </w:tcPr>
          <w:p>
            <w:pPr>
              <w:ind w:left="180"/>
              <w:spacing w:after="0"/>
              <w:rPr>
                <w:sz w:val="20"/>
                <w:szCs w:val="20"/>
                <w:color w:val="auto"/>
              </w:rPr>
            </w:pPr>
            <w:r>
              <w:rPr>
                <w:rFonts w:ascii="Arial" w:cs="Arial" w:eastAsia="Arial" w:hAnsi="Arial"/>
                <w:sz w:val="18"/>
                <w:szCs w:val="18"/>
                <w:color w:val="auto"/>
              </w:rPr>
              <w:t>Financial expenses, net: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34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34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34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Financial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5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Interest on bank deposits and other</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1340" w:type="dxa"/>
            <w:vAlign w:val="bottom"/>
          </w:tcPr>
          <w:p>
            <w:pPr>
              <w:spacing w:after="0"/>
              <w:rPr>
                <w:sz w:val="18"/>
                <w:szCs w:val="18"/>
                <w:color w:val="auto"/>
              </w:rPr>
            </w:pPr>
          </w:p>
        </w:tc>
        <w:tc>
          <w:tcPr>
            <w:tcW w:w="5980" w:type="dxa"/>
            <w:vAlign w:val="bottom"/>
          </w:tcPr>
          <w:p>
            <w:pPr>
              <w:ind w:left="380"/>
              <w:spacing w:after="0"/>
              <w:rPr>
                <w:sz w:val="20"/>
                <w:szCs w:val="20"/>
                <w:color w:val="auto"/>
              </w:rPr>
            </w:pPr>
            <w:r>
              <w:rPr>
                <w:rFonts w:ascii="Arial" w:cs="Arial" w:eastAsia="Arial" w:hAnsi="Arial"/>
                <w:sz w:val="18"/>
                <w:szCs w:val="18"/>
                <w:color w:val="auto"/>
              </w:rPr>
              <w:t>Foreign currency translation differences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1340" w:type="dxa"/>
            <w:vAlign w:val="bottom"/>
            <w:shd w:val="clear" w:color="auto" w:fill="CCEEFF"/>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5980" w:type="dxa"/>
            <w:vAlign w:val="bottom"/>
          </w:tcPr>
          <w:p>
            <w:pPr>
              <w:ind w:left="380"/>
              <w:spacing w:after="0"/>
              <w:rPr>
                <w:sz w:val="20"/>
                <w:szCs w:val="20"/>
                <w:color w:val="auto"/>
              </w:rPr>
            </w:pPr>
            <w:r>
              <w:rPr>
                <w:rFonts w:ascii="Arial" w:cs="Arial" w:eastAsia="Arial" w:hAnsi="Arial"/>
                <w:sz w:val="18"/>
                <w:szCs w:val="18"/>
                <w:color w:val="auto"/>
              </w:rPr>
              <w:t>Interest on marketable securities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134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819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134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Financial expenses: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18"/>
                <w:szCs w:val="18"/>
                <w:color w:val="auto"/>
              </w:rPr>
            </w:pPr>
          </w:p>
        </w:tc>
        <w:tc>
          <w:tcPr>
            <w:tcW w:w="5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Bank charges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1340" w:type="dxa"/>
            <w:vAlign w:val="bottom"/>
          </w:tcPr>
          <w:p>
            <w:pPr>
              <w:spacing w:after="0"/>
              <w:rPr>
                <w:sz w:val="18"/>
                <w:szCs w:val="18"/>
                <w:color w:val="auto"/>
              </w:rPr>
            </w:pPr>
          </w:p>
        </w:tc>
        <w:tc>
          <w:tcPr>
            <w:tcW w:w="5980" w:type="dxa"/>
            <w:vAlign w:val="bottom"/>
          </w:tcPr>
          <w:p>
            <w:pPr>
              <w:ind w:left="380"/>
              <w:spacing w:after="0"/>
              <w:rPr>
                <w:sz w:val="20"/>
                <w:szCs w:val="20"/>
                <w:color w:val="auto"/>
              </w:rPr>
            </w:pPr>
            <w:r>
              <w:rPr>
                <w:rFonts w:ascii="Arial" w:cs="Arial" w:eastAsia="Arial" w:hAnsi="Arial"/>
                <w:sz w:val="18"/>
                <w:szCs w:val="18"/>
                <w:color w:val="auto"/>
              </w:rPr>
              <w:t>Foreign currency translation differences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(495)</w:t>
            </w:r>
          </w:p>
        </w:tc>
      </w:tr>
      <w:tr>
        <w:trPr>
          <w:trHeight w:val="223"/>
        </w:trPr>
        <w:tc>
          <w:tcPr>
            <w:tcW w:w="1340" w:type="dxa"/>
            <w:vAlign w:val="bottom"/>
            <w:shd w:val="clear" w:color="auto" w:fill="CCEEFF"/>
          </w:tcPr>
          <w:p>
            <w:pPr>
              <w:spacing w:after="0"/>
              <w:rPr>
                <w:sz w:val="19"/>
                <w:szCs w:val="19"/>
                <w:color w:val="auto"/>
              </w:rPr>
            </w:pPr>
          </w:p>
        </w:tc>
        <w:tc>
          <w:tcPr>
            <w:tcW w:w="5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premium</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r>
      <w:tr>
        <w:trPr>
          <w:trHeight w:val="216"/>
        </w:trPr>
        <w:tc>
          <w:tcPr>
            <w:tcW w:w="1340" w:type="dxa"/>
            <w:vAlign w:val="bottom"/>
            <w:tcBorders>
              <w:top w:val="single" w:sz="8" w:color="CCEEFF"/>
            </w:tcBorders>
          </w:tcPr>
          <w:p>
            <w:pPr>
              <w:spacing w:after="0"/>
              <w:rPr>
                <w:sz w:val="18"/>
                <w:szCs w:val="18"/>
                <w:color w:val="auto"/>
              </w:rPr>
            </w:pPr>
          </w:p>
        </w:tc>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1340" w:type="dxa"/>
            <w:vAlign w:val="bottom"/>
            <w:shd w:val="clear" w:color="auto" w:fill="CCEEFF"/>
          </w:tcPr>
          <w:p>
            <w:pPr>
              <w:spacing w:after="0"/>
              <w:rPr>
                <w:sz w:val="19"/>
                <w:szCs w:val="19"/>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financial expense: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
        </w:trPr>
        <w:tc>
          <w:tcPr>
            <w:tcW w:w="13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-4167505</wp:posOffset>
            </wp:positionV>
            <wp:extent cx="643255" cy="8661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3255" cy="866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-2597785</wp:posOffset>
            </wp:positionV>
            <wp:extent cx="969010" cy="2573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69010" cy="257302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BALANCES AND TRANSACTIONS WITH RELATED PARTIES</w:t>
      </w:r>
    </w:p>
    <w:p>
      <w:pPr>
        <w:spacing w:after="0" w:line="229" w:lineRule="exact"/>
        <w:rPr>
          <w:sz w:val="20"/>
          <w:szCs w:val="20"/>
          <w:color w:val="auto"/>
        </w:rPr>
      </w:pPr>
    </w:p>
    <w:p>
      <w:pPr>
        <w:ind w:left="1020" w:right="240"/>
        <w:spacing w:after="0" w:line="259" w:lineRule="auto"/>
        <w:rPr>
          <w:sz w:val="20"/>
          <w:szCs w:val="20"/>
          <w:color w:val="auto"/>
        </w:rPr>
      </w:pPr>
      <w:r>
        <w:rPr>
          <w:rFonts w:ascii="Arial" w:cs="Arial" w:eastAsia="Arial" w:hAnsi="Arial"/>
          <w:sz w:val="18"/>
          <w:szCs w:val="18"/>
          <w:color w:val="auto"/>
        </w:rPr>
        <w:t>The Company's policy is to enter into transactions with related parties on terms that, on the whole, are no less favorable, than those available from unaffiliated third parties. Based on the Company experience in the business sectors in which it operates and the terms of its transactions with unaffiliated third parties, the Company believe that all of the transactions described below met this policy standard at the time they occurred.</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Fortissimo Capital Fund II (GP), L.P ("Fortissimo")</w:t>
      </w:r>
    </w:p>
    <w:p>
      <w:pPr>
        <w:spacing w:after="0" w:line="225" w:lineRule="exact"/>
        <w:rPr>
          <w:sz w:val="20"/>
          <w:szCs w:val="20"/>
          <w:color w:val="auto"/>
        </w:rPr>
      </w:pPr>
    </w:p>
    <w:p>
      <w:pPr>
        <w:ind w:left="1020" w:right="80"/>
        <w:spacing w:after="0" w:line="279" w:lineRule="auto"/>
        <w:rPr>
          <w:sz w:val="20"/>
          <w:szCs w:val="20"/>
          <w:color w:val="auto"/>
        </w:rPr>
      </w:pPr>
      <w:r>
        <w:rPr>
          <w:rFonts w:ascii="Arial" w:cs="Arial" w:eastAsia="Arial" w:hAnsi="Arial"/>
          <w:sz w:val="17"/>
          <w:szCs w:val="17"/>
          <w:color w:val="auto"/>
        </w:rPr>
        <w:t>Fortissimo is the controlling shareholder of the Company. Pursuant to a management fee agreement between the Company and Fortissimo, the Company was required to pay Fortissimo an annual fee of $120 plus an amount equal to 5% of the Company’s net income, as defined in the management services agreement, up to a maximum of $250 per year. During the years ended December 31, 2013, 2014 and 2015 the Company recorded an expense of $120, $160 and $30, respectively, in respect of payments to Fortissimo.</w:t>
      </w:r>
    </w:p>
    <w:p>
      <w:pPr>
        <w:spacing w:after="0" w:line="171" w:lineRule="exact"/>
        <w:rPr>
          <w:sz w:val="20"/>
          <w:szCs w:val="20"/>
          <w:color w:val="auto"/>
        </w:rPr>
      </w:pPr>
    </w:p>
    <w:p>
      <w:pPr>
        <w:ind w:left="1020" w:right="120"/>
        <w:spacing w:after="0" w:line="277" w:lineRule="auto"/>
        <w:rPr>
          <w:sz w:val="20"/>
          <w:szCs w:val="20"/>
          <w:color w:val="auto"/>
        </w:rPr>
      </w:pPr>
      <w:r>
        <w:rPr>
          <w:rFonts w:ascii="Arial" w:cs="Arial" w:eastAsia="Arial" w:hAnsi="Arial"/>
          <w:sz w:val="18"/>
          <w:szCs w:val="18"/>
          <w:color w:val="auto"/>
        </w:rPr>
        <w:t>In March 2015 the Company and Fortissimo agreed to terminate the management service agreement upon the consummation of an IPO. Under the agreement the Company agreed to pay Fortissimo a one-time payment of $750.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4" w:name="page145"/>
    <w:bookmarkEnd w:id="144"/>
    <w:p>
      <w:pPr>
        <w:ind w:left="10580"/>
        <w:spacing w:after="0"/>
        <w:rPr>
          <w:sz w:val="20"/>
          <w:szCs w:val="20"/>
          <w:color w:val="auto"/>
        </w:rPr>
      </w:pPr>
      <w:r>
        <w:rPr>
          <w:rFonts w:ascii="Arial" w:cs="Arial" w:eastAsia="Arial" w:hAnsi="Arial"/>
          <w:sz w:val="16"/>
          <w:szCs w:val="16"/>
          <w:b w:val="1"/>
          <w:bCs w:val="1"/>
          <w:color w:val="auto"/>
        </w:rPr>
        <w:t>Exhibit 4.7</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English Summary of the Office and Parking Space Lease Agreement dated as of December 17, 2007 by and between Industrial Buildings Corporation Ltd. (the "Landlord") and Kornit Digital Ltd. (the "Company") (the "</w:t>
      </w:r>
      <w:r>
        <w:rPr>
          <w:rFonts w:ascii="Arial" w:cs="Arial" w:eastAsia="Arial" w:hAnsi="Arial"/>
          <w:sz w:val="17"/>
          <w:szCs w:val="17"/>
          <w:b w:val="1"/>
          <w:bCs w:val="1"/>
          <w:color w:val="auto"/>
        </w:rPr>
        <w:t>Original Lease Agreement</w:t>
      </w:r>
      <w:r>
        <w:rPr>
          <w:rFonts w:ascii="Arial" w:cs="Arial" w:eastAsia="Arial" w:hAnsi="Arial"/>
          <w:sz w:val="17"/>
          <w:szCs w:val="17"/>
          <w:color w:val="auto"/>
        </w:rPr>
        <w:t>"), as amended by those certain (i) Addendum dated 2007 (the "</w:t>
      </w:r>
      <w:r>
        <w:rPr>
          <w:rFonts w:ascii="Arial" w:cs="Arial" w:eastAsia="Arial" w:hAnsi="Arial"/>
          <w:sz w:val="17"/>
          <w:szCs w:val="17"/>
          <w:b w:val="1"/>
          <w:bCs w:val="1"/>
          <w:color w:val="auto"/>
        </w:rPr>
        <w:t>First Parking Space Addendum</w:t>
      </w:r>
      <w:r>
        <w:rPr>
          <w:rFonts w:ascii="Arial" w:cs="Arial" w:eastAsia="Arial" w:hAnsi="Arial"/>
          <w:sz w:val="17"/>
          <w:szCs w:val="17"/>
          <w:color w:val="auto"/>
        </w:rPr>
        <w:t>"), (ii) Addendum to Lease Agreement dated 2007 (the "</w:t>
      </w:r>
      <w:r>
        <w:rPr>
          <w:rFonts w:ascii="Arial" w:cs="Arial" w:eastAsia="Arial" w:hAnsi="Arial"/>
          <w:sz w:val="17"/>
          <w:szCs w:val="17"/>
          <w:b w:val="1"/>
          <w:bCs w:val="1"/>
          <w:color w:val="auto"/>
        </w:rPr>
        <w:t>Second Parking Space Addendum</w:t>
      </w:r>
      <w:r>
        <w:rPr>
          <w:rFonts w:ascii="Arial" w:cs="Arial" w:eastAsia="Arial" w:hAnsi="Arial"/>
          <w:sz w:val="17"/>
          <w:szCs w:val="17"/>
          <w:color w:val="auto"/>
        </w:rPr>
        <w:t>"), (ii)Addendum to Lease Agreement dated March 8, 2012 (the "</w:t>
      </w:r>
      <w:r>
        <w:rPr>
          <w:rFonts w:ascii="Arial" w:cs="Arial" w:eastAsia="Arial" w:hAnsi="Arial"/>
          <w:sz w:val="17"/>
          <w:szCs w:val="17"/>
          <w:b w:val="1"/>
          <w:bCs w:val="1"/>
          <w:color w:val="auto"/>
        </w:rPr>
        <w:t>First Addendum</w:t>
      </w:r>
      <w:r>
        <w:rPr>
          <w:rFonts w:ascii="Arial" w:cs="Arial" w:eastAsia="Arial" w:hAnsi="Arial"/>
          <w:sz w:val="17"/>
          <w:szCs w:val="17"/>
          <w:color w:val="auto"/>
        </w:rPr>
        <w:t>"), (iv) Addendum to Lease Agreement dated 2012 (the "</w:t>
      </w:r>
      <w:r>
        <w:rPr>
          <w:rFonts w:ascii="Arial" w:cs="Arial" w:eastAsia="Arial" w:hAnsi="Arial"/>
          <w:sz w:val="17"/>
          <w:szCs w:val="17"/>
          <w:b w:val="1"/>
          <w:bCs w:val="1"/>
          <w:color w:val="auto"/>
        </w:rPr>
        <w:t>Third Parking Space Addendum</w:t>
      </w:r>
      <w:r>
        <w:rPr>
          <w:rFonts w:ascii="Arial" w:cs="Arial" w:eastAsia="Arial" w:hAnsi="Arial"/>
          <w:sz w:val="17"/>
          <w:szCs w:val="17"/>
          <w:color w:val="auto"/>
        </w:rPr>
        <w:t>"), (v) Addendum to Lease Agreement dated December 19, 2012 (the "</w:t>
      </w:r>
      <w:r>
        <w:rPr>
          <w:rFonts w:ascii="Arial" w:cs="Arial" w:eastAsia="Arial" w:hAnsi="Arial"/>
          <w:sz w:val="17"/>
          <w:szCs w:val="17"/>
          <w:b w:val="1"/>
          <w:bCs w:val="1"/>
          <w:color w:val="auto"/>
        </w:rPr>
        <w:t>Second Addendum</w:t>
      </w:r>
      <w:r>
        <w:rPr>
          <w:rFonts w:ascii="Arial" w:cs="Arial" w:eastAsia="Arial" w:hAnsi="Arial"/>
          <w:sz w:val="17"/>
          <w:szCs w:val="17"/>
          <w:color w:val="auto"/>
        </w:rPr>
        <w:t>"), (vi) Addendum to Lease Agreement dated May 20, 2013 (the "</w:t>
      </w:r>
      <w:r>
        <w:rPr>
          <w:rFonts w:ascii="Arial" w:cs="Arial" w:eastAsia="Arial" w:hAnsi="Arial"/>
          <w:sz w:val="17"/>
          <w:szCs w:val="17"/>
          <w:b w:val="1"/>
          <w:b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color w:val="auto"/>
        </w:rPr>
        <w:t>Addendum</w:t>
      </w:r>
      <w:r>
        <w:rPr>
          <w:rFonts w:ascii="Arial" w:cs="Arial" w:eastAsia="Arial" w:hAnsi="Arial"/>
          <w:sz w:val="17"/>
          <w:szCs w:val="17"/>
          <w:color w:val="auto"/>
        </w:rPr>
        <w:t>"), (vii) Addendum to Lease Agreement dated January 12, 2014 (the "</w:t>
      </w:r>
      <w:r>
        <w:rPr>
          <w:rFonts w:ascii="Arial" w:cs="Arial" w:eastAsia="Arial" w:hAnsi="Arial"/>
          <w:sz w:val="17"/>
          <w:szCs w:val="17"/>
          <w:b w:val="1"/>
          <w:bCs w:val="1"/>
          <w:color w:val="auto"/>
        </w:rPr>
        <w:t>Fourth Addendum</w:t>
      </w:r>
      <w:r>
        <w:rPr>
          <w:rFonts w:ascii="Arial" w:cs="Arial" w:eastAsia="Arial" w:hAnsi="Arial"/>
          <w:sz w:val="17"/>
          <w:szCs w:val="17"/>
          <w:color w:val="auto"/>
        </w:rPr>
        <w:t>"), the Addendum to Lease Agreement dated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12, 2014 (the "</w:t>
      </w:r>
      <w:r>
        <w:rPr>
          <w:rFonts w:ascii="Arial" w:cs="Arial" w:eastAsia="Arial" w:hAnsi="Arial"/>
          <w:sz w:val="17"/>
          <w:szCs w:val="17"/>
          <w:b w:val="1"/>
          <w:bCs w:val="1"/>
          <w:color w:val="auto"/>
        </w:rPr>
        <w:t>Fifth Addendum</w:t>
      </w:r>
      <w:r>
        <w:rPr>
          <w:rFonts w:ascii="Arial" w:cs="Arial" w:eastAsia="Arial" w:hAnsi="Arial"/>
          <w:sz w:val="17"/>
          <w:szCs w:val="17"/>
          <w:color w:val="auto"/>
        </w:rPr>
        <w:t>"), the Addendum to Lease Agreement dated December 27, 2015 (the "</w:t>
      </w:r>
      <w:r>
        <w:rPr>
          <w:rFonts w:ascii="Arial" w:cs="Arial" w:eastAsia="Arial" w:hAnsi="Arial"/>
          <w:sz w:val="17"/>
          <w:szCs w:val="17"/>
          <w:b w:val="1"/>
          <w:bCs w:val="1"/>
          <w:color w:val="auto"/>
        </w:rPr>
        <w:t>Sixth Addendum</w:t>
      </w:r>
      <w:r>
        <w:rPr>
          <w:rFonts w:ascii="Arial" w:cs="Arial" w:eastAsia="Arial" w:hAnsi="Arial"/>
          <w:sz w:val="17"/>
          <w:szCs w:val="17"/>
          <w:color w:val="auto"/>
        </w:rPr>
        <w:t>") and Addendum to Lease Agreement dated December 28, 2015 (the "</w:t>
      </w:r>
      <w:r>
        <w:rPr>
          <w:rFonts w:ascii="Arial" w:cs="Arial" w:eastAsia="Arial" w:hAnsi="Arial"/>
          <w:sz w:val="17"/>
          <w:szCs w:val="17"/>
          <w:b w:val="1"/>
          <w:bCs w:val="1"/>
          <w:color w:val="auto"/>
        </w:rPr>
        <w:t>Seventh Addendum</w:t>
      </w:r>
      <w:r>
        <w:rPr>
          <w:rFonts w:ascii="Arial" w:cs="Arial" w:eastAsia="Arial" w:hAnsi="Arial"/>
          <w:sz w:val="17"/>
          <w:szCs w:val="17"/>
          <w:color w:val="auto"/>
        </w:rPr>
        <w:t>") (collectively, the "</w:t>
      </w:r>
      <w:r>
        <w:rPr>
          <w:rFonts w:ascii="Arial" w:cs="Arial" w:eastAsia="Arial" w:hAnsi="Arial"/>
          <w:sz w:val="17"/>
          <w:szCs w:val="17"/>
          <w:b w:val="1"/>
          <w:bCs w:val="1"/>
          <w:color w:val="auto"/>
        </w:rPr>
        <w:t>Lease Agreement</w:t>
      </w:r>
      <w:r>
        <w:rPr>
          <w:rFonts w:ascii="Arial" w:cs="Arial" w:eastAsia="Arial" w:hAnsi="Arial"/>
          <w:sz w:val="17"/>
          <w:szCs w:val="17"/>
          <w:color w:val="auto"/>
        </w:rPr>
        <w:t>").</w:t>
      </w:r>
    </w:p>
    <w:p>
      <w:pPr>
        <w:spacing w:after="0" w:line="179" w:lineRule="exact"/>
        <w:rPr>
          <w:sz w:val="20"/>
          <w:szCs w:val="20"/>
          <w:color w:val="auto"/>
        </w:rPr>
      </w:pPr>
    </w:p>
    <w:p>
      <w:pPr>
        <w:jc w:val="both"/>
        <w:ind w:left="660" w:hanging="328"/>
        <w:spacing w:after="0" w:line="248"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Subject Matter of the Lease Agreement</w:t>
      </w:r>
      <w:r>
        <w:rPr>
          <w:rFonts w:ascii="Arial" w:cs="Arial" w:eastAsia="Arial" w:hAnsi="Arial"/>
          <w:sz w:val="18"/>
          <w:szCs w:val="18"/>
          <w:color w:val="auto"/>
        </w:rPr>
        <w:t>: Unprotected lease of spaces on the ground floor and on the first floor of the building described in the Lease Agreement located at 10 and 12 Ha’Amal Street, Rosh Ha’Ayin, Israel that will be used by the Company for offices and laboratories, and parking spaces.</w:t>
      </w:r>
    </w:p>
    <w:p>
      <w:pPr>
        <w:spacing w:after="0" w:line="182"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 of Lease Agreement:</w:t>
      </w:r>
    </w:p>
    <w:p>
      <w:pPr>
        <w:spacing w:after="0" w:line="221" w:lineRule="exact"/>
        <w:rPr>
          <w:rFonts w:ascii="Arial" w:cs="Arial" w:eastAsia="Arial" w:hAnsi="Arial"/>
          <w:sz w:val="18"/>
          <w:szCs w:val="18"/>
          <w:color w:val="auto"/>
        </w:rPr>
      </w:pPr>
    </w:p>
    <w:p>
      <w:pPr>
        <w:jc w:val="both"/>
        <w:ind w:left="980" w:hanging="324"/>
        <w:spacing w:after="0" w:line="258" w:lineRule="auto"/>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term of the Original Lease was eight (8) years commencing on the delivery date, (the "</w:t>
      </w:r>
      <w:r>
        <w:rPr>
          <w:rFonts w:ascii="Arial" w:cs="Arial" w:eastAsia="Arial" w:hAnsi="Arial"/>
          <w:sz w:val="18"/>
          <w:szCs w:val="18"/>
          <w:b w:val="1"/>
          <w:bCs w:val="1"/>
          <w:color w:val="auto"/>
        </w:rPr>
        <w:t>Original Lease Period</w:t>
      </w:r>
      <w:r>
        <w:rPr>
          <w:rFonts w:ascii="Arial" w:cs="Arial" w:eastAsia="Arial" w:hAnsi="Arial"/>
          <w:sz w:val="18"/>
          <w:szCs w:val="18"/>
          <w:color w:val="auto"/>
        </w:rPr>
        <w:t xml:space="preserve">"). The Company had the right to terminate the lease as of the end of the fifth year of the Original Lease Period, subject to six months prior written notice,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Company pays a one-time special early termination payment (the "Special Payment") equal to the balance of the rest of the </w:t>
      </w:r>
      <w:r>
        <w:rPr>
          <w:rFonts w:ascii="Arial" w:cs="Arial" w:eastAsia="Arial" w:hAnsi="Arial"/>
          <w:sz w:val="18"/>
          <w:szCs w:val="18"/>
          <w:u w:val="single" w:color="auto"/>
          <w:color w:val="auto"/>
        </w:rPr>
        <w:t>Improvement</w:t>
      </w:r>
      <w:r>
        <w:rPr>
          <w:rFonts w:ascii="Arial" w:cs="Arial" w:eastAsia="Arial" w:hAnsi="Arial"/>
          <w:sz w:val="18"/>
          <w:szCs w:val="18"/>
          <w:color w:val="auto"/>
        </w:rPr>
        <w:t xml:space="preserve"> Amount (as defined below) per square meter multiplied by two times the number of remaining months for which the Company is required to pay rental fees.</w:t>
      </w:r>
    </w:p>
    <w:p>
      <w:pPr>
        <w:spacing w:after="0" w:line="187"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 of the end of the third year of the Original Lease Period, the Company has the right to sub-lease the premises to a substitute tenant, subject to the Landlord’s prior written consent (not to be unreasonably withheld).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Estimated delivery date was to be May 10, 2008, but delivery occurred in August 2008.</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term of the Original Lease Period expires on August 31, 2016 and the term of the period with respect to all of the addenda is also August 31, 2016.</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Pursuant to the Sixth Addendum, the Original Lease Period was extended to December 31, 2020. Unless one party notifies the other at least 180 prior to the end of the Original Lease Period, the Lease Agreement shall be automatically extended for an additional term of five (5) years (the “Optional Lease Period”)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Premises Covered by the Lease Agreement: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beginning on the date of the Original Lease Agreement and over the period of the remaining addenda forming the Lease Agreement, the Company leased a total of 3,661 square meters.</w:t>
      </w:r>
    </w:p>
    <w:p>
      <w:pPr>
        <w:spacing w:after="0" w:line="166" w:lineRule="exact"/>
        <w:rPr>
          <w:rFonts w:ascii="Arial" w:cs="Arial" w:eastAsia="Arial" w:hAnsi="Arial"/>
          <w:sz w:val="18"/>
          <w:szCs w:val="18"/>
          <w:color w:val="auto"/>
        </w:rPr>
      </w:pPr>
    </w:p>
    <w:p>
      <w:pPr>
        <w:ind w:left="980" w:hanging="324"/>
        <w:spacing w:after="0"/>
        <w:tabs>
          <w:tab w:leader="none" w:pos="9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Pursuant to the Seventh Addendum, the Company leased an additional 2,918 square meters (the “</w:t>
      </w:r>
      <w:r>
        <w:rPr>
          <w:rFonts w:ascii="Arial" w:cs="Arial" w:eastAsia="Arial" w:hAnsi="Arial"/>
          <w:sz w:val="18"/>
          <w:szCs w:val="18"/>
          <w:b w:val="1"/>
          <w:bCs w:val="1"/>
          <w:color w:val="auto"/>
        </w:rPr>
        <w:t>Additional Property</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980" w:hanging="324"/>
        <w:spacing w:after="0"/>
        <w:tabs>
          <w:tab w:leader="none" w:pos="98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Company originally leased ninety eight (98) parking spaces, and currently leases one hundred and forty-five (145) parking spaces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Right Of First Refusal:</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the Landlord decides to lease additional spaces in the building, the Company will be given the right of first refusal regarding parts of those additional spaces as listed below:</w:t>
      </w:r>
    </w:p>
    <w:p>
      <w:pPr>
        <w:spacing w:after="0" w:line="170" w:lineRule="exact"/>
        <w:rPr>
          <w:rFonts w:ascii="Arial" w:cs="Arial" w:eastAsia="Arial" w:hAnsi="Arial"/>
          <w:sz w:val="18"/>
          <w:szCs w:val="18"/>
          <w:color w:val="auto"/>
        </w:rPr>
      </w:pPr>
    </w:p>
    <w:p>
      <w:pPr>
        <w:jc w:val="both"/>
        <w:ind w:left="1288" w:hanging="315"/>
        <w:spacing w:after="0" w:line="312" w:lineRule="auto"/>
        <w:tabs>
          <w:tab w:leader="none" w:pos="1288" w:val="left"/>
        </w:tabs>
        <w:numPr>
          <w:ilvl w:val="2"/>
          <w:numId w:val="112"/>
        </w:numPr>
        <w:rPr>
          <w:rFonts w:ascii="Arial" w:cs="Arial" w:eastAsia="Arial" w:hAnsi="Arial"/>
          <w:sz w:val="16"/>
          <w:szCs w:val="16"/>
          <w:color w:val="auto"/>
        </w:rPr>
      </w:pPr>
      <w:r>
        <w:rPr>
          <w:rFonts w:ascii="Arial" w:cs="Arial" w:eastAsia="Arial" w:hAnsi="Arial"/>
          <w:sz w:val="16"/>
          <w:szCs w:val="16"/>
          <w:color w:val="auto"/>
        </w:rPr>
        <w:t>Out of the spaces that will be offered for lease on the ground floor – the Company will be given the right of first refusal with respect to space of at least 500 square meters which are adjacent to the Property. Out of the spaces that will be offered for lease in the first floor – the Company will be given the right of first refusal with respect to space of at least 800 square meters which adjacent to the Property.</w:t>
      </w:r>
    </w:p>
    <w:p>
      <w:pPr>
        <w:spacing w:after="0" w:line="146" w:lineRule="exact"/>
        <w:rPr>
          <w:rFonts w:ascii="Arial" w:cs="Arial" w:eastAsia="Arial" w:hAnsi="Arial"/>
          <w:sz w:val="16"/>
          <w:szCs w:val="16"/>
          <w:color w:val="auto"/>
        </w:rPr>
      </w:pPr>
    </w:p>
    <w:p>
      <w:pPr>
        <w:jc w:val="both"/>
        <w:ind w:left="1288" w:hanging="315"/>
        <w:spacing w:after="0" w:line="264" w:lineRule="auto"/>
        <w:tabs>
          <w:tab w:leader="none" w:pos="1288" w:val="left"/>
        </w:tabs>
        <w:numPr>
          <w:ilvl w:val="2"/>
          <w:numId w:val="112"/>
        </w:numPr>
        <w:rPr>
          <w:rFonts w:ascii="Arial" w:cs="Arial" w:eastAsia="Arial" w:hAnsi="Arial"/>
          <w:sz w:val="18"/>
          <w:szCs w:val="18"/>
          <w:color w:val="auto"/>
        </w:rPr>
      </w:pPr>
      <w:r>
        <w:rPr>
          <w:rFonts w:ascii="Arial" w:cs="Arial" w:eastAsia="Arial" w:hAnsi="Arial"/>
          <w:sz w:val="18"/>
          <w:szCs w:val="18"/>
          <w:color w:val="auto"/>
        </w:rPr>
        <w:t>In accordance with the Seventh Addendum, out of spaces that will be offered for lease on the second floor, the Company will be given the right of first refusal with respect to space of at least 500 square meters which are adjacent to a specific portion of the Additional Property.</w:t>
      </w:r>
    </w:p>
    <w:p>
      <w:pPr>
        <w:spacing w:after="0" w:line="181" w:lineRule="exact"/>
        <w:rPr>
          <w:rFonts w:ascii="Arial" w:cs="Arial" w:eastAsia="Arial" w:hAnsi="Arial"/>
          <w:sz w:val="18"/>
          <w:szCs w:val="18"/>
          <w:color w:val="auto"/>
        </w:rPr>
      </w:pPr>
    </w:p>
    <w:p>
      <w:pPr>
        <w:ind w:left="648" w:right="20" w:hanging="324"/>
        <w:spacing w:after="0" w:line="277"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This right of first refusal will not be transferred to a substitute tenant if there will be such will be in the future under a sublease or transfer of the lease.</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Rental Fees:</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Under Appendix B to the Original Lease Agreement, which set the basic rental fees mechanism, the Company was to pay, at the first day of each month the amounts as listed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The Basic Rental Fees were increased upon the execution of the addenda pursuant to which the Company leased additional space. The details of such increases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The monthly rental fees for the parking spaces are detailed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VAT and Consumer Price Index – All rental fees are plus VAT and are linked to the Israeli Consumer Price Index.</w:t>
      </w:r>
    </w:p>
    <w:p>
      <w:pPr>
        <w:spacing w:after="0" w:line="221" w:lineRule="exact"/>
        <w:rPr>
          <w:rFonts w:ascii="Arial" w:cs="Arial" w:eastAsia="Arial" w:hAnsi="Arial"/>
          <w:sz w:val="18"/>
          <w:szCs w:val="18"/>
          <w:color w:val="auto"/>
        </w:rPr>
      </w:pPr>
    </w:p>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 xml:space="preserve">Improvements </w:t>
      </w:r>
      <w:r>
        <w:rPr>
          <w:rFonts w:ascii="Arial" w:cs="Arial" w:eastAsia="Arial" w:hAnsi="Arial"/>
          <w:sz w:val="18"/>
          <w:szCs w:val="18"/>
          <w:b w:val="1"/>
          <w:bCs w:val="1"/>
          <w:u w:val="single" w:color="auto"/>
          <w:color w:val="auto"/>
        </w:rPr>
        <w:t>–</w:t>
      </w:r>
    </w:p>
    <w:p>
      <w:pPr>
        <w:spacing w:after="0" w:line="229"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According to the First and Second Addendums, the space leased thereunder is leased in an "AS-IS" condition. The Company carried out improvements on such spaces at its own expense.</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According to the Seventh Addendum, the Landlord agreed to participate in certain costs of improvement of common areas.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Guarantees –</w:t>
      </w:r>
    </w:p>
    <w:p>
      <w:pPr>
        <w:spacing w:after="0" w:line="225" w:lineRule="exact"/>
        <w:rPr>
          <w:rFonts w:ascii="Arial" w:cs="Arial" w:eastAsia="Arial" w:hAnsi="Arial"/>
          <w:sz w:val="18"/>
          <w:szCs w:val="18"/>
          <w:color w:val="auto"/>
        </w:rPr>
      </w:pPr>
    </w:p>
    <w:p>
      <w:pPr>
        <w:ind w:left="648" w:hanging="324"/>
        <w:spacing w:after="0"/>
        <w:tabs>
          <w:tab w:leader="none" w:pos="64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the Guarantees that were provided by the Company are detailed in Exhibit A</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p>
    <w:p>
      <w:pPr>
        <w:spacing w:after="0" w:line="252" w:lineRule="exact"/>
        <w:rPr>
          <w:sz w:val="20"/>
          <w:szCs w:val="20"/>
          <w:color w:val="auto"/>
        </w:rPr>
      </w:pPr>
    </w:p>
    <w:p>
      <w:pPr>
        <w:ind w:left="648"/>
        <w:spacing w:after="0"/>
        <w:rPr>
          <w:sz w:val="20"/>
          <w:szCs w:val="20"/>
          <w:color w:val="auto"/>
        </w:rPr>
      </w:pPr>
      <w:r>
        <w:rPr>
          <w:rFonts w:ascii="Arial" w:cs="Arial" w:eastAsia="Arial" w:hAnsi="Arial"/>
          <w:sz w:val="16"/>
          <w:szCs w:val="16"/>
          <w:color w:val="auto"/>
        </w:rPr>
        <w:t>The parties agree that any competent court in Tel Aviv is chosen by them as exclusive jurisdiction in any matter relating to the Lease Agreement.</w:t>
      </w:r>
    </w:p>
    <w:p>
      <w:pPr>
        <w:spacing w:after="0" w:line="248" w:lineRule="exact"/>
        <w:rPr>
          <w:sz w:val="20"/>
          <w:szCs w:val="20"/>
          <w:color w:val="auto"/>
        </w:rPr>
      </w:pPr>
    </w:p>
    <w:p>
      <w:pPr>
        <w:ind w:left="328" w:hanging="328"/>
        <w:spacing w:after="0"/>
        <w:tabs>
          <w:tab w:leader="none" w:pos="328"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Other Terms under the Lease Agreement:</w:t>
      </w:r>
    </w:p>
    <w:p>
      <w:pPr>
        <w:spacing w:after="0" w:line="225" w:lineRule="exact"/>
        <w:rPr>
          <w:rFonts w:ascii="Arial" w:cs="Arial" w:eastAsia="Arial" w:hAnsi="Arial"/>
          <w:sz w:val="18"/>
          <w:szCs w:val="18"/>
          <w:color w:val="auto"/>
        </w:rPr>
      </w:pPr>
    </w:p>
    <w:p>
      <w:pPr>
        <w:ind w:left="648" w:right="20" w:hanging="324"/>
        <w:spacing w:after="0" w:line="277" w:lineRule="auto"/>
        <w:tabs>
          <w:tab w:leader="none" w:pos="64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shall bear all fees, municipal or local taxes, utility payments etc, associated with the management of the company's business during the term of the Original Lease Period.</w:t>
      </w:r>
    </w:p>
    <w:p>
      <w:pPr>
        <w:spacing w:after="0" w:line="170" w:lineRule="exact"/>
        <w:rPr>
          <w:rFonts w:ascii="Arial" w:cs="Arial" w:eastAsia="Arial" w:hAnsi="Arial"/>
          <w:sz w:val="18"/>
          <w:szCs w:val="18"/>
          <w:color w:val="auto"/>
        </w:rPr>
      </w:pPr>
    </w:p>
    <w:p>
      <w:pPr>
        <w:ind w:left="648" w:hanging="324"/>
        <w:spacing w:after="0"/>
        <w:tabs>
          <w:tab w:leader="none" w:pos="64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Landlord shall bear all fees, municipal or local taxes, utility payments etc., which are levied on the Landlord by law. .</w:t>
      </w:r>
    </w:p>
    <w:p>
      <w:pPr>
        <w:spacing w:after="0" w:line="225" w:lineRule="exact"/>
        <w:rPr>
          <w:rFonts w:ascii="Arial" w:cs="Arial" w:eastAsia="Arial" w:hAnsi="Arial"/>
          <w:sz w:val="18"/>
          <w:szCs w:val="18"/>
          <w:color w:val="auto"/>
        </w:rPr>
      </w:pPr>
    </w:p>
    <w:p>
      <w:pPr>
        <w:ind w:left="648" w:hanging="324"/>
        <w:spacing w:after="0" w:line="277" w:lineRule="auto"/>
        <w:tabs>
          <w:tab w:leader="none" w:pos="64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Each party has agreed to assume responsibility for any damage, injury or loss (bodily or otherwise) resulting from any act, omission or negligence on its part, and with respect of the Company relating to its use of the Premises.</w:t>
      </w:r>
    </w:p>
    <w:p>
      <w:pPr>
        <w:spacing w:after="0" w:line="38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Space</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Space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that</w:t>
            </w:r>
          </w:p>
        </w:tc>
        <w:tc>
          <w:tcPr>
            <w:tcW w:w="10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5"/>
              </w:rPr>
              <w:t>that</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has been</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has been</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leased</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leased</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w w:val="99"/>
              </w:rPr>
              <w:t>Parking space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 square</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square</w:t>
            </w: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Rental fees for the</w:t>
            </w: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that has been</w:t>
            </w:r>
          </w:p>
        </w:tc>
        <w:tc>
          <w:tcPr>
            <w:tcW w:w="1720" w:type="dxa"/>
            <w:vAlign w:val="bottom"/>
          </w:tcPr>
          <w:p>
            <w:pPr>
              <w:ind w:left="120"/>
              <w:spacing w:after="0"/>
              <w:rPr>
                <w:sz w:val="20"/>
                <w:szCs w:val="20"/>
                <w:color w:val="auto"/>
              </w:rPr>
            </w:pPr>
            <w:r>
              <w:rPr>
                <w:rFonts w:ascii="Arial" w:cs="Arial" w:eastAsia="Arial" w:hAnsi="Arial"/>
                <w:sz w:val="16"/>
                <w:szCs w:val="16"/>
                <w:b w:val="1"/>
                <w:bCs w:val="1"/>
                <w:color w:val="auto"/>
                <w:w w:val="96"/>
              </w:rPr>
              <w:t>Rental fees regarding</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3"/>
        </w:trPr>
        <w:tc>
          <w:tcPr>
            <w:tcW w:w="250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meters (gross)</w:t>
            </w: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feet</w:t>
            </w:r>
          </w:p>
        </w:tc>
        <w:tc>
          <w:tcPr>
            <w:tcW w:w="10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leased space.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leased</w:t>
            </w:r>
          </w:p>
        </w:tc>
        <w:tc>
          <w:tcPr>
            <w:tcW w:w="1720" w:type="dxa"/>
            <w:vAlign w:val="bottom"/>
          </w:tcPr>
          <w:p>
            <w:pPr>
              <w:ind w:left="380"/>
              <w:spacing w:after="0"/>
              <w:rPr>
                <w:sz w:val="20"/>
                <w:szCs w:val="20"/>
                <w:color w:val="auto"/>
              </w:rPr>
            </w:pPr>
            <w:r>
              <w:rPr>
                <w:rFonts w:ascii="Arial" w:cs="Arial" w:eastAsia="Arial" w:hAnsi="Arial"/>
                <w:sz w:val="16"/>
                <w:szCs w:val="16"/>
                <w:b w:val="1"/>
                <w:bCs w:val="1"/>
                <w:color w:val="auto"/>
              </w:rPr>
              <w:t>parking space</w:t>
            </w:r>
          </w:p>
        </w:tc>
        <w:tc>
          <w:tcPr>
            <w:tcW w:w="100" w:type="dxa"/>
            <w:vAlign w:val="bottom"/>
          </w:tcPr>
          <w:p>
            <w:pPr>
              <w:spacing w:after="0"/>
              <w:rPr>
                <w:sz w:val="19"/>
                <w:szCs w:val="19"/>
                <w:color w:val="auto"/>
              </w:rPr>
            </w:pPr>
          </w:p>
        </w:tc>
        <w:tc>
          <w:tcPr>
            <w:tcW w:w="1700" w:type="dxa"/>
            <w:vAlign w:val="bottom"/>
          </w:tcPr>
          <w:p>
            <w:pPr>
              <w:ind w:left="400"/>
              <w:spacing w:after="0"/>
              <w:rPr>
                <w:sz w:val="20"/>
                <w:szCs w:val="20"/>
                <w:color w:val="auto"/>
              </w:rPr>
            </w:pPr>
            <w:r>
              <w:rPr>
                <w:rFonts w:ascii="Arial" w:cs="Arial" w:eastAsia="Arial" w:hAnsi="Arial"/>
                <w:sz w:val="16"/>
                <w:szCs w:val="16"/>
                <w:b w:val="1"/>
                <w:bCs w:val="1"/>
                <w:color w:val="auto"/>
              </w:rPr>
              <w:t>Guarantees*</w:t>
            </w:r>
          </w:p>
        </w:tc>
      </w:tr>
      <w:tr>
        <w:trPr>
          <w:trHeight w:val="175"/>
        </w:trPr>
        <w:tc>
          <w:tcPr>
            <w:tcW w:w="250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Original Lease</w:t>
            </w:r>
          </w:p>
        </w:tc>
        <w:tc>
          <w:tcPr>
            <w:tcW w:w="11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1,300</w:t>
            </w: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14,000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Included in Sixth</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Included in Sixth</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Included in Sixth</w:t>
            </w: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Agreement 17.12.2007</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Addendum Below</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Addendum Below</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Addendum Below</w:t>
            </w:r>
          </w:p>
        </w:tc>
      </w:tr>
      <w:tr>
        <w:trPr>
          <w:trHeight w:val="203"/>
        </w:trPr>
        <w:tc>
          <w:tcPr>
            <w:tcW w:w="2500" w:type="dxa"/>
            <w:vAlign w:val="bottom"/>
          </w:tcPr>
          <w:p>
            <w:pPr>
              <w:spacing w:after="0"/>
              <w:rPr>
                <w:sz w:val="20"/>
                <w:szCs w:val="20"/>
                <w:color w:val="auto"/>
              </w:rPr>
            </w:pPr>
            <w:r>
              <w:rPr>
                <w:rFonts w:ascii="Arial" w:cs="Arial" w:eastAsia="Arial" w:hAnsi="Arial"/>
                <w:sz w:val="16"/>
                <w:szCs w:val="16"/>
                <w:b w:val="1"/>
                <w:bCs w:val="1"/>
                <w:color w:val="auto"/>
              </w:rPr>
              <w:t>First Parking Space Addendum</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5"/>
              </w:rPr>
              <w:t>Second Parking Space Addendum</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193"/>
        </w:trPr>
        <w:tc>
          <w:tcPr>
            <w:tcW w:w="2500" w:type="dxa"/>
            <w:vAlign w:val="bottom"/>
          </w:tcPr>
          <w:p>
            <w:pPr>
              <w:spacing w:after="0"/>
              <w:rPr>
                <w:sz w:val="20"/>
                <w:szCs w:val="20"/>
                <w:color w:val="auto"/>
              </w:rPr>
            </w:pPr>
            <w:r>
              <w:rPr>
                <w:rFonts w:ascii="Arial" w:cs="Arial" w:eastAsia="Arial" w:hAnsi="Arial"/>
                <w:sz w:val="16"/>
                <w:szCs w:val="16"/>
                <w:b w:val="1"/>
                <w:bCs w:val="1"/>
                <w:color w:val="auto"/>
              </w:rPr>
              <w:t>First Addendum 8.3.2012</w:t>
            </w:r>
          </w:p>
        </w:tc>
        <w:tc>
          <w:tcPr>
            <w:tcW w:w="1120" w:type="dxa"/>
            <w:vAlign w:val="bottom"/>
          </w:tcPr>
          <w:p>
            <w:pPr>
              <w:jc w:val="right"/>
              <w:spacing w:after="0"/>
              <w:rPr>
                <w:sz w:val="20"/>
                <w:szCs w:val="20"/>
                <w:color w:val="auto"/>
              </w:rPr>
            </w:pPr>
            <w:r>
              <w:rPr>
                <w:rFonts w:ascii="Arial" w:cs="Arial" w:eastAsia="Arial" w:hAnsi="Arial"/>
                <w:sz w:val="16"/>
                <w:szCs w:val="16"/>
                <w:color w:val="auto"/>
              </w:rPr>
              <w:t>463</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5,000</w:t>
            </w: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Included in Sixth</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Included in Sixth</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Included in Sixth</w:t>
            </w:r>
          </w:p>
        </w:tc>
      </w:tr>
      <w:tr>
        <w:trPr>
          <w:trHeight w:val="206"/>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Addendum Below</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Addendum Below</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Addendum Below</w:t>
            </w:r>
          </w:p>
        </w:tc>
      </w:tr>
      <w:tr>
        <w:trPr>
          <w:trHeight w:val="199"/>
        </w:trPr>
        <w:tc>
          <w:tcPr>
            <w:tcW w:w="2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9"/>
              </w:rPr>
              <w:t>Third Parking Space Addendum"</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Included in Sixth</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Included in Sixth</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2"/>
        </w:trPr>
        <w:tc>
          <w:tcPr>
            <w:tcW w:w="2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Addendum Below</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Addendum Below</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3"/>
        </w:trPr>
        <w:tc>
          <w:tcPr>
            <w:tcW w:w="2500" w:type="dxa"/>
            <w:vAlign w:val="bottom"/>
          </w:tcPr>
          <w:p>
            <w:pPr>
              <w:spacing w:after="0"/>
              <w:rPr>
                <w:sz w:val="20"/>
                <w:szCs w:val="20"/>
                <w:color w:val="auto"/>
              </w:rPr>
            </w:pPr>
            <w:r>
              <w:rPr>
                <w:rFonts w:ascii="Arial" w:cs="Arial" w:eastAsia="Arial" w:hAnsi="Arial"/>
                <w:sz w:val="16"/>
                <w:szCs w:val="16"/>
                <w:b w:val="1"/>
                <w:bCs w:val="1"/>
                <w:color w:val="auto"/>
              </w:rPr>
              <w:t>Second Addendum 19.12.2012</w:t>
            </w:r>
          </w:p>
        </w:tc>
        <w:tc>
          <w:tcPr>
            <w:tcW w:w="1120" w:type="dxa"/>
            <w:vAlign w:val="bottom"/>
          </w:tcPr>
          <w:p>
            <w:pPr>
              <w:jc w:val="right"/>
              <w:spacing w:after="0"/>
              <w:rPr>
                <w:sz w:val="20"/>
                <w:szCs w:val="20"/>
                <w:color w:val="auto"/>
              </w:rPr>
            </w:pPr>
            <w:r>
              <w:rPr>
                <w:rFonts w:ascii="Arial" w:cs="Arial" w:eastAsia="Arial" w:hAnsi="Arial"/>
                <w:sz w:val="16"/>
                <w:szCs w:val="16"/>
                <w:color w:val="auto"/>
              </w:rPr>
              <w:t>414</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4,400</w:t>
            </w: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Included in Sixth</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Included in Sixth</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Included in Sixth</w:t>
            </w:r>
          </w:p>
        </w:tc>
      </w:tr>
      <w:tr>
        <w:trPr>
          <w:trHeight w:val="206"/>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Addendum Below</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Addendum Below</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Addendum Below</w:t>
            </w:r>
          </w:p>
        </w:tc>
      </w:tr>
      <w:tr>
        <w:trPr>
          <w:trHeight w:val="199"/>
        </w:trPr>
        <w:tc>
          <w:tcPr>
            <w:tcW w:w="2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Third Addendum 20.5.2013</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+ 205</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4,000</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Included in Sixth</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Included in Sixth</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Included in Sixth</w:t>
            </w:r>
          </w:p>
        </w:tc>
      </w:tr>
      <w:tr>
        <w:trPr>
          <w:trHeight w:val="212"/>
        </w:trPr>
        <w:tc>
          <w:tcPr>
            <w:tcW w:w="2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Addendum Below</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Addendum Below</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Addendum Below</w:t>
            </w:r>
          </w:p>
        </w:tc>
      </w:tr>
      <w:tr>
        <w:trPr>
          <w:trHeight w:val="193"/>
        </w:trPr>
        <w:tc>
          <w:tcPr>
            <w:tcW w:w="2500" w:type="dxa"/>
            <w:vAlign w:val="bottom"/>
          </w:tcPr>
          <w:p>
            <w:pPr>
              <w:spacing w:after="0"/>
              <w:rPr>
                <w:sz w:val="20"/>
                <w:szCs w:val="20"/>
                <w:color w:val="auto"/>
              </w:rPr>
            </w:pPr>
            <w:r>
              <w:rPr>
                <w:rFonts w:ascii="Arial" w:cs="Arial" w:eastAsia="Arial" w:hAnsi="Arial"/>
                <w:sz w:val="16"/>
                <w:szCs w:val="16"/>
                <w:b w:val="1"/>
                <w:bCs w:val="1"/>
                <w:color w:val="auto"/>
              </w:rPr>
              <w:t>Fourth Addendum 12.1. 2014</w:t>
            </w:r>
          </w:p>
        </w:tc>
        <w:tc>
          <w:tcPr>
            <w:tcW w:w="112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900</w:t>
            </w: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Included in Sixth</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Included in Sixth</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Included in Sixth</w:t>
            </w:r>
          </w:p>
        </w:tc>
      </w:tr>
      <w:tr>
        <w:trPr>
          <w:trHeight w:val="206"/>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Addendum Below</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Addendum Below</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Addendum Below</w:t>
            </w:r>
          </w:p>
        </w:tc>
      </w:tr>
      <w:tr>
        <w:trPr>
          <w:trHeight w:val="199"/>
        </w:trPr>
        <w:tc>
          <w:tcPr>
            <w:tcW w:w="2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Fifth Addendum 12.1.2014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8,000</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Included in Sixth</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Included in Sixth</w:t>
            </w:r>
          </w:p>
        </w:tc>
      </w:tr>
      <w:tr>
        <w:trPr>
          <w:trHeight w:val="212"/>
        </w:trPr>
        <w:tc>
          <w:tcPr>
            <w:tcW w:w="2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Addendum Below</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Addendum Below</w:t>
            </w:r>
          </w:p>
        </w:tc>
      </w:tr>
      <w:tr>
        <w:trPr>
          <w:trHeight w:val="193"/>
        </w:trPr>
        <w:tc>
          <w:tcPr>
            <w:tcW w:w="2500" w:type="dxa"/>
            <w:vAlign w:val="bottom"/>
          </w:tcPr>
          <w:p>
            <w:pPr>
              <w:spacing w:after="0"/>
              <w:rPr>
                <w:sz w:val="20"/>
                <w:szCs w:val="20"/>
                <w:color w:val="auto"/>
              </w:rPr>
            </w:pPr>
            <w:r>
              <w:rPr>
                <w:rFonts w:ascii="Arial" w:cs="Arial" w:eastAsia="Arial" w:hAnsi="Arial"/>
                <w:sz w:val="16"/>
                <w:szCs w:val="16"/>
                <w:b w:val="1"/>
                <w:bCs w:val="1"/>
                <w:color w:val="auto"/>
              </w:rPr>
              <w:t>Sixth Addendum 27.12.2015</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Extension of term of</w:t>
            </w:r>
          </w:p>
        </w:tc>
        <w:tc>
          <w:tcPr>
            <w:tcW w:w="1120" w:type="dxa"/>
            <w:vAlign w:val="bottom"/>
            <w:gridSpan w:val="2"/>
          </w:tcPr>
          <w:p>
            <w:pPr>
              <w:spacing w:after="0"/>
              <w:rPr>
                <w:sz w:val="20"/>
                <w:szCs w:val="20"/>
                <w:color w:val="auto"/>
              </w:rPr>
            </w:pPr>
            <w:r>
              <w:rPr>
                <w:rFonts w:ascii="Arial" w:cs="Arial" w:eastAsia="Arial" w:hAnsi="Arial"/>
                <w:sz w:val="16"/>
                <w:szCs w:val="16"/>
                <w:color w:val="auto"/>
              </w:rPr>
              <w:t>Total 145</w:t>
            </w:r>
          </w:p>
        </w:tc>
        <w:tc>
          <w:tcPr>
            <w:tcW w:w="1720" w:type="dxa"/>
            <w:vAlign w:val="bottom"/>
          </w:tcPr>
          <w:p>
            <w:pPr>
              <w:spacing w:after="0"/>
              <w:rPr>
                <w:sz w:val="20"/>
                <w:szCs w:val="20"/>
                <w:color w:val="auto"/>
              </w:rPr>
            </w:pPr>
            <w:r>
              <w:rPr>
                <w:rFonts w:ascii="Arial" w:cs="Arial" w:eastAsia="Arial" w:hAnsi="Arial"/>
                <w:sz w:val="16"/>
                <w:szCs w:val="16"/>
                <w:color w:val="auto"/>
              </w:rPr>
              <w:t>Current Rate: NIS 140</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w w:val="88"/>
              </w:rPr>
              <w:t>Aggregate bank guarantee</w:t>
            </w:r>
          </w:p>
        </w:tc>
      </w:tr>
      <w:tr>
        <w:trPr>
          <w:trHeight w:val="203"/>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w w:val="96"/>
              </w:rPr>
              <w:t>Lease - with rental fees as</w:t>
            </w:r>
          </w:p>
        </w:tc>
        <w:tc>
          <w:tcPr>
            <w:tcW w:w="1120" w:type="dxa"/>
            <w:vAlign w:val="bottom"/>
            <w:gridSpan w:val="2"/>
          </w:tcPr>
          <w:p>
            <w:pPr>
              <w:spacing w:after="0"/>
              <w:rPr>
                <w:sz w:val="20"/>
                <w:szCs w:val="20"/>
                <w:color w:val="auto"/>
              </w:rPr>
            </w:pPr>
            <w:r>
              <w:rPr>
                <w:rFonts w:ascii="Arial" w:cs="Arial" w:eastAsia="Arial" w:hAnsi="Arial"/>
                <w:sz w:val="16"/>
                <w:szCs w:val="16"/>
                <w:color w:val="auto"/>
              </w:rPr>
              <w:t>Parking spaces</w:t>
            </w:r>
          </w:p>
        </w:tc>
        <w:tc>
          <w:tcPr>
            <w:tcW w:w="1720" w:type="dxa"/>
            <w:vAlign w:val="bottom"/>
          </w:tcPr>
          <w:p>
            <w:pPr>
              <w:spacing w:after="0"/>
              <w:rPr>
                <w:sz w:val="20"/>
                <w:szCs w:val="20"/>
                <w:color w:val="auto"/>
              </w:rPr>
            </w:pPr>
            <w:r>
              <w:rPr>
                <w:rFonts w:ascii="Arial" w:cs="Arial" w:eastAsia="Arial" w:hAnsi="Arial"/>
                <w:sz w:val="16"/>
                <w:szCs w:val="16"/>
                <w:color w:val="auto"/>
              </w:rPr>
              <w:t>per month for coverved</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of NIS 832,699 and</w:t>
            </w:r>
          </w:p>
        </w:tc>
      </w:tr>
      <w:tr>
        <w:trPr>
          <w:trHeight w:val="203"/>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follows: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parking space NIS 350</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promissory note of NIS</w:t>
            </w:r>
          </w:p>
        </w:tc>
      </w:tr>
      <w:tr>
        <w:trPr>
          <w:trHeight w:val="203"/>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●NIS 153,762 from the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per month for reserved</w:t>
            </w:r>
          </w:p>
        </w:tc>
        <w:tc>
          <w:tcPr>
            <w:tcW w:w="1800" w:type="dxa"/>
            <w:vAlign w:val="bottom"/>
            <w:gridSpan w:val="2"/>
          </w:tcPr>
          <w:p>
            <w:pPr>
              <w:ind w:left="100"/>
              <w:spacing w:after="0"/>
              <w:rPr>
                <w:sz w:val="20"/>
                <w:szCs w:val="20"/>
                <w:color w:val="auto"/>
              </w:rPr>
            </w:pPr>
            <w:r>
              <w:rPr>
                <w:rFonts w:ascii="Arial" w:cs="Arial" w:eastAsia="Arial" w:hAnsi="Arial"/>
                <w:sz w:val="16"/>
                <w:szCs w:val="16"/>
                <w:color w:val="auto"/>
              </w:rPr>
              <w:t>3,330,279</w:t>
            </w:r>
          </w:p>
        </w:tc>
      </w:tr>
      <w:tr>
        <w:trPr>
          <w:trHeight w:val="203"/>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date of the addendum</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parking space NIS 185</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until 30.11.18</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w w:val="97"/>
              </w:rPr>
              <w:t>per month for uncovered</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 NIS 157,423 from</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parking space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1.12.18 until the end of</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the current period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 NIS 165,294 from</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6"/>
        </w:trPr>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ind w:left="100"/>
              <w:spacing w:after="0"/>
              <w:rPr>
                <w:sz w:val="20"/>
                <w:szCs w:val="20"/>
                <w:color w:val="auto"/>
              </w:rPr>
            </w:pPr>
            <w:r>
              <w:rPr>
                <w:rFonts w:ascii="Arial" w:cs="Arial" w:eastAsia="Arial" w:hAnsi="Arial"/>
                <w:sz w:val="16"/>
                <w:szCs w:val="16"/>
                <w:color w:val="auto"/>
              </w:rPr>
              <w:t>1.1.21 until 31.12.25</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9"/>
        </w:trPr>
        <w:tc>
          <w:tcPr>
            <w:tcW w:w="2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Seventh Addendum 28.12.2015</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31,409</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NIS 105,048 during the</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NIS 350 per month per</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96"/>
              </w:rPr>
              <w:t>(i) bank guarantee in the</w:t>
            </w:r>
          </w:p>
        </w:tc>
      </w:tr>
      <w:tr>
        <w:trPr>
          <w:trHeight w:val="203"/>
        </w:trPr>
        <w:tc>
          <w:tcPr>
            <w:tcW w:w="2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current period and NIS</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parking space (if Kornit</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amount of NIS 546.933</w:t>
            </w:r>
          </w:p>
        </w:tc>
      </w:tr>
      <w:tr>
        <w:trPr>
          <w:trHeight w:val="203"/>
        </w:trPr>
        <w:tc>
          <w:tcPr>
            <w:tcW w:w="2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99"/>
              </w:rPr>
              <w:t>110,300 during the option</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uses parking spaces</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and (ii) two promissory</w:t>
            </w:r>
          </w:p>
        </w:tc>
      </w:tr>
      <w:tr>
        <w:trPr>
          <w:trHeight w:val="203"/>
        </w:trPr>
        <w:tc>
          <w:tcPr>
            <w:tcW w:w="2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period</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currently rented out)</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notes in the amount of</w:t>
            </w:r>
          </w:p>
        </w:tc>
      </w:tr>
      <w:tr>
        <w:trPr>
          <w:trHeight w:val="212"/>
        </w:trPr>
        <w:tc>
          <w:tcPr>
            <w:tcW w:w="2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NIS 2,187,730 each</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color w:val="auto"/>
        </w:rPr>
        <w:t>Exhibit 8.1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SUBSIDIARIES OF KORNIT DIGITAL LTD.</w:t>
            </w:r>
          </w:p>
        </w:tc>
        <w:tc>
          <w:tcPr>
            <w:tcW w:w="3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 of Subsidiary</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Jurisdiction of Organization</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 Interest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Kornit Digital Technologies Ltd.</w:t>
            </w:r>
          </w:p>
        </w:tc>
        <w:tc>
          <w:tcPr>
            <w:tcW w:w="38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Israel</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Kornit Digital North America Inc.</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Delaware</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Kornit Digital Europe GmbH</w:t>
            </w:r>
          </w:p>
        </w:tc>
        <w:tc>
          <w:tcPr>
            <w:tcW w:w="3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Germany</w:t>
            </w: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Kornit Digital Asia Pacific Limited.</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Hong Kong</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Exhibit 12.1</w:t>
      </w:r>
    </w:p>
    <w:p>
      <w:pPr>
        <w:spacing w:after="0" w:line="216" w:lineRule="exact"/>
        <w:rPr>
          <w:sz w:val="20"/>
          <w:szCs w:val="20"/>
          <w:color w:val="auto"/>
        </w:rPr>
      </w:pPr>
    </w:p>
    <w:p>
      <w:pPr>
        <w:jc w:val="center"/>
        <w:ind w:left="260" w:right="2660"/>
        <w:spacing w:after="0" w:line="263"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Gabi Seligsohn, certify that:</w:t>
      </w:r>
    </w:p>
    <w:p>
      <w:pPr>
        <w:spacing w:after="0" w:line="225" w:lineRule="exact"/>
        <w:rPr>
          <w:sz w:val="20"/>
          <w:szCs w:val="20"/>
          <w:color w:val="auto"/>
        </w:rPr>
      </w:pPr>
    </w:p>
    <w:p>
      <w:pPr>
        <w:ind w:left="640" w:hanging="178"/>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ind w:right="300" w:firstLine="462"/>
        <w:spacing w:after="0" w:line="342" w:lineRule="auto"/>
        <w:tabs>
          <w:tab w:leader="none" w:pos="63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462"/>
        <w:spacing w:after="0" w:line="277" w:lineRule="auto"/>
        <w:tabs>
          <w:tab w:leader="none" w:pos="63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520" w:firstLine="462"/>
        <w:spacing w:after="0" w:line="277" w:lineRule="auto"/>
        <w:tabs>
          <w:tab w:leader="none" w:pos="63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1100" w:right="100" w:hanging="444"/>
        <w:spacing w:after="0" w:line="264" w:lineRule="auto"/>
        <w:tabs>
          <w:tab w:leader="none" w:pos="1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1100" w:right="580" w:hanging="444"/>
        <w:spacing w:after="0" w:line="342" w:lineRule="auto"/>
        <w:tabs>
          <w:tab w:leader="none" w:pos="11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00" w:right="200" w:hanging="444"/>
        <w:spacing w:after="0" w:line="264" w:lineRule="auto"/>
        <w:tabs>
          <w:tab w:leader="none" w:pos="1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20" w:firstLine="462"/>
        <w:spacing w:after="0" w:line="308" w:lineRule="auto"/>
        <w:tabs>
          <w:tab w:leader="none" w:pos="63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100" w:hanging="444"/>
        <w:spacing w:after="0" w:line="277" w:lineRule="auto"/>
        <w:tabs>
          <w:tab w:leader="none" w:pos="1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1100" w:right="540" w:hanging="444"/>
        <w:spacing w:after="0" w:line="277" w:lineRule="auto"/>
        <w:tabs>
          <w:tab w:leader="none" w:pos="1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2016</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Gabi Seligsohn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2"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2"/>
          <w:szCs w:val="22"/>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Guy Avidan, certify that:</w:t>
      </w:r>
    </w:p>
    <w:p>
      <w:pPr>
        <w:spacing w:after="0" w:line="225" w:lineRule="exact"/>
        <w:rPr>
          <w:sz w:val="20"/>
          <w:szCs w:val="20"/>
          <w:color w:val="auto"/>
        </w:rPr>
      </w:pPr>
    </w:p>
    <w:p>
      <w:pPr>
        <w:ind w:left="640" w:hanging="178"/>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ind w:right="300" w:firstLine="462"/>
        <w:spacing w:after="0" w:line="342" w:lineRule="auto"/>
        <w:tabs>
          <w:tab w:leader="none" w:pos="634"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80" w:firstLine="462"/>
        <w:spacing w:after="0" w:line="277" w:lineRule="auto"/>
        <w:tabs>
          <w:tab w:leader="none" w:pos="63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20" w:firstLine="462"/>
        <w:spacing w:after="0" w:line="277" w:lineRule="auto"/>
        <w:tabs>
          <w:tab w:leader="none" w:pos="63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1100" w:right="100" w:hanging="444"/>
        <w:spacing w:after="0" w:line="264" w:lineRule="auto"/>
        <w:tabs>
          <w:tab w:leader="none" w:pos="11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00" w:hanging="444"/>
        <w:spacing w:after="0"/>
        <w:tabs>
          <w:tab w:leader="none" w:pos="11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1100" w:right="580" w:hanging="444"/>
        <w:spacing w:after="0" w:line="342" w:lineRule="auto"/>
        <w:tabs>
          <w:tab w:leader="none" w:pos="11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00" w:right="200" w:hanging="444"/>
        <w:spacing w:after="0" w:line="264" w:lineRule="auto"/>
        <w:tabs>
          <w:tab w:leader="none" w:pos="11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462"/>
        <w:spacing w:after="0" w:line="308" w:lineRule="auto"/>
        <w:tabs>
          <w:tab w:leader="none" w:pos="63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1100" w:hanging="444"/>
        <w:spacing w:after="0" w:line="277" w:lineRule="auto"/>
        <w:tabs>
          <w:tab w:leader="none" w:pos="11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1100" w:right="540" w:hanging="444"/>
        <w:spacing w:after="0" w:line="277" w:lineRule="auto"/>
        <w:tabs>
          <w:tab w:leader="none" w:pos="11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2016</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12"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13a-14(b)/RULE 15d-14(b)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AND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right="180" w:firstLine="648"/>
        <w:spacing w:after="0" w:line="303" w:lineRule="auto"/>
        <w:rPr>
          <w:sz w:val="20"/>
          <w:szCs w:val="20"/>
          <w:color w:val="auto"/>
        </w:rPr>
      </w:pPr>
      <w:r>
        <w:rPr>
          <w:rFonts w:ascii="Arial" w:cs="Arial" w:eastAsia="Arial" w:hAnsi="Arial"/>
          <w:sz w:val="16"/>
          <w:szCs w:val="16"/>
          <w:color w:val="auto"/>
        </w:rPr>
        <w:t>In connection with the Annual Report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on Form 20-F for the fiscal year ended December 31, 2015 as filed with the Securities and Exchange Commission on the date hereof (the “</w:t>
      </w:r>
      <w:r>
        <w:rPr>
          <w:rFonts w:ascii="Arial" w:cs="Arial" w:eastAsia="Arial" w:hAnsi="Arial"/>
          <w:sz w:val="16"/>
          <w:szCs w:val="16"/>
          <w:b w:val="1"/>
          <w:bCs w:val="1"/>
          <w:color w:val="auto"/>
        </w:rPr>
        <w:t>Report</w:t>
      </w:r>
      <w:r>
        <w:rPr>
          <w:rFonts w:ascii="Arial" w:cs="Arial" w:eastAsia="Arial" w:hAnsi="Arial"/>
          <w:sz w:val="16"/>
          <w:szCs w:val="16"/>
          <w:color w:val="auto"/>
        </w:rPr>
        <w:t>”), we, Gabi Seligsohn, as Chief Executive Officer of the Company, and Guy Avidan,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March 17, 2016</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Gabi Seligsohn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12"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auto"/>
        </w:rPr>
        <w:t>Exhibit 15.1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No. 333-203970) pertaining to the 2004 Share Option Plan, 2012 Share Incentive Plan, 2015 Incentive Compensation Plan and 2015 Employee Share Purchase Plan of Kornit Digital Ltd. of our report dated March 17, 2016 with respect to the consolidated financial statements of Kornit Digital Ltd. and its subsidiaries included in its annual report (Form 20-F) for the year ended December 31, 2015.</w:t>
      </w:r>
    </w:p>
    <w:p>
      <w:pPr>
        <w:spacing w:after="0" w:line="37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Arial" w:cs="Arial" w:eastAsia="Arial" w:hAnsi="Arial"/>
                <w:sz w:val="18"/>
                <w:szCs w:val="18"/>
                <w:color w:val="auto"/>
              </w:rPr>
              <w:t>Tel Aviv, Israel</w:t>
            </w:r>
          </w:p>
        </w:tc>
        <w:tc>
          <w:tcPr>
            <w:tcW w:w="3220" w:type="dxa"/>
            <w:vAlign w:val="bottom"/>
            <w:gridSpan w:val="3"/>
          </w:tcPr>
          <w:p>
            <w:pPr>
              <w:spacing w:after="0"/>
              <w:rPr>
                <w:sz w:val="20"/>
                <w:szCs w:val="20"/>
                <w:color w:val="auto"/>
              </w:rPr>
            </w:pPr>
            <w:r>
              <w:rPr>
                <w:rFonts w:ascii="Arial" w:cs="Arial" w:eastAsia="Arial" w:hAnsi="Arial"/>
                <w:sz w:val="18"/>
                <w:szCs w:val="18"/>
                <w:color w:val="auto"/>
                <w:w w:val="96"/>
              </w:rPr>
              <w:t>/s/ KOST FORER GABBAY &amp; KASIERER</w:t>
            </w:r>
          </w:p>
        </w:tc>
        <w:tc>
          <w:tcPr>
            <w:tcW w:w="0" w:type="dxa"/>
            <w:vAlign w:val="bottom"/>
          </w:tcPr>
          <w:p>
            <w:pPr>
              <w:spacing w:after="0"/>
              <w:rPr>
                <w:sz w:val="1"/>
                <w:szCs w:val="1"/>
                <w:color w:val="auto"/>
              </w:rPr>
            </w:pPr>
          </w:p>
        </w:tc>
      </w:tr>
      <w:tr>
        <w:trPr>
          <w:trHeight w:val="169"/>
        </w:trPr>
        <w:tc>
          <w:tcPr>
            <w:tcW w:w="1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86"/>
              </w:rPr>
              <w:t>March 17, 2016</w:t>
            </w:r>
          </w:p>
        </w:tc>
        <w:tc>
          <w:tcPr>
            <w:tcW w:w="40" w:type="dxa"/>
            <w:vAlign w:val="bottom"/>
            <w:tcBorders>
              <w:bottom w:val="single" w:sz="8" w:color="auto"/>
            </w:tcBorders>
          </w:tcPr>
          <w:p>
            <w:pPr>
              <w:spacing w:after="0"/>
              <w:rPr>
                <w:sz w:val="14"/>
                <w:szCs w:val="14"/>
                <w:color w:val="auto"/>
              </w:rPr>
            </w:pPr>
          </w:p>
        </w:tc>
        <w:tc>
          <w:tcPr>
            <w:tcW w:w="4460" w:type="dxa"/>
            <w:vAlign w:val="bottom"/>
          </w:tcPr>
          <w:p>
            <w:pPr>
              <w:spacing w:after="0"/>
              <w:rPr>
                <w:sz w:val="14"/>
                <w:szCs w:val="14"/>
                <w:color w:val="auto"/>
              </w:rPr>
            </w:pPr>
          </w:p>
        </w:tc>
        <w:tc>
          <w:tcPr>
            <w:tcW w:w="3220" w:type="dxa"/>
            <w:vAlign w:val="bottom"/>
            <w:tcBorders>
              <w:top w:val="single" w:sz="8" w:color="auto"/>
              <w:bottom w:val="single" w:sz="8" w:color="auto"/>
            </w:tcBorders>
            <w:gridSpan w:val="3"/>
            <w:vMerge w:val="restart"/>
          </w:tcPr>
          <w:p>
            <w:pPr>
              <w:spacing w:after="0"/>
              <w:rPr>
                <w:sz w:val="20"/>
                <w:szCs w:val="20"/>
                <w:color w:val="auto"/>
              </w:rPr>
            </w:pPr>
            <w:r>
              <w:rPr>
                <w:rFonts w:ascii="Arial" w:cs="Arial" w:eastAsia="Arial" w:hAnsi="Arial"/>
                <w:sz w:val="18"/>
                <w:szCs w:val="18"/>
                <w:color w:val="auto"/>
              </w:rPr>
              <w:t>KOST FORER GABBAY &amp; KASIERER</w:t>
            </w:r>
          </w:p>
        </w:tc>
        <w:tc>
          <w:tcPr>
            <w:tcW w:w="0" w:type="dxa"/>
            <w:vAlign w:val="bottom"/>
          </w:tcPr>
          <w:p>
            <w:pPr>
              <w:spacing w:after="0"/>
              <w:rPr>
                <w:sz w:val="1"/>
                <w:szCs w:val="1"/>
                <w:color w:val="auto"/>
              </w:rPr>
            </w:pPr>
          </w:p>
        </w:tc>
      </w:tr>
      <w:tr>
        <w:trPr>
          <w:trHeight w:val="129"/>
        </w:trPr>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32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93"/>
              </w:rPr>
              <w:t>A member of Ernst &amp; Young Global</w:t>
            </w:r>
          </w:p>
        </w:tc>
        <w:tc>
          <w:tcPr>
            <w:tcW w:w="3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60"/>
      </w:cols>
      <w:pgMar w:left="240" w:top="12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354FE9F9"/>
    <w:multiLevelType w:val="hybridMultilevel"/>
    <w:lvl w:ilvl="0">
      <w:lvlJc w:val="left"/>
      <w:lvlText w:val="☐"/>
      <w:numFmt w:val="bullet"/>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1)"/>
      <w:numFmt w:val="decimal"/>
      <w:start w:val="2"/>
    </w:lvl>
  </w:abstractNum>
  <w:abstractNum w:abstractNumId="6">
    <w:nsid w:val="10233C99"/>
    <w:multiLevelType w:val="hybridMultilevel"/>
    <w:lvl w:ilvl="0">
      <w:lvlJc w:val="left"/>
      <w:lvlText w:val="%1."/>
      <w:numFmt w:val="upperLetter"/>
      <w:start w:val="2"/>
    </w:lvl>
  </w:abstractNum>
  <w:abstractNum w:abstractNumId="7">
    <w:nsid w:val="3F6AB60F"/>
    <w:multiLevelType w:val="hybridMultilevel"/>
    <w:lvl w:ilvl="0">
      <w:lvlJc w:val="left"/>
      <w:lvlText w:val="●"/>
      <w:numFmt w:val="bullet"/>
      <w:start w:val="1"/>
    </w:lvl>
  </w:abstractNum>
  <w:abstractNum w:abstractNumId="8">
    <w:nsid w:val="61574095"/>
    <w:multiLevelType w:val="hybridMultilevel"/>
    <w:lvl w:ilvl="0">
      <w:lvlJc w:val="left"/>
      <w:lvlText w:val="●"/>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abstractNum>
  <w:abstractNum w:abstractNumId="12">
    <w:nsid w:val="310C50B3"/>
    <w:multiLevelType w:val="hybridMultilevel"/>
    <w:lvl w:ilvl="0">
      <w:lvlJc w:val="left"/>
      <w:lvlText w:val="●"/>
      <w:numFmt w:val="bullet"/>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1."/>
      <w:numFmt w:val="upperLetter"/>
      <w:start w:val="1"/>
    </w:lvl>
  </w:abstractNum>
  <w:abstractNum w:abstractNumId="16">
    <w:nsid w:val="1DBABF00"/>
    <w:multiLevelType w:val="hybridMultilevel"/>
    <w:lvl w:ilvl="0">
      <w:lvlJc w:val="left"/>
      <w:lvlText w:val="%1."/>
      <w:numFmt w:val="upperLetter"/>
      <w:start w:val="2"/>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
      <w:numFmt w:val="bullet"/>
      <w:start w:val="1"/>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1."/>
      <w:numFmt w:val="upperLetter"/>
      <w:start w:val="6"/>
    </w:lvl>
  </w:abstractNum>
  <w:abstractNum w:abstractNumId="28">
    <w:nsid w:val="42C296BD"/>
    <w:multiLevelType w:val="hybridMultilevel"/>
    <w:lvl w:ilvl="0">
      <w:lvlJc w:val="left"/>
      <w:lvlText w:val="(%1)"/>
      <w:numFmt w:val="decimal"/>
      <w:start w:val="1"/>
    </w:lvl>
  </w:abstractNum>
  <w:abstractNum w:abstractNumId="29">
    <w:nsid w:val="168E121F"/>
    <w:multiLevelType w:val="hybridMultilevel"/>
    <w:lvl w:ilvl="0">
      <w:lvlJc w:val="left"/>
      <w:lvlText w:val="%1."/>
      <w:numFmt w:val="upperLetter"/>
      <w:start w:val="1"/>
    </w:lvl>
  </w:abstractNum>
  <w:abstractNum w:abstractNumId="30">
    <w:nsid w:val="1EBA5D23"/>
    <w:multiLevelType w:val="hybridMultilevel"/>
    <w:lvl w:ilvl="0">
      <w:lvlJc w:val="left"/>
      <w:lvlText w:val="(%1)"/>
      <w:numFmt w:val="decimal"/>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1)"/>
      <w:numFmt w:val="decimal"/>
      <w:start w:val="1"/>
    </w:lvl>
  </w:abstractNum>
  <w:abstractNum w:abstractNumId="33">
    <w:nsid w:val="540A471C"/>
    <w:multiLevelType w:val="hybridMultilevel"/>
    <w:lvl w:ilvl="0">
      <w:lvlJc w:val="left"/>
      <w:lvlText w:val="(%1)"/>
      <w:numFmt w:val="lowerRoman"/>
      <w:start w:val="1"/>
    </w:lvl>
  </w:abstractNum>
  <w:abstractNum w:abstractNumId="34">
    <w:nsid w:val="7BD3EE7B"/>
    <w:multiLevelType w:val="hybridMultilevel"/>
    <w:lvl w:ilvl="0">
      <w:lvlJc w:val="left"/>
      <w:lvlText w:val="(%1)"/>
      <w:numFmt w:val="lowerRoman"/>
      <w:start w:val="1"/>
    </w:lvl>
  </w:abstractNum>
  <w:abstractNum w:abstractNumId="35">
    <w:nsid w:val="51D9C564"/>
    <w:multiLevelType w:val="hybridMultilevel"/>
    <w:lvl w:ilvl="0">
      <w:lvlJc w:val="left"/>
      <w:lvlText w:val="(%1)"/>
      <w:numFmt w:val="lowerRoman"/>
      <w:start w:val="2"/>
    </w:lvl>
  </w:abstractNum>
  <w:abstractNum w:abstractNumId="36">
    <w:nsid w:val="613EFDC5"/>
    <w:multiLevelType w:val="hybridMultilevel"/>
    <w:lvl w:ilvl="0">
      <w:lvlJc w:val="left"/>
      <w:lvlText w:val="(%1)"/>
      <w:numFmt w:val="lowerRoman"/>
      <w:start w:val="1"/>
    </w:lvl>
  </w:abstractNum>
  <w:abstractNum w:abstractNumId="37">
    <w:nsid w:val="BF72B14"/>
    <w:multiLevelType w:val="hybridMultilevel"/>
    <w:lvl w:ilvl="0">
      <w:lvlJc w:val="left"/>
      <w:lvlText w:val="●"/>
      <w:numFmt w:val="bullet"/>
      <w:start w:val="1"/>
    </w:lvl>
  </w:abstractNum>
  <w:abstractNum w:abstractNumId="38">
    <w:nsid w:val="11447B73"/>
    <w:multiLevelType w:val="hybridMultilevel"/>
    <w:lvl w:ilvl="0">
      <w:lvlJc w:val="left"/>
      <w:lvlText w:val="●"/>
      <w:numFmt w:val="bullet"/>
      <w:start w:val="1"/>
    </w:lvl>
  </w:abstractNum>
  <w:abstractNum w:abstractNumId="39">
    <w:nsid w:val="42963E5A"/>
    <w:multiLevelType w:val="hybridMultilevel"/>
    <w:lvl w:ilvl="0">
      <w:lvlJc w:val="left"/>
      <w:lvlText w:val="●"/>
      <w:numFmt w:val="bullet"/>
      <w:start w:val="1"/>
    </w:lvl>
  </w:abstractNum>
  <w:abstractNum w:abstractNumId="40">
    <w:nsid w:val="A0382C5"/>
    <w:multiLevelType w:val="hybridMultilevel"/>
    <w:lvl w:ilvl="0">
      <w:lvlJc w:val="left"/>
      <w:lvlText w:val="(%1)"/>
      <w:numFmt w:val="lowerLetter"/>
      <w:start w:val="3"/>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
      <w:numFmt w:val="bullet"/>
      <w:start w:val="1"/>
    </w:lvl>
  </w:abstractNum>
  <w:abstractNum w:abstractNumId="51">
    <w:nsid w:val="71EA1109"/>
    <w:multiLevelType w:val="hybridMultilevel"/>
    <w:lvl w:ilvl="0">
      <w:lvlJc w:val="left"/>
      <w:lvlText w:val="●"/>
      <w:numFmt w:val="bullet"/>
      <w:start w:val="1"/>
    </w:lvl>
  </w:abstractNum>
  <w:abstractNum w:abstractNumId="52">
    <w:nsid w:val="100F59DC"/>
    <w:multiLevelType w:val="hybridMultilevel"/>
    <w:lvl w:ilvl="0">
      <w:lvlJc w:val="left"/>
      <w:lvlText w:val="●"/>
      <w:numFmt w:val="bullet"/>
      <w:start w:val="1"/>
    </w:lvl>
  </w:abstractNum>
  <w:abstractNum w:abstractNumId="53">
    <w:nsid w:val="7FB7E0AA"/>
    <w:multiLevelType w:val="hybridMultilevel"/>
    <w:lvl w:ilvl="0">
      <w:lvlJc w:val="left"/>
      <w:lvlText w:val="●"/>
      <w:numFmt w:val="bullet"/>
      <w:start w:val="1"/>
    </w:lvl>
  </w:abstractNum>
  <w:abstractNum w:abstractNumId="54">
    <w:nsid w:val="6EB5BD4"/>
    <w:multiLevelType w:val="hybridMultilevel"/>
    <w:lvl w:ilvl="0">
      <w:lvlJc w:val="left"/>
      <w:lvlText w:val="●"/>
      <w:numFmt w:val="bullet"/>
      <w:start w:val="1"/>
    </w:lvl>
  </w:abstractNum>
  <w:abstractNum w:abstractNumId="55">
    <w:nsid w:val="6F6DD9AC"/>
    <w:multiLevelType w:val="hybridMultilevel"/>
    <w:lvl w:ilvl="0">
      <w:lvlJc w:val="left"/>
      <w:lvlText w:val="●"/>
      <w:numFmt w:val="bullet"/>
      <w:start w:val="1"/>
    </w:lvl>
  </w:abstractNum>
  <w:abstractNum w:abstractNumId="56">
    <w:nsid w:val="94211F2"/>
    <w:multiLevelType w:val="hybridMultilevel"/>
    <w:lvl w:ilvl="0">
      <w:lvlJc w:val="left"/>
      <w:lvlText w:val="%1."/>
      <w:numFmt w:val="upperLetter"/>
      <w:start w:val="1"/>
    </w:lvl>
    <w:lvl w:ilvl="1">
      <w:lvlJc w:val="left"/>
      <w:lvlText w:val="●"/>
      <w:numFmt w:val="bullet"/>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1."/>
      <w:numFmt w:val="upperLetter"/>
      <w:start w:val="3"/>
    </w:lvl>
  </w:abstractNum>
  <w:abstractNum w:abstractNumId="59">
    <w:nsid w:val="4C04A8AF"/>
    <w:multiLevelType w:val="hybridMultilevel"/>
    <w:lvl w:ilvl="0">
      <w:lvlJc w:val="left"/>
      <w:lvlText w:val="%1."/>
      <w:numFmt w:val="upperLetter"/>
      <w:start w:val="1"/>
    </w:lvl>
  </w:abstractNum>
  <w:abstractNum w:abstractNumId="60">
    <w:nsid w:val="1716703B"/>
    <w:multiLevelType w:val="hybridMultilevel"/>
    <w:lvl w:ilvl="0">
      <w:lvlJc w:val="left"/>
      <w:lvlText w:val="%1."/>
      <w:numFmt w:val="upperLetter"/>
      <w:start w:val="2"/>
    </w:lvl>
  </w:abstractNum>
  <w:abstractNum w:abstractNumId="61">
    <w:nsid w:val="14E17E33"/>
    <w:multiLevelType w:val="hybridMultilevel"/>
    <w:lvl w:ilvl="0">
      <w:lvlJc w:val="left"/>
      <w:lvlText w:val="%1."/>
      <w:numFmt w:val="upperLetter"/>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
      <w:numFmt w:val="bullet"/>
      <w:start w:val="1"/>
    </w:lvl>
  </w:abstractNum>
  <w:abstractNum w:abstractNumId="64">
    <w:nsid w:val="68EBC550"/>
    <w:multiLevelType w:val="hybridMultilevel"/>
    <w:lvl w:ilvl="0">
      <w:lvlJc w:val="left"/>
      <w:lvlText w:val="(%1)"/>
      <w:numFmt w:val="lowerRoman"/>
      <w:start w:val="3"/>
    </w:lvl>
  </w:abstractNum>
  <w:abstractNum w:abstractNumId="65">
    <w:nsid w:val="2DF6D648"/>
    <w:multiLevelType w:val="hybridMultilevel"/>
    <w:lvl w:ilvl="0">
      <w:lvlJc w:val="left"/>
      <w:lvlText w:val="●"/>
      <w:numFmt w:val="bullet"/>
      <w:start w:val="1"/>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
      <w:numFmt w:val="bullet"/>
      <w:start w:val="1"/>
    </w:lvl>
  </w:abstractNum>
  <w:abstractNum w:abstractNumId="69">
    <w:nsid w:val="57FC4FBB"/>
    <w:multiLevelType w:val="hybridMultilevel"/>
    <w:lvl w:ilvl="0">
      <w:lvlJc w:val="left"/>
      <w:lvlText w:val="%1."/>
      <w:numFmt w:val="upperLetter"/>
      <w:start w:val="6"/>
    </w:lvl>
  </w:abstractNum>
  <w:abstractNum w:abstractNumId="70">
    <w:nsid w:val="CC1016F"/>
    <w:multiLevelType w:val="hybridMultilevel"/>
    <w:lvl w:ilvl="0">
      <w:lvlJc w:val="left"/>
      <w:lvlText w:val="%1."/>
      <w:numFmt w:val="upperLetter"/>
      <w:start w:val="9"/>
    </w:lvl>
  </w:abstractNum>
  <w:abstractNum w:abstractNumId="71">
    <w:nsid w:val="43F18422"/>
    <w:multiLevelType w:val="hybridMultilevel"/>
    <w:lvl w:ilvl="0">
      <w:lvlJc w:val="left"/>
      <w:lvlText w:val="%1."/>
      <w:numFmt w:val="upperLetter"/>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1)"/>
      <w:numFmt w:val="decimal"/>
      <w:start w:val="1"/>
    </w:lvl>
  </w:abstractNum>
  <w:abstractNum w:abstractNumId="74">
    <w:nsid w:val="7F01579B"/>
    <w:multiLevelType w:val="hybridMultilevel"/>
    <w:lvl w:ilvl="0">
      <w:lvlJc w:val="left"/>
      <w:lvlText w:val="†"/>
      <w:numFmt w:val="bullet"/>
      <w:start w:val="1"/>
    </w:lvl>
  </w:abstractNum>
  <w:abstractNum w:abstractNumId="75">
    <w:nsid w:val="49DA307D"/>
    <w:multiLevelType w:val="hybridMultilevel"/>
    <w:lvl w:ilvl="0">
      <w:lvlJc w:val="left"/>
      <w:lvlText w:val="%1"/>
      <w:numFmt w:val="lowerLetter"/>
      <w:start w:val="1"/>
    </w:lvl>
    <w:lvl w:ilvl="1">
      <w:lvlJc w:val="left"/>
      <w:lvlText w:val="%2."/>
      <w:numFmt w:val="lowerLetter"/>
      <w:start w:val="1"/>
    </w:lvl>
  </w:abstractNum>
  <w:abstractNum w:abstractNumId="76">
    <w:nsid w:val="7055A5F5"/>
    <w:multiLevelType w:val="hybridMultilevel"/>
    <w:lvl w:ilvl="0">
      <w:lvlJc w:val="left"/>
      <w:lvlText w:val="%1."/>
      <w:numFmt w:val="lowerLetter"/>
      <w:start w:val="3"/>
    </w:lvl>
    <w:lvl w:ilvl="1">
      <w:lvlJc w:val="left"/>
      <w:lvlText w:val="%2."/>
      <w:numFmt w:val="lowerLetter"/>
      <w:start w:val="4"/>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lowerLetter"/>
      <w:start w:val="2"/>
    </w:lvl>
  </w:abstractNum>
  <w:abstractNum w:abstractNumId="79">
    <w:nsid w:val="488AC1A"/>
    <w:multiLevelType w:val="hybridMultilevel"/>
    <w:lvl w:ilvl="0">
      <w:lvlJc w:val="left"/>
      <w:lvlText w:val="%1."/>
      <w:numFmt w:val="lowerLetter"/>
      <w:start w:val="6"/>
    </w:lvl>
  </w:abstractNum>
  <w:abstractNum w:abstractNumId="80">
    <w:nsid w:val="5FB8011C"/>
    <w:multiLevelType w:val="hybridMultilevel"/>
    <w:lvl w:ilvl="0">
      <w:lvlJc w:val="left"/>
      <w:lvlText w:val="%1."/>
      <w:numFmt w:val="lowerLetter"/>
      <w:start w:val="8"/>
    </w:lvl>
  </w:abstractNum>
  <w:abstractNum w:abstractNumId="81">
    <w:nsid w:val="6AA78F7F"/>
    <w:multiLevelType w:val="hybridMultilevel"/>
    <w:lvl w:ilvl="0">
      <w:lvlJc w:val="left"/>
      <w:lvlText w:val="%1."/>
      <w:numFmt w:val="lowerLetter"/>
      <w:start w:val="9"/>
    </w:lvl>
  </w:abstractNum>
  <w:abstractNum w:abstractNumId="82">
    <w:nsid w:val="7672BD23"/>
    <w:multiLevelType w:val="hybridMultilevel"/>
    <w:lvl w:ilvl="0">
      <w:lvlJc w:val="left"/>
      <w:lvlText w:val="%1."/>
      <w:numFmt w:val="lowerLetter"/>
      <w:start w:val="11"/>
    </w:lvl>
  </w:abstractNum>
  <w:abstractNum w:abstractNumId="83">
    <w:nsid w:val="6FC75AF8"/>
    <w:multiLevelType w:val="hybridMultilevel"/>
    <w:lvl w:ilvl="0">
      <w:lvlJc w:val="left"/>
      <w:lvlText w:val="%1."/>
      <w:numFmt w:val="lowerLetter"/>
      <w:start w:val="13"/>
    </w:lvl>
  </w:abstractNum>
  <w:abstractNum w:abstractNumId="84">
    <w:nsid w:val="6A5F7029"/>
    <w:multiLevelType w:val="hybridMultilevel"/>
    <w:lvl w:ilvl="0">
      <w:lvlJc w:val="left"/>
      <w:lvlText w:val="%1."/>
      <w:numFmt w:val="lowerLetter"/>
      <w:start w:val="16"/>
    </w:lvl>
  </w:abstractNum>
  <w:abstractNum w:abstractNumId="85">
    <w:nsid w:val="7D5E18F8"/>
    <w:multiLevelType w:val="hybridMultilevel"/>
    <w:lvl w:ilvl="0">
      <w:lvlJc w:val="left"/>
      <w:lvlText w:val="%1."/>
      <w:numFmt w:val="lowerLetter"/>
      <w:start w:val="18"/>
    </w:lvl>
  </w:abstractNum>
  <w:abstractNum w:abstractNumId="86">
    <w:nsid w:val="5F3534A4"/>
    <w:multiLevelType w:val="hybridMultilevel"/>
    <w:lvl w:ilvl="0">
      <w:lvlJc w:val="left"/>
      <w:lvlText w:val="%1."/>
      <w:numFmt w:val="lowerLetter"/>
      <w:start w:val="19"/>
    </w:lvl>
  </w:abstractNum>
  <w:abstractNum w:abstractNumId="87">
    <w:nsid w:val="73A1821B"/>
    <w:multiLevelType w:val="hybridMultilevel"/>
    <w:lvl w:ilvl="0">
      <w:lvlJc w:val="left"/>
      <w:lvlText w:val="%1."/>
      <w:numFmt w:val="lowerLetter"/>
      <w:start w:val="21"/>
    </w:lvl>
  </w:abstractNum>
  <w:abstractNum w:abstractNumId="88">
    <w:nsid w:val="7DE67713"/>
    <w:multiLevelType w:val="hybridMultilevel"/>
    <w:lvl w:ilvl="0">
      <w:lvlJc w:val="left"/>
      <w:lvlText w:val="%1."/>
      <w:numFmt w:val="lowerLetter"/>
      <w:start w:val="23"/>
    </w:lvl>
  </w:abstractNum>
  <w:abstractNum w:abstractNumId="89">
    <w:nsid w:val="555C55B5"/>
    <w:multiLevelType w:val="hybridMultilevel"/>
    <w:lvl w:ilvl="0">
      <w:lvlJc w:val="left"/>
      <w:lvlText w:val="%1."/>
      <w:numFmt w:val="lowerLetter"/>
      <w:start w:val="26"/>
    </w:lvl>
  </w:abstractNum>
  <w:abstractNum w:abstractNumId="90">
    <w:nsid w:val="3FA62ACA"/>
    <w:multiLevelType w:val="hybridMultilevel"/>
    <w:lvl w:ilvl="0">
      <w:lvlJc w:val="left"/>
      <w:lvlText w:val="%1."/>
      <w:numFmt w:val="decimal"/>
      <w:start w:val="1"/>
    </w:lvl>
  </w:abstractNum>
  <w:abstractNum w:abstractNumId="91">
    <w:nsid w:val="14FCE74E"/>
    <w:multiLevelType w:val="hybridMultilevel"/>
    <w:lvl w:ilvl="0">
      <w:lvlJc w:val="left"/>
      <w:lvlText w:val="%1."/>
      <w:numFmt w:val="decimal"/>
      <w:start w:val="2"/>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1."/>
      <w:numFmt w:val="lowerLetter"/>
      <w:start w:val="1"/>
    </w:lvl>
  </w:abstractNum>
  <w:abstractNum w:abstractNumId="94">
    <w:nsid w:val="9DAF632"/>
    <w:multiLevelType w:val="hybridMultilevel"/>
    <w:lvl w:ilvl="0">
      <w:lvlJc w:val="left"/>
      <w:lvlText w:val="%1."/>
      <w:numFmt w:val="lowerLetter"/>
      <w:start w:val="3"/>
    </w:lvl>
  </w:abstractNum>
  <w:abstractNum w:abstractNumId="95">
    <w:nsid w:val="53299938"/>
    <w:multiLevelType w:val="hybridMultilevel"/>
    <w:lvl w:ilvl="0">
      <w:lvlJc w:val="left"/>
      <w:lvlText w:val="%1."/>
      <w:numFmt w:val="lowerLetter"/>
      <w:start w:val="1"/>
    </w:lvl>
  </w:abstractNum>
  <w:abstractNum w:abstractNumId="96">
    <w:nsid w:val="1FBFE8E0"/>
    <w:multiLevelType w:val="hybridMultilevel"/>
    <w:lvl w:ilvl="0">
      <w:lvlJc w:val="left"/>
      <w:lvlText w:val="%1."/>
      <w:numFmt w:val="lowerLetter"/>
      <w:start w:val="2"/>
    </w:lvl>
  </w:abstractNum>
  <w:abstractNum w:abstractNumId="97">
    <w:nsid w:val="5092CA79"/>
    <w:multiLevelType w:val="hybridMultilevel"/>
    <w:lvl w:ilvl="0">
      <w:lvlJc w:val="left"/>
      <w:lvlText w:val="%1."/>
      <w:numFmt w:val="lowerLetter"/>
      <w:start w:val="4"/>
    </w:lvl>
    <w:lvl w:ilvl="1">
      <w:lvlJc w:val="left"/>
      <w:lvlText w:val="%2."/>
      <w:numFmt w:val="decimal"/>
      <w:start w:val="1"/>
    </w:lvl>
  </w:abstractNum>
  <w:abstractNum w:abstractNumId="98">
    <w:nsid w:val="1D545C4D"/>
    <w:multiLevelType w:val="hybridMultilevel"/>
    <w:lvl w:ilvl="0">
      <w:lvlJc w:val="left"/>
      <w:lvlText w:val="%1."/>
      <w:numFmt w:val="lowerLetter"/>
      <w:start w:val="6"/>
    </w:lvl>
  </w:abstractNum>
  <w:abstractNum w:abstractNumId="99">
    <w:nsid w:val="59ADEA3D"/>
    <w:multiLevelType w:val="hybridMultilevel"/>
    <w:lvl w:ilvl="0">
      <w:lvlJc w:val="left"/>
      <w:lvlText w:val="%1."/>
      <w:numFmt w:val="lowerLetter"/>
      <w:start w:val="1"/>
    </w:lvl>
  </w:abstractNum>
  <w:abstractNum w:abstractNumId="100">
    <w:nsid w:val="288F1A34"/>
    <w:multiLevelType w:val="hybridMultilevel"/>
    <w:lvl w:ilvl="0">
      <w:lvlJc w:val="left"/>
      <w:lvlText w:val="%1."/>
      <w:numFmt w:val="lowerLetter"/>
      <w:start w:val="3"/>
    </w:lvl>
  </w:abstractNum>
  <w:abstractNum w:abstractNumId="101">
    <w:nsid w:val="2A155DBC"/>
    <w:multiLevelType w:val="hybridMultilevel"/>
    <w:lvl w:ilvl="0">
      <w:lvlJc w:val="left"/>
      <w:lvlText w:val="%1."/>
      <w:numFmt w:val="lowerLetter"/>
      <w:start w:val="4"/>
    </w:lvl>
  </w:abstractNum>
  <w:abstractNum w:abstractNumId="102">
    <w:nsid w:val="1D9F6E5F"/>
    <w:multiLevelType w:val="hybridMultilevel"/>
    <w:lvl w:ilvl="0">
      <w:lvlJc w:val="left"/>
      <w:lvlText w:val="%1."/>
      <w:numFmt w:val="lowerLetter"/>
      <w:start w:val="1"/>
    </w:lvl>
  </w:abstractNum>
  <w:abstractNum w:abstractNumId="103">
    <w:nsid w:val="97E1B4E"/>
    <w:multiLevelType w:val="hybridMultilevel"/>
    <w:lvl w:ilvl="0">
      <w:lvlJc w:val="left"/>
      <w:lvlText w:val="%1."/>
      <w:numFmt w:val="lowerLetter"/>
      <w:start w:val="3"/>
    </w:lvl>
  </w:abstractNum>
  <w:abstractNum w:abstractNumId="104">
    <w:nsid w:val="51088277"/>
    <w:multiLevelType w:val="hybridMultilevel"/>
    <w:lvl w:ilvl="0">
      <w:lvlJc w:val="left"/>
      <w:lvlText w:val="%1."/>
      <w:numFmt w:val="lowerLetter"/>
      <w:start w:val="7"/>
    </w:lvl>
  </w:abstractNum>
  <w:abstractNum w:abstractNumId="105">
    <w:nsid w:val="1CA0C5FA"/>
    <w:multiLevelType w:val="hybridMultilevel"/>
    <w:lvl w:ilvl="0">
      <w:lvlJc w:val="left"/>
      <w:lvlText w:val="%1."/>
      <w:numFmt w:val="lowerLetter"/>
      <w:start w:val="8"/>
    </w:lvl>
  </w:abstractNum>
  <w:abstractNum w:abstractNumId="106">
    <w:nsid w:val="53584BCB"/>
    <w:multiLevelType w:val="hybridMultilevel"/>
    <w:lvl w:ilvl="0">
      <w:lvlJc w:val="left"/>
      <w:lvlText w:val="%1."/>
      <w:numFmt w:val="lowerRoman"/>
      <w:start w:val="1"/>
    </w:lvl>
  </w:abstractNum>
  <w:abstractNum w:abstractNumId="107">
    <w:nsid w:val="415E286C"/>
    <w:multiLevelType w:val="hybridMultilevel"/>
    <w:lvl w:ilvl="0">
      <w:lvlJc w:val="left"/>
      <w:lvlText w:val="(*)"/>
      <w:numFmt w:val="bullet"/>
      <w:start w:val="1"/>
    </w:lvl>
  </w:abstractNum>
  <w:abstractNum w:abstractNumId="108">
    <w:nsid w:val="7C58FD05"/>
    <w:multiLevelType w:val="hybridMultilevel"/>
    <w:lvl w:ilvl="0">
      <w:lvlJc w:val="left"/>
      <w:lvlText w:val="(**)"/>
      <w:numFmt w:val="bullet"/>
      <w:start w:val="1"/>
    </w:lvl>
  </w:abstractNum>
  <w:abstractNum w:abstractNumId="109">
    <w:nsid w:val="23D86AAC"/>
    <w:multiLevelType w:val="hybridMultilevel"/>
    <w:lvl w:ilvl="0">
      <w:lvlJc w:val="left"/>
      <w:lvlText w:val="%1."/>
      <w:numFmt w:val="lowerLetter"/>
      <w:start w:val="10"/>
    </w:lvl>
  </w:abstractNum>
  <w:abstractNum w:abstractNumId="110">
    <w:nsid w:val="45E6D486"/>
    <w:multiLevelType w:val="hybridMultilevel"/>
    <w:lvl w:ilvl="0">
      <w:lvlJc w:val="left"/>
      <w:lvlText w:val="●"/>
      <w:numFmt w:val="bullet"/>
      <w:start w:val="1"/>
    </w:lvl>
    <w:lvl w:ilvl="1">
      <w:lvlJc w:val="left"/>
      <w:lvlText w:val="○"/>
      <w:numFmt w:val="bullet"/>
      <w:start w:val="1"/>
    </w:lvl>
  </w:abstractNum>
  <w:abstractNum w:abstractNumId="111">
    <w:nsid w:val="5C10FE2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2">
    <w:nsid w:val="E7FFA2B"/>
    <w:multiLevelType w:val="hybridMultilevel"/>
    <w:lvl w:ilvl="0">
      <w:lvlJc w:val="left"/>
      <w:lvlText w:val="●"/>
      <w:numFmt w:val="bullet"/>
      <w:start w:val="1"/>
    </w:lvl>
    <w:lvl w:ilvl="1">
      <w:lvlJc w:val="left"/>
      <w:lvlText w:val="○"/>
      <w:numFmt w:val="bullet"/>
      <w:start w:val="1"/>
    </w:lvl>
  </w:abstractNum>
  <w:abstractNum w:abstractNumId="113">
    <w:nsid w:val="3C5991AA"/>
    <w:multiLevelType w:val="hybridMultilevel"/>
    <w:lvl w:ilvl="0">
      <w:lvlJc w:val="left"/>
      <w:lvlText w:val="%1."/>
      <w:numFmt w:val="decimal"/>
      <w:start w:val="1"/>
    </w:lvl>
    <w:lvl w:ilvl="1">
      <w:lvlJc w:val="left"/>
      <w:lvlText w:val="(%2)"/>
      <w:numFmt w:val="lowerLetter"/>
      <w:start w:val="1"/>
    </w:lvl>
  </w:abstractNum>
  <w:abstractNum w:abstractNumId="114">
    <w:nsid w:val="4BD8591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2019-12-09T02:57:12Z</dcterms:created>
  <dcterms:modified xsi:type="dcterms:W3CDTF">2019-12-09T02:57:12Z</dcterms:modified>
</cp:coreProperties>
</file>